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AD5" w:rsidRDefault="00DA52C7">
      <w:pPr>
        <w:jc w:val="left"/>
        <w:rPr>
          <w:rFonts w:ascii="仿宋_GB2312" w:hAnsi="仿宋_GB2312" w:hint="eastAsia"/>
          <w:b/>
          <w:sz w:val="30"/>
          <w:szCs w:val="30"/>
        </w:rPr>
      </w:pPr>
      <w:r>
        <w:rPr>
          <w:rFonts w:ascii="仿宋_GB2312" w:hAnsi="仿宋_GB2312"/>
          <w:b/>
          <w:sz w:val="30"/>
          <w:szCs w:val="30"/>
        </w:rPr>
        <w:t>附件</w:t>
      </w:r>
      <w:r>
        <w:rPr>
          <w:rFonts w:ascii="仿宋_GB2312" w:hAnsi="仿宋_GB2312"/>
          <w:b/>
          <w:sz w:val="30"/>
          <w:szCs w:val="30"/>
        </w:rPr>
        <w:t>1-2</w:t>
      </w:r>
    </w:p>
    <w:p w:rsidR="004D1AD5" w:rsidRDefault="00DA52C7">
      <w:pPr>
        <w:pStyle w:val="a3"/>
        <w:widowControl w:val="0"/>
        <w:spacing w:before="0" w:beforeAutospacing="0" w:after="0" w:afterAutospacing="0" w:line="800" w:lineRule="exact"/>
        <w:jc w:val="center"/>
        <w:rPr>
          <w:rStyle w:val="15"/>
          <w:rFonts w:ascii="黑体" w:eastAsia="黑体" w:hAnsi="黑体"/>
          <w:spacing w:val="-23"/>
          <w:sz w:val="36"/>
          <w:szCs w:val="36"/>
        </w:rPr>
      </w:pPr>
      <w:r>
        <w:rPr>
          <w:rStyle w:val="15"/>
          <w:rFonts w:ascii="黑体" w:eastAsia="黑体" w:hAnsi="黑体" w:hint="eastAsia"/>
          <w:b w:val="0"/>
          <w:spacing w:val="-23"/>
          <w:sz w:val="36"/>
          <w:szCs w:val="36"/>
        </w:rPr>
        <w:t>2022</w:t>
      </w:r>
      <w:r>
        <w:rPr>
          <w:rStyle w:val="15"/>
          <w:rFonts w:ascii="黑体" w:eastAsia="黑体" w:hAnsi="黑体" w:hint="eastAsia"/>
          <w:b w:val="0"/>
          <w:spacing w:val="-23"/>
          <w:sz w:val="36"/>
          <w:szCs w:val="36"/>
        </w:rPr>
        <w:t>年度新晃县</w:t>
      </w:r>
      <w:r w:rsidR="00AE5793">
        <w:rPr>
          <w:rStyle w:val="15"/>
          <w:rFonts w:ascii="黑体" w:eastAsia="黑体" w:hAnsi="黑体" w:hint="eastAsia"/>
          <w:b w:val="0"/>
          <w:spacing w:val="-23"/>
          <w:sz w:val="36"/>
          <w:szCs w:val="36"/>
        </w:rPr>
        <w:t>凉伞镇中心小学</w:t>
      </w:r>
      <w:r>
        <w:rPr>
          <w:rStyle w:val="15"/>
          <w:rFonts w:ascii="黑体" w:eastAsia="黑体" w:hAnsi="黑体" w:hint="eastAsia"/>
          <w:b w:val="0"/>
          <w:spacing w:val="-23"/>
          <w:sz w:val="36"/>
          <w:szCs w:val="36"/>
        </w:rPr>
        <w:t>部门（单位）整体支出绩效自评报告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firstLineChars="200" w:firstLine="480"/>
        <w:jc w:val="left"/>
        <w:rPr>
          <w:rFonts w:ascii="黑体" w:eastAsia="黑体" w:hAnsi="黑体"/>
        </w:rPr>
      </w:pPr>
      <w:r>
        <w:t xml:space="preserve">  </w:t>
      </w:r>
      <w:r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一、部门（单位）基本概况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新晃县</w:t>
      </w:r>
      <w:r>
        <w:rPr>
          <w:rFonts w:ascii="仿宋" w:eastAsia="仿宋" w:hAnsi="仿宋" w:cs="仿宋" w:hint="eastAsia"/>
          <w:sz w:val="32"/>
          <w:szCs w:val="32"/>
        </w:rPr>
        <w:t>凉伞镇中心小学校是一所农村小学，主要实施小学义务教育，促进基础教育发展，进行小学义务阶段学历教育及相关社会服务。彰显办学特色，丰富学校内涵，让教师师德师风得到明显改善，工作作风得到有效提升、教育教学能力得到有效提高，年轻教师得到迅速成长，学校教育教学常规得到落实，学生良好学习、行为习惯基本养成，学校校园安全得到保障，学生能够在快乐的学习氛围中健康成长，教育教学质量综合成绩进入全县中上水平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我校设有</w:t>
      </w:r>
      <w:r>
        <w:rPr>
          <w:rFonts w:ascii="仿宋" w:eastAsia="仿宋" w:hAnsi="仿宋" w:cs="仿宋" w:hint="eastAsia"/>
          <w:sz w:val="32"/>
          <w:szCs w:val="32"/>
        </w:rPr>
        <w:t>校长室，</w:t>
      </w:r>
      <w:r>
        <w:rPr>
          <w:rFonts w:ascii="仿宋" w:eastAsia="仿宋" w:hAnsi="仿宋" w:cs="仿宋" w:hint="eastAsia"/>
          <w:sz w:val="32"/>
          <w:szCs w:val="32"/>
        </w:rPr>
        <w:t>办公</w:t>
      </w:r>
      <w:r>
        <w:rPr>
          <w:rFonts w:ascii="仿宋" w:eastAsia="仿宋" w:hAnsi="仿宋" w:cs="仿宋" w:hint="eastAsia"/>
          <w:sz w:val="32"/>
          <w:szCs w:val="32"/>
        </w:rPr>
        <w:t>会议</w:t>
      </w:r>
      <w:r>
        <w:rPr>
          <w:rFonts w:ascii="仿宋" w:eastAsia="仿宋" w:hAnsi="仿宋" w:cs="仿宋" w:hint="eastAsia"/>
          <w:sz w:val="32"/>
          <w:szCs w:val="32"/>
        </w:rPr>
        <w:t>室、教务处、</w:t>
      </w:r>
      <w:r>
        <w:rPr>
          <w:rFonts w:ascii="仿宋" w:eastAsia="仿宋" w:hAnsi="仿宋" w:cs="仿宋" w:hint="eastAsia"/>
          <w:sz w:val="32"/>
          <w:szCs w:val="32"/>
        </w:rPr>
        <w:t>德育</w:t>
      </w:r>
      <w:r>
        <w:rPr>
          <w:rFonts w:ascii="仿宋" w:eastAsia="仿宋" w:hAnsi="仿宋" w:cs="仿宋" w:hint="eastAsia"/>
          <w:sz w:val="32"/>
          <w:szCs w:val="32"/>
        </w:rPr>
        <w:t>处、</w:t>
      </w:r>
      <w:r>
        <w:rPr>
          <w:rFonts w:ascii="仿宋" w:eastAsia="仿宋" w:hAnsi="仿宋" w:cs="仿宋" w:hint="eastAsia"/>
          <w:sz w:val="32"/>
          <w:szCs w:val="32"/>
        </w:rPr>
        <w:t>教</w:t>
      </w:r>
      <w:r>
        <w:rPr>
          <w:rFonts w:ascii="仿宋" w:eastAsia="仿宋" w:hAnsi="仿宋" w:cs="仿宋" w:hint="eastAsia"/>
          <w:sz w:val="32"/>
          <w:szCs w:val="32"/>
        </w:rPr>
        <w:t>务处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个股室</w:t>
      </w:r>
      <w:r>
        <w:rPr>
          <w:rFonts w:ascii="仿宋" w:eastAsia="仿宋" w:hAnsi="仿宋" w:cs="仿宋" w:hint="eastAsia"/>
          <w:sz w:val="32"/>
          <w:szCs w:val="32"/>
        </w:rPr>
        <w:t>。我校为全额拨款一级公益事业单位，设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个班级，核定编制</w:t>
      </w:r>
      <w:r>
        <w:rPr>
          <w:rFonts w:ascii="仿宋" w:eastAsia="仿宋" w:hAnsi="仿宋" w:cs="仿宋" w:hint="eastAsia"/>
          <w:sz w:val="32"/>
          <w:szCs w:val="32"/>
        </w:rPr>
        <w:t>54</w:t>
      </w:r>
      <w:r>
        <w:rPr>
          <w:rFonts w:ascii="仿宋" w:eastAsia="仿宋" w:hAnsi="仿宋" w:cs="仿宋" w:hint="eastAsia"/>
          <w:sz w:val="32"/>
          <w:szCs w:val="32"/>
        </w:rPr>
        <w:t>人，年末实有在职人数</w:t>
      </w:r>
      <w:r>
        <w:rPr>
          <w:rFonts w:ascii="仿宋" w:eastAsia="仿宋" w:hAnsi="仿宋" w:cs="仿宋" w:hint="eastAsia"/>
          <w:sz w:val="32"/>
          <w:szCs w:val="32"/>
        </w:rPr>
        <w:t>5</w:t>
      </w:r>
      <w:r w:rsidR="007534B3"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人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年度财政</w:t>
      </w:r>
      <w:r>
        <w:rPr>
          <w:rFonts w:ascii="仿宋" w:eastAsia="仿宋" w:hAnsi="仿宋" w:cs="仿宋" w:hint="eastAsia"/>
          <w:sz w:val="32"/>
          <w:szCs w:val="32"/>
        </w:rPr>
        <w:t>拨款</w:t>
      </w:r>
      <w:r>
        <w:rPr>
          <w:rFonts w:ascii="仿宋" w:eastAsia="仿宋" w:hAnsi="仿宋" w:cs="仿宋" w:hint="eastAsia"/>
          <w:sz w:val="32"/>
          <w:szCs w:val="32"/>
        </w:rPr>
        <w:t>收</w:t>
      </w:r>
      <w:r>
        <w:rPr>
          <w:rFonts w:ascii="仿宋" w:eastAsia="仿宋" w:hAnsi="仿宋" w:cs="仿宋" w:hint="eastAsia"/>
          <w:sz w:val="32"/>
          <w:szCs w:val="32"/>
        </w:rPr>
        <w:t>入</w:t>
      </w:r>
      <w:r>
        <w:rPr>
          <w:rFonts w:ascii="仿宋" w:eastAsia="仿宋" w:hAnsi="仿宋" w:cs="仿宋" w:hint="eastAsia"/>
          <w:sz w:val="32"/>
          <w:szCs w:val="32"/>
        </w:rPr>
        <w:t>621.17</w:t>
      </w:r>
      <w:r>
        <w:rPr>
          <w:rFonts w:ascii="仿宋" w:eastAsia="仿宋" w:hAnsi="仿宋" w:cs="仿宋" w:hint="eastAsia"/>
          <w:sz w:val="32"/>
          <w:szCs w:val="32"/>
        </w:rPr>
        <w:t>万元，支出</w:t>
      </w:r>
      <w:r>
        <w:rPr>
          <w:rFonts w:ascii="仿宋" w:eastAsia="仿宋" w:hAnsi="仿宋" w:cs="仿宋" w:hint="eastAsia"/>
          <w:sz w:val="32"/>
          <w:szCs w:val="32"/>
        </w:rPr>
        <w:t>1034.13</w:t>
      </w:r>
      <w:r>
        <w:rPr>
          <w:rFonts w:ascii="仿宋" w:eastAsia="仿宋" w:hAnsi="仿宋" w:cs="仿宋" w:hint="eastAsia"/>
          <w:sz w:val="32"/>
          <w:szCs w:val="32"/>
        </w:rPr>
        <w:t>万，其中工资福利支出</w:t>
      </w:r>
      <w:r>
        <w:rPr>
          <w:rFonts w:ascii="仿宋" w:eastAsia="仿宋" w:hAnsi="仿宋" w:cs="仿宋" w:hint="eastAsia"/>
          <w:sz w:val="32"/>
          <w:szCs w:val="32"/>
        </w:rPr>
        <w:t>733.61</w:t>
      </w:r>
      <w:r>
        <w:rPr>
          <w:rFonts w:ascii="仿宋" w:eastAsia="仿宋" w:hAnsi="仿宋" w:cs="仿宋" w:hint="eastAsia"/>
          <w:sz w:val="32"/>
          <w:szCs w:val="32"/>
        </w:rPr>
        <w:t>万元，商品和服务支出</w:t>
      </w:r>
      <w:r>
        <w:rPr>
          <w:rFonts w:ascii="仿宋" w:eastAsia="仿宋" w:hAnsi="仿宋" w:cs="仿宋" w:hint="eastAsia"/>
          <w:sz w:val="32"/>
          <w:szCs w:val="32"/>
        </w:rPr>
        <w:t>129354</w:t>
      </w:r>
      <w:r>
        <w:rPr>
          <w:rFonts w:ascii="仿宋" w:eastAsia="仿宋" w:hAnsi="仿宋" w:cs="仿宋" w:hint="eastAsia"/>
          <w:sz w:val="32"/>
          <w:szCs w:val="32"/>
        </w:rPr>
        <w:t>万元，对个人和家庭补助支出</w:t>
      </w:r>
      <w:r>
        <w:rPr>
          <w:rFonts w:ascii="仿宋" w:eastAsia="仿宋" w:hAnsi="仿宋" w:cs="仿宋" w:hint="eastAsia"/>
          <w:sz w:val="32"/>
          <w:szCs w:val="32"/>
        </w:rPr>
        <w:t>159.66</w:t>
      </w:r>
      <w:r>
        <w:rPr>
          <w:rFonts w:ascii="仿宋" w:eastAsia="仿宋" w:hAnsi="仿宋" w:cs="仿宋" w:hint="eastAsia"/>
          <w:sz w:val="32"/>
          <w:szCs w:val="32"/>
        </w:rPr>
        <w:t>万元，资本性支出</w:t>
      </w:r>
      <w:r>
        <w:rPr>
          <w:rFonts w:ascii="仿宋" w:eastAsia="仿宋" w:hAnsi="仿宋" w:cs="仿宋" w:hint="eastAsia"/>
          <w:sz w:val="32"/>
          <w:szCs w:val="32"/>
        </w:rPr>
        <w:t>11.32</w:t>
      </w:r>
      <w:r>
        <w:rPr>
          <w:rFonts w:ascii="仿宋" w:eastAsia="仿宋" w:hAnsi="仿宋" w:cs="仿宋" w:hint="eastAsia"/>
          <w:sz w:val="32"/>
          <w:szCs w:val="32"/>
        </w:rPr>
        <w:t>万元。</w:t>
      </w:r>
      <w:r>
        <w:rPr>
          <w:rFonts w:ascii="仿宋" w:eastAsia="仿宋" w:hAnsi="仿宋" w:cs="仿宋" w:hint="eastAsia"/>
          <w:sz w:val="32"/>
          <w:szCs w:val="32"/>
        </w:rPr>
        <w:t>年末固定</w:t>
      </w:r>
      <w:r>
        <w:rPr>
          <w:rFonts w:ascii="仿宋" w:eastAsia="仿宋" w:hAnsi="仿宋" w:cs="仿宋" w:hint="eastAsia"/>
          <w:sz w:val="32"/>
          <w:szCs w:val="32"/>
        </w:rPr>
        <w:t>原值</w:t>
      </w:r>
      <w:r>
        <w:rPr>
          <w:rFonts w:ascii="仿宋" w:eastAsia="仿宋" w:hAnsi="仿宋" w:cs="仿宋" w:hint="eastAsia"/>
          <w:sz w:val="32"/>
          <w:szCs w:val="32"/>
        </w:rPr>
        <w:t>1845.53</w:t>
      </w:r>
      <w:r>
        <w:rPr>
          <w:rFonts w:ascii="仿宋" w:eastAsia="仿宋" w:hAnsi="仿宋" w:cs="仿宋" w:hint="eastAsia"/>
          <w:sz w:val="32"/>
          <w:szCs w:val="32"/>
        </w:rPr>
        <w:t>万元，净值</w:t>
      </w:r>
      <w:r>
        <w:rPr>
          <w:rFonts w:ascii="仿宋" w:eastAsia="仿宋" w:hAnsi="仿宋" w:cs="仿宋" w:hint="eastAsia"/>
          <w:sz w:val="32"/>
          <w:szCs w:val="32"/>
        </w:rPr>
        <w:t>860.7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22</w:t>
      </w:r>
      <w:r>
        <w:rPr>
          <w:rFonts w:ascii="仿宋" w:eastAsia="仿宋" w:hAnsi="仿宋" w:cs="仿宋" w:hint="eastAsia"/>
          <w:sz w:val="32"/>
          <w:szCs w:val="32"/>
        </w:rPr>
        <w:t>年，我校依据国家相关法律法规、财务规章制度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在资金使用上，严格遵守各项财经法规和财务管理制度规定，资金拨付有完整的审批程序和手续，支出符合部门预算批复的用途，无截留、挤占、挪用、虚列支出等情况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二、部门（单位）整体支出绩效状况</w:t>
      </w:r>
    </w:p>
    <w:p w:rsidR="004D1AD5" w:rsidRDefault="00DA52C7" w:rsidP="00AE5793">
      <w:pPr>
        <w:numPr>
          <w:ilvl w:val="0"/>
          <w:numId w:val="1"/>
        </w:numPr>
        <w:spacing w:beforeLines="50" w:before="156" w:beforeAutospacing="0" w:after="0" w:afterAutospacing="0" w:line="60" w:lineRule="auto"/>
        <w:ind w:firstLineChars="200" w:firstLine="643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活动开展情况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/>
        <w:textAlignment w:val="auto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（一）主题活动开展情况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22</w:t>
      </w:r>
      <w:r>
        <w:rPr>
          <w:rFonts w:ascii="仿宋" w:eastAsia="仿宋" w:hAnsi="仿宋" w:cs="仿宋" w:hint="eastAsia"/>
          <w:sz w:val="32"/>
          <w:szCs w:val="32"/>
        </w:rPr>
        <w:t>至</w:t>
      </w:r>
      <w:r>
        <w:rPr>
          <w:rFonts w:ascii="仿宋" w:eastAsia="仿宋" w:hAnsi="仿宋" w:cs="仿宋" w:hint="eastAsia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日，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凉小开展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了“童心向党快乐学习”主题活动。活动包含建党百年手抄报评比、数学计算接力、语数百科知识答题、语文拼字游戏、家长书画作品展览、党史学习教育、千人诵读等。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凉小结合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本地的民族风俗、特色，组织六年级学生进行“追寻历史足迹，传承侗乡文化”的毅行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学活动，向学生介绍了鼓楼、吊脚楼、吊桥等具有民族特色的建筑，让学生从中体会到源远流长的侗乡文化。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sz w:val="32"/>
          <w:szCs w:val="32"/>
        </w:rPr>
        <w:t>至</w:t>
      </w:r>
      <w:r>
        <w:rPr>
          <w:rFonts w:ascii="仿宋_GB2312" w:eastAsia="仿宋_GB2312" w:hAnsi="仿宋_GB2312" w:cs="仿宋_GB2312" w:hint="eastAsia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凉小开展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了“提师能、铸师魂、上质量教师教学比武”，八位参赛教师通过团队的协作，为全体教师呈现了八堂精彩的课，同时也极大的促进了教师的成长。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凉小开展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了“新时代好少年红心向党”主题活动。包含三至六年级的主题征文评比，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至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年级朗诵比赛和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至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年级的演讲比赛。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4.6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凉小开展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了“童心向党快乐成长”主题文艺汇演。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sz w:val="32"/>
          <w:szCs w:val="32"/>
        </w:rPr>
        <w:t>个集体节目（小学</w:t>
      </w:r>
      <w:r>
        <w:rPr>
          <w:rFonts w:ascii="仿宋_GB2312" w:eastAsia="仿宋_GB2312" w:hAnsi="仿宋_GB2312" w:cs="仿宋_GB2312" w:hint="eastAsia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z w:val="32"/>
          <w:szCs w:val="32"/>
        </w:rPr>
        <w:t>个班，幼儿园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个班）包含舞蹈、课本剧、朗诵、大合唱等。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假期组织全体教师对学生进行了两次大家访，内容包含对学生假期生活学习的指导、宣传</w:t>
      </w:r>
      <w:r>
        <w:rPr>
          <w:rFonts w:ascii="仿宋_GB2312" w:eastAsia="仿宋_GB2312" w:hAnsi="仿宋_GB2312" w:cs="仿宋_GB2312" w:hint="eastAsia"/>
          <w:sz w:val="32"/>
          <w:szCs w:val="32"/>
        </w:rPr>
        <w:t>防溺水和交通安全等。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6.9</w:t>
      </w:r>
      <w:r>
        <w:rPr>
          <w:rFonts w:ascii="仿宋_GB2312" w:eastAsia="仿宋_GB2312" w:hAnsi="仿宋_GB2312" w:cs="仿宋_GB2312" w:hint="eastAsia"/>
          <w:sz w:val="32"/>
          <w:szCs w:val="32"/>
        </w:rPr>
        <w:t>月开展了庆祝教师节暨青蓝工程结对仪式，通过表彰优秀教师、优秀班主任和师德标兵来激励全体教师，同时结对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组教师，让青年教师在师傅的引领下更快成长起来。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还开展了为期一个月的行为习惯养成教育月活动，分为最美教室评比、温馨寝室评比和就餐评比，并组织全体师生集中开展了“内务大比拼”现场叠被子和整理内务比赛。通过活动进一步促进孩子良好行为习惯的养成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sz w:val="32"/>
          <w:szCs w:val="32"/>
        </w:rPr>
        <w:t>至</w:t>
      </w:r>
      <w:r>
        <w:rPr>
          <w:rFonts w:ascii="仿宋_GB2312" w:eastAsia="仿宋_GB2312" w:hAnsi="仿宋_GB2312" w:cs="仿宋_GB2312" w:hint="eastAsia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</w:rPr>
        <w:t>日进行了为期两天的校运会，通过各项赛事的角逐进一步挖掘了学生的潜力，让更多的孩子投身到体育锻炼中，更好的促进学生的全面发展。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8.</w:t>
      </w:r>
      <w:r>
        <w:rPr>
          <w:rFonts w:ascii="仿宋_GB2312" w:eastAsia="仿宋_GB2312" w:hAnsi="仿宋_GB2312" w:cs="仿宋_GB2312" w:hint="eastAsia"/>
          <w:sz w:val="32"/>
          <w:szCs w:val="32"/>
        </w:rPr>
        <w:t>上半年进行了为期四个月的党史专题学习教育，分为学史明理、学史增信、学史崇德、学史力行。分别开展了建国前和建国后党史专题学习教育、并邀请教育局副局长杨清辉同志给全体教师上思政课，围绕“四有好老师”进行大讨论、观看时代楷模张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梅优秀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事迹视频并撰写观影心得、组织全体教师进行党史知识测试、积极开展为民办实事活动。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通过学习教育进一步增强全体教师“四个意识”、坚定“四个自</w:t>
      </w:r>
      <w:r>
        <w:rPr>
          <w:rFonts w:ascii="仿宋_GB2312" w:eastAsia="仿宋_GB2312" w:hAnsi="仿宋_GB2312" w:cs="仿宋_GB2312" w:hint="eastAsia"/>
          <w:sz w:val="32"/>
          <w:szCs w:val="32"/>
        </w:rPr>
        <w:t>信”并做到“两个维护”。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9.</w:t>
      </w:r>
      <w:r>
        <w:rPr>
          <w:rFonts w:ascii="仿宋_GB2312" w:eastAsia="仿宋_GB2312" w:hAnsi="仿宋_GB2312" w:cs="仿宋_GB2312" w:hint="eastAsia"/>
          <w:sz w:val="32"/>
          <w:szCs w:val="32"/>
        </w:rPr>
        <w:t>全年组织了四次跨校活动的开展：（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至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日，在师训中心和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完小专家团队的引领下，在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凉小开展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了为期三天的校本培训，参训教师中外校人数接近</w:t>
      </w:r>
      <w:r>
        <w:rPr>
          <w:rFonts w:ascii="仿宋_GB2312" w:eastAsia="仿宋_GB2312" w:hAnsi="仿宋_GB2312" w:cs="仿宋_GB2312" w:hint="eastAsia"/>
          <w:sz w:val="32"/>
          <w:szCs w:val="32"/>
        </w:rPr>
        <w:t>40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人，主要包括怎样备课、磨课、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观课和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评课。（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至</w:t>
      </w:r>
      <w:r>
        <w:rPr>
          <w:rFonts w:ascii="仿宋_GB2312" w:eastAsia="仿宋_GB2312" w:hAnsi="仿宋_GB2312" w:cs="仿宋_GB2312" w:hint="eastAsia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日，也是在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完小专家团队的引领下，开展了为期两天的活动，主要包括教研组建设和学校校本研修机制的建立。（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日凉小和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黄小开展片区教学交流活动。（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凉小承办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了新晃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县教学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竞赛活动凉伞片的预赛活动，共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名教师参与角逐。在县教研员杨国华和黄文福两位主任</w:t>
      </w:r>
      <w:r>
        <w:rPr>
          <w:rFonts w:ascii="仿宋_GB2312" w:eastAsia="仿宋_GB2312" w:hAnsi="仿宋_GB2312" w:cs="仿宋_GB2312" w:hint="eastAsia"/>
          <w:sz w:val="32"/>
          <w:szCs w:val="32"/>
        </w:rPr>
        <w:t>以及各校评委的评比下，最终评选出四人参与县级决赛，四位参赛教师都来自凉伞镇中心小学。</w:t>
      </w:r>
    </w:p>
    <w:p w:rsidR="004D1AD5" w:rsidRDefault="00DA52C7" w:rsidP="00AE5793">
      <w:pPr>
        <w:numPr>
          <w:ilvl w:val="0"/>
          <w:numId w:val="1"/>
        </w:numPr>
        <w:spacing w:beforeLines="50" w:before="156" w:beforeAutospacing="0" w:after="0" w:afterAutospacing="0" w:line="60" w:lineRule="auto"/>
        <w:ind w:left="0" w:firstLineChars="200" w:firstLine="640"/>
        <w:rPr>
          <w:rFonts w:ascii="黑体" w:eastAsia="黑体" w:hAnsi="黑体" w:cs="黑体"/>
          <w:sz w:val="32"/>
          <w:szCs w:val="32"/>
        </w:rPr>
      </w:pPr>
      <w:bookmarkStart w:id="0" w:name="_GoBack"/>
      <w:r>
        <w:rPr>
          <w:rFonts w:ascii="黑体" w:eastAsia="黑体" w:hAnsi="黑体" w:cs="黑体" w:hint="eastAsia"/>
          <w:sz w:val="32"/>
          <w:szCs w:val="32"/>
        </w:rPr>
        <w:t>所获荣誉情况</w:t>
      </w:r>
    </w:p>
    <w:bookmarkEnd w:id="0"/>
    <w:p w:rsidR="004D1AD5" w:rsidRDefault="00DA52C7" w:rsidP="00AE5793">
      <w:pPr>
        <w:numPr>
          <w:ilvl w:val="0"/>
          <w:numId w:val="2"/>
        </w:numPr>
        <w:spacing w:beforeLines="50" w:before="156" w:beforeAutospacing="0" w:after="0" w:afterAutospacing="0" w:line="60" w:lineRule="auto"/>
        <w:ind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学校荣誉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）在教育工会工作方面，被评为年度教育工会工作“先进单位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）在教师培训方面，被评为年度教师培训工作“先进单位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）在教育督导方面，被评为年度教育督导工作“先进单位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教师荣誉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）在第二十四届全国“新时代好少年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红心向党”主题教育读书活动中，吴怡老师、向胡标老师荣获全市指导教师一等奖，蒲俊老师、杨先环老师、杨华老师、龙文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冰老师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荣获全市指导教师二等奖，龙河研老师、吴佳宇老师、钱芳清老师荣获全市指导</w:t>
      </w:r>
      <w:r>
        <w:rPr>
          <w:rFonts w:ascii="仿宋_GB2312" w:eastAsia="仿宋_GB2312" w:hAnsi="仿宋_GB2312" w:cs="仿宋_GB2312" w:hint="eastAsia"/>
          <w:sz w:val="32"/>
          <w:szCs w:val="32"/>
        </w:rPr>
        <w:t>教师三等奖。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）在第二十四届全国“新时代好少年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红心向党”主题教育读书活动中，吴怡同志成绩显著，被评为“先进个人”。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textAlignment w:val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）姜胜荣老师撰写的文章《我的家训》光荣入选市教育局编辑的《好家教好家风好家训征集文稿》</w:t>
      </w:r>
    </w:p>
    <w:p w:rsidR="004D1AD5" w:rsidRDefault="00AE5793" w:rsidP="00AE5793">
      <w:pPr>
        <w:spacing w:beforeLines="50" w:before="156" w:beforeAutospacing="0" w:after="0" w:afterAutospacing="0" w:line="60" w:lineRule="auto"/>
        <w:ind w:left="0" w:firstLineChars="200" w:firstLine="562"/>
        <w:textAlignment w:val="auto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</w:t>
      </w:r>
      <w:r w:rsidR="00DA52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、社会公众与服务对象满意度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/>
        <w:jc w:val="left"/>
        <w:textAlignment w:val="auto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学校非常重视社会公众与服务对象满意度，采取家访电话交流等方式与他们联系，社会公众与服务对象满意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度满意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达到百分之九九。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三、存在的问题及原因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和谐、平安、活力校园文化的建设问题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科学、合理的聘用、考核、分配制度的建立与完善问题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学校多媒体资源配备和教师多媒体教学滞后的问题</w:t>
      </w:r>
      <w:r>
        <w:rPr>
          <w:rFonts w:ascii="仿宋" w:eastAsia="仿宋" w:hAnsi="仿宋" w:cs="仿宋" w:hint="eastAsia"/>
          <w:spacing w:val="-6"/>
          <w:sz w:val="32"/>
          <w:szCs w:val="32"/>
        </w:rPr>
        <w:t>预算编制工作有待细化。预算编制不够明确和细化，预算编制的合理性需要提高，预算执行力度还要进一</w:t>
      </w:r>
      <w:r>
        <w:rPr>
          <w:rFonts w:ascii="仿宋" w:eastAsia="仿宋" w:hAnsi="仿宋" w:cs="仿宋" w:hint="eastAsia"/>
          <w:spacing w:val="-6"/>
          <w:sz w:val="32"/>
          <w:szCs w:val="32"/>
        </w:rPr>
        <w:t>步加强。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四、提高财政资金绩效的措施与建议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深入实施“和谐发展策略”，在管理中追求和谐，着力塑造学校的品牌形象。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完善管理制度，进一步加强资产管理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加强新会计制度和新预算法学习培训。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left="0"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五、附件（佐证依据）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提供自评报告的有关文件、资料等，以进一步解释和证明报告所反映的相关内容。</w:t>
      </w:r>
      <w:r>
        <w:rPr>
          <w:rFonts w:ascii="仿宋" w:eastAsia="仿宋" w:hAnsi="仿宋" w:cs="仿宋" w:hint="eastAsia"/>
          <w:sz w:val="32"/>
          <w:szCs w:val="32"/>
        </w:rPr>
        <w:t xml:space="preserve">                           </w:t>
      </w:r>
    </w:p>
    <w:p w:rsidR="004D1AD5" w:rsidRDefault="00DA52C7" w:rsidP="00AE5793">
      <w:pPr>
        <w:spacing w:beforeLines="50" w:before="156" w:beforeAutospacing="0" w:after="0" w:afterAutospacing="0" w:line="60" w:lineRule="auto"/>
        <w:ind w:firstLineChars="1550" w:firstLine="496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凉伞镇中心小学</w:t>
      </w:r>
      <w:r>
        <w:rPr>
          <w:rFonts w:ascii="仿宋" w:eastAsia="仿宋" w:hAnsi="仿宋" w:cs="仿宋" w:hint="eastAsia"/>
          <w:sz w:val="32"/>
          <w:szCs w:val="32"/>
        </w:rPr>
        <w:t>（签章）</w:t>
      </w:r>
    </w:p>
    <w:p w:rsidR="004D1AD5" w:rsidRDefault="00DA52C7" w:rsidP="00AE5793">
      <w:pPr>
        <w:spacing w:beforeLines="50" w:before="156" w:beforeAutospacing="0" w:after="0" w:afterAutospacing="0" w:line="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4D1A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2C7" w:rsidRDefault="00DA52C7">
      <w:pPr>
        <w:spacing w:line="240" w:lineRule="auto"/>
      </w:pPr>
      <w:r>
        <w:separator/>
      </w:r>
    </w:p>
  </w:endnote>
  <w:endnote w:type="continuationSeparator" w:id="0">
    <w:p w:rsidR="00DA52C7" w:rsidRDefault="00DA52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2C7" w:rsidRDefault="00DA52C7">
      <w:pPr>
        <w:spacing w:before="0" w:after="0" w:line="240" w:lineRule="auto"/>
      </w:pPr>
      <w:r>
        <w:separator/>
      </w:r>
    </w:p>
  </w:footnote>
  <w:footnote w:type="continuationSeparator" w:id="0">
    <w:p w:rsidR="00DA52C7" w:rsidRDefault="00DA52C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1E508"/>
    <w:multiLevelType w:val="singleLevel"/>
    <w:tmpl w:val="0AE1E50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BCBD898"/>
    <w:multiLevelType w:val="singleLevel"/>
    <w:tmpl w:val="6BCBD89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JhNjdkNDkzNTU5NDIxMDNiYjBmYTdlYWIyOWE4NjMifQ=="/>
  </w:docVars>
  <w:rsids>
    <w:rsidRoot w:val="004354F2"/>
    <w:rsid w:val="002F06B9"/>
    <w:rsid w:val="004354F2"/>
    <w:rsid w:val="004D1AD5"/>
    <w:rsid w:val="007534B3"/>
    <w:rsid w:val="00A36E1A"/>
    <w:rsid w:val="00AE5793"/>
    <w:rsid w:val="00DA52C7"/>
    <w:rsid w:val="13B7718A"/>
    <w:rsid w:val="2FB3536B"/>
    <w:rsid w:val="46FF085C"/>
    <w:rsid w:val="5F9E1313"/>
    <w:rsid w:val="653E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before="100" w:beforeAutospacing="1" w:after="100" w:afterAutospacing="1" w:line="365" w:lineRule="atLeast"/>
      <w:ind w:left="1"/>
      <w:jc w:val="both"/>
      <w:textAlignment w:val="bottom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line="240" w:lineRule="auto"/>
      <w:ind w:left="0"/>
      <w:jc w:val="left"/>
      <w:textAlignment w:val="auto"/>
    </w:pPr>
    <w:rPr>
      <w:rFonts w:ascii="宋体" w:hAnsi="宋体" w:cs="宋体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b/>
      <w:bCs/>
    </w:rPr>
  </w:style>
  <w:style w:type="paragraph" w:styleId="a4">
    <w:name w:val="header"/>
    <w:basedOn w:val="a"/>
    <w:link w:val="Char"/>
    <w:uiPriority w:val="99"/>
    <w:unhideWhenUsed/>
    <w:rsid w:val="0075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34B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34B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34B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380</Words>
  <Characters>2168</Characters>
  <Application>Microsoft Office Word</Application>
  <DocSecurity>0</DocSecurity>
  <Lines>18</Lines>
  <Paragraphs>5</Paragraphs>
  <ScaleCrop>false</ScaleCrop>
  <Company>Home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4</cp:revision>
  <dcterms:created xsi:type="dcterms:W3CDTF">2023-05-16T01:11:00Z</dcterms:created>
  <dcterms:modified xsi:type="dcterms:W3CDTF">2023-05-24T06:26:00Z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90483E6514D0441EA576B301F8273C4A_12</vt:lpwstr>
  </property>
</Properties>
</file>