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C19FA" w14:textId="3B2FA76A" w:rsidR="0061720B" w:rsidRDefault="003D4768" w:rsidP="003D4768">
      <w:pPr>
        <w:pStyle w:val="Default"/>
        <w:spacing w:line="720" w:lineRule="auto"/>
        <w:ind w:firstLineChars="100" w:firstLine="320"/>
        <w:rPr>
          <w:rFonts w:hAnsi="黑体"/>
          <w:bCs/>
          <w:sz w:val="32"/>
          <w:szCs w:val="32"/>
        </w:rPr>
      </w:pPr>
      <w:bookmarkStart w:id="0" w:name="_GoBack"/>
      <w:bookmarkEnd w:id="0"/>
      <w:r>
        <w:rPr>
          <w:rFonts w:hAnsi="黑体" w:hint="eastAsia"/>
          <w:bCs/>
          <w:sz w:val="32"/>
          <w:szCs w:val="32"/>
        </w:rPr>
        <w:t>林冲镇人民政府</w:t>
      </w:r>
      <w:r>
        <w:rPr>
          <w:rFonts w:hAnsi="黑体" w:hint="eastAsia"/>
          <w:bCs/>
          <w:sz w:val="32"/>
          <w:szCs w:val="32"/>
        </w:rPr>
        <w:t>关于</w:t>
      </w:r>
      <w:r>
        <w:rPr>
          <w:rFonts w:ascii="Times New Roman" w:eastAsia="仿宋_GB2312" w:hAnsi="Times New Roman" w:hint="eastAsia"/>
          <w:sz w:val="32"/>
          <w:szCs w:val="32"/>
        </w:rPr>
        <w:t>202</w:t>
      </w:r>
      <w:r>
        <w:rPr>
          <w:rFonts w:ascii="Times New Roman" w:eastAsia="仿宋_GB2312" w:hAnsi="Times New Roman" w:hint="eastAsia"/>
          <w:sz w:val="32"/>
          <w:szCs w:val="32"/>
        </w:rPr>
        <w:t>3</w:t>
      </w:r>
      <w:r>
        <w:rPr>
          <w:rFonts w:hAnsi="黑体" w:hint="eastAsia"/>
          <w:bCs/>
          <w:sz w:val="32"/>
          <w:szCs w:val="32"/>
        </w:rPr>
        <w:t>年度预算绩效情况的说明</w:t>
      </w:r>
    </w:p>
    <w:p w14:paraId="257D9EB6" w14:textId="77777777" w:rsidR="0061720B" w:rsidRDefault="0061720B"/>
    <w:p w14:paraId="4B9CD697" w14:textId="78D12B5F" w:rsidR="0061720B" w:rsidRDefault="003D4768" w:rsidP="003D4768">
      <w:pPr>
        <w:pStyle w:val="Default"/>
        <w:numPr>
          <w:ilvl w:val="0"/>
          <w:numId w:val="1"/>
        </w:numPr>
        <w:spacing w:line="580" w:lineRule="exact"/>
        <w:rPr>
          <w:rFonts w:ascii="楷体" w:eastAsia="楷体" w:hAnsi="楷体" w:cs="楷体" w:hint="eastAsia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绩效管理工作开展情况</w:t>
      </w:r>
    </w:p>
    <w:p w14:paraId="2E366BC5" w14:textId="3C58273A" w:rsidR="003D4768" w:rsidRPr="003D4768" w:rsidRDefault="003D4768" w:rsidP="003D4768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严格按照《预算法》和相关财经纪律要求，厉行节约，杜绝不合理开支，降低行政成本，努力让财政资金发挥最大效益，较好地完成了全年预算。</w:t>
      </w:r>
      <w:r w:rsidRPr="00872E0B">
        <w:rPr>
          <w:rFonts w:ascii="仿宋" w:eastAsia="仿宋" w:hAnsi="仿宋" w:cs="仿宋" w:hint="eastAsia"/>
          <w:sz w:val="32"/>
          <w:szCs w:val="32"/>
        </w:rPr>
        <w:t>2023年全年预算总支出1807.73万元。经费支出1250.69万元，比去年增加54.29万元，其中：人员经费支出903万元，比上年减少了52万元，主要是因为人员的减少。日常公用经费,231.00万元，比上年减少10万元，主要原因是厉行节约，缩减开支。</w:t>
      </w:r>
    </w:p>
    <w:p w14:paraId="0157170E" w14:textId="77777777" w:rsidR="0061720B" w:rsidRDefault="003D4768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（二）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部门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（单位）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整体支出绩效情况</w:t>
      </w:r>
    </w:p>
    <w:p w14:paraId="7D3F399C" w14:textId="77777777" w:rsidR="003D4768" w:rsidRDefault="003D4768" w:rsidP="003D4768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2023年，我们坚持以习近平新时代中国特色社会主义思想为指导，深入学习党的二十大精神，全面贯彻落实中央和省、市、县委各项决策部署，在镇党委的坚强领导下，在镇人大的监督支持下，对标对表“产业兴旺、生态宜居、乡风文明、治理有效、生活富裕”的乡村振兴总要求，紧紧围绕县委县政府“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一堡五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高地”的战略目标和“产业为本、基础先行、金融为器、规划引领、项目为王”的总体思路，牢牢把握“民生实事、经济发展、安全生产、安全维稳”四个关键，坚定不移抓产业发展、促乡村振兴、保社会稳定、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强政府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建设，不断推动林冲经济社会高质量发展。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生态保护与人居环境建设方面：</w:t>
      </w:r>
      <w:r>
        <w:rPr>
          <w:rFonts w:ascii="仿宋_GB2312" w:eastAsia="仿宋_GB2312" w:hAnsi="仿宋_GB2312" w:cs="仿宋_GB2312" w:hint="eastAsia"/>
          <w:sz w:val="32"/>
          <w:szCs w:val="32"/>
        </w:rPr>
        <w:t>召开多次环境综合整治部署会、推进会，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做好宣传。截止目前，共投资120万元，出动人力</w:t>
      </w:r>
      <w:r>
        <w:rPr>
          <w:rFonts w:ascii="仿宋_GB2312" w:eastAsia="仿宋_GB2312" w:hAnsi="仿宋_GB2312" w:cs="仿宋_GB2312"/>
          <w:sz w:val="32"/>
          <w:szCs w:val="32"/>
        </w:rPr>
        <w:t>1000</w:t>
      </w:r>
      <w:r>
        <w:rPr>
          <w:rFonts w:ascii="仿宋_GB2312" w:eastAsia="仿宋_GB2312" w:hAnsi="仿宋_GB2312" w:cs="仿宋_GB2312" w:hint="eastAsia"/>
          <w:sz w:val="32"/>
          <w:szCs w:val="32"/>
        </w:rPr>
        <w:t>人次，出动大型车辆14台次清理生活垃圾8吨，清理柴草垛15处，清理公路43.4延长米，清理庭院39个，清理畜禽粪污4立方米，拆除废旧圈舍11处，拆除“空心房”16处，清理小广告89处，农资废弃物回收256公斤。绿化投资30万元，美化投资60万元，用于购买乔木、灌木、花卉，林冲人居环境焕然一新</w:t>
      </w:r>
      <w:r>
        <w:rPr>
          <w:rFonts w:ascii="仿宋" w:eastAsia="仿宋" w:hAnsi="仿宋" w:cs="仿宋" w:hint="eastAsia"/>
          <w:sz w:val="32"/>
          <w:szCs w:val="32"/>
        </w:rPr>
        <w:t>。</w:t>
      </w:r>
      <w:r>
        <w:rPr>
          <w:rFonts w:ascii="仿宋" w:eastAsia="仿宋" w:hAnsi="仿宋" w:cs="仿宋" w:hint="eastAsia"/>
          <w:b/>
          <w:bCs/>
          <w:sz w:val="32"/>
          <w:szCs w:val="32"/>
        </w:rPr>
        <w:t>社会治理方面：</w:t>
      </w:r>
      <w:r>
        <w:rPr>
          <w:rFonts w:ascii="仿宋_GB2312" w:eastAsia="仿宋_GB2312" w:hAnsi="宋体" w:cs="Arial" w:hint="eastAsia"/>
          <w:sz w:val="32"/>
          <w:szCs w:val="32"/>
        </w:rPr>
        <w:t>共排查矛盾纠纷45件，化解44件，成功率98%。切实加强了社会治安，开展黄、赌、毒查禁活动40余次。启动了唐家、大堡“平安乡村”</w:t>
      </w:r>
      <w:proofErr w:type="gramStart"/>
      <w:r>
        <w:rPr>
          <w:rFonts w:ascii="仿宋_GB2312" w:eastAsia="仿宋_GB2312" w:hAnsi="宋体" w:cs="Arial" w:hint="eastAsia"/>
          <w:sz w:val="32"/>
          <w:szCs w:val="32"/>
        </w:rPr>
        <w:t>天翼云监控系统</w:t>
      </w:r>
      <w:proofErr w:type="gramEnd"/>
      <w:r>
        <w:rPr>
          <w:rFonts w:ascii="仿宋_GB2312" w:eastAsia="仿宋_GB2312" w:hAnsi="宋体" w:cs="Arial" w:hint="eastAsia"/>
          <w:sz w:val="32"/>
          <w:szCs w:val="32"/>
        </w:rPr>
        <w:t>创建工作，安装云监控100余台，建立联防监控、联防调度，在保障治安防控、侦查破案等方面发挥重要作用。狠抓安全生产，对加油站烟花爆竹、交通、消防、食品、建筑等重点安全领域，开展定期与不定期安全隐患检查80余次，共排查出安全隐患102处，落实行</w:t>
      </w:r>
      <w:r>
        <w:rPr>
          <w:rFonts w:ascii="仿宋_GB2312" w:eastAsia="仿宋_GB2312" w:hAnsi="仿宋_GB2312" w:cs="仿宋_GB2312" w:hint="eastAsia"/>
          <w:sz w:val="32"/>
          <w:szCs w:val="32"/>
        </w:rPr>
        <w:t>政处罚10次，实现了安全生产零事故。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发展农业方面：</w:t>
      </w:r>
      <w:r>
        <w:rPr>
          <w:rFonts w:ascii="仿宋_GB2312" w:eastAsia="仿宋_GB2312" w:hAnsi="仿宋_GB2312" w:cs="仿宋_GB2312" w:hint="eastAsia"/>
          <w:sz w:val="32"/>
          <w:szCs w:val="32"/>
        </w:rPr>
        <w:t>做大做强生猪、黄牛、黄精、烤烟等特质农业产业，在高坪村、唐家村、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道丁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村、地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村规划布局仔猪繁育、生猪育肥、粪污处理全链条生猪产业，建成了7家规模养殖农场，形成年出栏生猪15万头的规模。在天堂、地习、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道丁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、地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甫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等村规划“天堂”牌烤烟种植基地3000亩，通过技术改进、管理模式提升，将亩均产值增加到了5000元以上。在林冲、高坪、大堡、天堂等村计划发展林下黄精种植3000亩，积极推进万亩林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下黄精乡镇规划实施。稳妥推进黄牛养殖、贡溪鸡等产业发展。</w:t>
      </w:r>
    </w:p>
    <w:p w14:paraId="7D922348" w14:textId="77777777" w:rsidR="003D4768" w:rsidRPr="00DE5E9A" w:rsidRDefault="003D4768" w:rsidP="003D4768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根据《部门整体支出绩效评价指标》评分表，</w:t>
      </w:r>
      <w:r w:rsidRPr="00DE5E9A">
        <w:rPr>
          <w:rFonts w:ascii="仿宋" w:eastAsia="仿宋" w:hAnsi="仿宋" w:cs="仿宋" w:hint="eastAsia"/>
          <w:sz w:val="32"/>
          <w:szCs w:val="32"/>
        </w:rPr>
        <w:t>自评得分95.5分，整体支出绩效为“优秀”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ECF2833" w14:textId="77777777" w:rsidR="0061720B" w:rsidRDefault="003D4768">
      <w:pPr>
        <w:pStyle w:val="Default"/>
        <w:spacing w:line="580" w:lineRule="exact"/>
        <w:ind w:firstLineChars="200" w:firstLine="643"/>
        <w:rPr>
          <w:rFonts w:ascii="楷体" w:eastAsia="楷体" w:hAnsi="楷体" w:cs="楷体"/>
          <w:b/>
          <w:bCs/>
          <w:sz w:val="32"/>
          <w:szCs w:val="32"/>
        </w:rPr>
      </w:pPr>
      <w:r>
        <w:rPr>
          <w:rFonts w:ascii="楷体" w:eastAsia="楷体" w:hAnsi="楷体" w:cs="楷体" w:hint="eastAsia"/>
          <w:b/>
          <w:bCs/>
          <w:sz w:val="32"/>
          <w:szCs w:val="32"/>
        </w:rPr>
        <w:t>（三）</w:t>
      </w:r>
      <w:r>
        <w:rPr>
          <w:rFonts w:ascii="楷体" w:eastAsia="楷体" w:hAnsi="楷体" w:cs="楷体" w:hint="eastAsia"/>
          <w:b/>
          <w:bCs/>
          <w:sz w:val="32"/>
          <w:szCs w:val="32"/>
        </w:rPr>
        <w:t>存在的问题及原因分析</w:t>
      </w:r>
    </w:p>
    <w:p w14:paraId="332A229C" w14:textId="0B94EEBC" w:rsidR="003D4768" w:rsidRDefault="003D4768" w:rsidP="003D4768">
      <w:pPr>
        <w:spacing w:line="5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我镇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财政资金紧张，资金缺口过大，特别是政府公用经费尤其紧张。公用经费实行定额标准管理，预算标准与实际执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行脱节，在很大程度上影响了资金的使用效率。各种矛盾凸显，导致我镇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基本保障面临巨大的压力。</w:t>
      </w:r>
    </w:p>
    <w:p w14:paraId="0AD73D51" w14:textId="77777777" w:rsidR="0061720B" w:rsidRPr="003D4768" w:rsidRDefault="0061720B"/>
    <w:sectPr w:rsidR="0061720B" w:rsidRPr="003D4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420AE"/>
    <w:multiLevelType w:val="hybridMultilevel"/>
    <w:tmpl w:val="F3721300"/>
    <w:lvl w:ilvl="0" w:tplc="6F9C288C">
      <w:start w:val="1"/>
      <w:numFmt w:val="japaneseCounting"/>
      <w:lvlText w:val="（%1）"/>
      <w:lvlJc w:val="left"/>
      <w:pPr>
        <w:ind w:left="172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iZjM2MjQwZTcwNjYyYzc4NDQ2ZDkzYWM3NGZmNDAifQ=="/>
  </w:docVars>
  <w:rsids>
    <w:rsidRoot w:val="0061720B"/>
    <w:rsid w:val="003D4768"/>
    <w:rsid w:val="0061720B"/>
    <w:rsid w:val="489A18C8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194</Words>
  <Characters>1112</Characters>
  <Application>Microsoft Office Word</Application>
  <DocSecurity>0</DocSecurity>
  <Lines>9</Lines>
  <Paragraphs>2</Paragraphs>
  <ScaleCrop>false</ScaleCrop>
  <Company>china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2024-09-27T02:39:00Z</dcterms:created>
  <dcterms:modified xsi:type="dcterms:W3CDTF">2024-09-27T02:39:00Z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12A71744045445B687D66BD13FB312DC_12</vt:lpwstr>
  </property>
</Properties>
</file>