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jc w:val="center"/>
        <w:textAlignment w:val="auto"/>
        <w:rPr>
          <w:rFonts w:hint="eastAsia" w:ascii="黑体" w:hAnsi="黑体" w:eastAsia="黑体" w:cs="黑体"/>
          <w:b/>
          <w:bCs w:val="0"/>
          <w:sz w:val="36"/>
          <w:szCs w:val="36"/>
        </w:rPr>
      </w:pPr>
      <w:r>
        <w:rPr>
          <w:rFonts w:hint="eastAsia" w:hAnsi="黑体" w:cs="黑体"/>
          <w:b/>
          <w:bCs w:val="0"/>
          <w:sz w:val="36"/>
          <w:szCs w:val="36"/>
          <w:lang w:val="en-US" w:eastAsia="zh-CN"/>
        </w:rPr>
        <w:t>林冲镇人民政府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关于</w:t>
      </w:r>
      <w:r>
        <w:rPr>
          <w:rFonts w:hint="eastAsia" w:ascii="Times New Roman" w:hAnsi="Times New Roman" w:eastAsia="仿宋_GB2312"/>
          <w:b/>
          <w:bCs w:val="0"/>
          <w:sz w:val="36"/>
          <w:szCs w:val="36"/>
        </w:rPr>
        <w:t>202</w:t>
      </w:r>
      <w:r>
        <w:rPr>
          <w:rFonts w:hint="eastAsia" w:ascii="Times New Roman" w:hAnsi="Times New Roman" w:eastAsia="仿宋_GB2312"/>
          <w:b/>
          <w:bCs w:val="0"/>
          <w:sz w:val="36"/>
          <w:szCs w:val="36"/>
          <w:lang w:val="en-US" w:eastAsia="zh-CN"/>
        </w:rPr>
        <w:t>2</w:t>
      </w:r>
      <w:r>
        <w:rPr>
          <w:rFonts w:hint="eastAsia" w:ascii="黑体" w:hAnsi="黑体" w:eastAsia="黑体" w:cs="黑体"/>
          <w:b/>
          <w:bCs w:val="0"/>
          <w:sz w:val="36"/>
          <w:szCs w:val="36"/>
        </w:rPr>
        <w:t>年度预算绩效情况的说明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根据预算绩效管理要求，本部门组织对2022年度一般公共预算项目支出全面开展绩效自评，共涉及项目8个，预算资金296.49万元，项目实际支出296.49万元，占一般公共预算项目支出总额的100%。从评价情况来看2022年度项目立项规范，预算编制合理，预算绩效目标明确，资金执行情况良好，项目资金使用规范，项目产出和效果达到预期目标，有力保障了林冲镇人民政府各项职能的履行，项目可持续性强，群众及村干部满意度高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0" w:firstLineChars="200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林冲镇2022年度收入总计1752.94万元，支出总计1752.94万元。本镇</w:t>
      </w:r>
      <w:r>
        <w:rPr>
          <w:rFonts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财政拨款支出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1652.96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</w:t>
      </w:r>
      <w:bookmarkStart w:id="0" w:name="START_PAY_AMT_1"/>
      <w:bookmarkEnd w:id="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主要用于以下方面：</w:t>
      </w:r>
      <w:bookmarkStart w:id="1" w:name="START_PAY_YBGGFWZC_AMT_1"/>
      <w:bookmarkEnd w:id="1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一般公共服务支出（类）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417.01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万元，占比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25.65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%；</w:t>
      </w:r>
      <w:bookmarkStart w:id="2" w:name="END_PAY_YBGGFWZC_AMT_1"/>
      <w:bookmarkEnd w:id="2"/>
      <w:bookmarkStart w:id="3" w:name="START_PAY_WJZC_AMT_1"/>
      <w:bookmarkEnd w:id="3"/>
      <w:bookmarkStart w:id="4" w:name="START_PAY_GFZC_AMT_1"/>
      <w:bookmarkEnd w:id="4"/>
      <w:bookmarkStart w:id="5" w:name="START_PAY_GGAQZC_AMT_1"/>
      <w:bookmarkEnd w:id="5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公共安全支出（类）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0.23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万元，占比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0.01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%；</w:t>
      </w:r>
      <w:bookmarkStart w:id="6" w:name="END_PAY_GGAQZC_AMT_1"/>
      <w:bookmarkEnd w:id="6"/>
      <w:bookmarkStart w:id="7" w:name="START_PAY_JYZC_AMT_1"/>
      <w:bookmarkEnd w:id="7"/>
      <w:bookmarkStart w:id="8" w:name="START_PAY_KXJSZC_AMT_1"/>
      <w:bookmarkEnd w:id="8"/>
      <w:bookmarkStart w:id="9" w:name="START_PAY_WHLYTYYCMZC_AMT_1"/>
      <w:bookmarkEnd w:id="9"/>
      <w:bookmarkStart w:id="10" w:name="START_PAY_SHBXYJYZC_AMT_1"/>
      <w:bookmarkEnd w:id="1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社会保障和就业支出（类）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57.57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万元，占比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3.54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%；</w:t>
      </w:r>
      <w:bookmarkStart w:id="11" w:name="END_PAY_SHBXYJYZC_AMT_1"/>
      <w:bookmarkEnd w:id="11"/>
      <w:bookmarkStart w:id="12" w:name="START_PAY_SHBXJJZC_AMT_1"/>
      <w:bookmarkEnd w:id="12"/>
      <w:bookmarkStart w:id="13" w:name="START_PAY_WSJKZC_AMT_1"/>
      <w:bookmarkEnd w:id="13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卫生健康支出（类）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34.95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万元，占比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2.15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%；</w:t>
      </w:r>
      <w:bookmarkStart w:id="14" w:name="END_PAY_WSJKZC_AMT_1"/>
      <w:bookmarkEnd w:id="14"/>
      <w:bookmarkStart w:id="15" w:name="START_PAY_JNHBZC_AMT_1"/>
      <w:bookmarkEnd w:id="15"/>
      <w:bookmarkStart w:id="16" w:name="START_PAY_CXSQZC_AMT_1"/>
      <w:bookmarkEnd w:id="16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城乡社区支出（类）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14.26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万元，占比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0.88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%；</w:t>
      </w:r>
      <w:bookmarkStart w:id="17" w:name="END_PAY_CXSQZC_AMT_1"/>
      <w:bookmarkEnd w:id="17"/>
      <w:bookmarkStart w:id="18" w:name="START_PAY_NLSZC_AMT_1"/>
      <w:bookmarkEnd w:id="18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农林水支出（类）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982.83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万元，占比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60.45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%；</w:t>
      </w:r>
      <w:bookmarkStart w:id="19" w:name="END_PAY_NLSZC_AMT_1"/>
      <w:bookmarkEnd w:id="19"/>
      <w:bookmarkStart w:id="20" w:name="START_PAY_JTYSZC_AMT_1"/>
      <w:bookmarkEnd w:id="20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交通运输支出（类）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56.56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万元，占比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3.48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%；</w:t>
      </w:r>
      <w:bookmarkStart w:id="21" w:name="END_PAY_JTYSZC_AMT_1"/>
      <w:bookmarkEnd w:id="21"/>
      <w:bookmarkStart w:id="22" w:name="START_PAY_ZYKTXXZC_AMT_1"/>
      <w:bookmarkEnd w:id="22"/>
      <w:bookmarkStart w:id="23" w:name="START_PAY_SYFWDZC_AMT_1"/>
      <w:bookmarkEnd w:id="23"/>
      <w:bookmarkStart w:id="24" w:name="START_PAY_JRZC_AMT_1"/>
      <w:bookmarkEnd w:id="24"/>
      <w:bookmarkStart w:id="25" w:name="START_PAY_YZQTDFZC_AMT_1"/>
      <w:bookmarkEnd w:id="25"/>
      <w:bookmarkStart w:id="26" w:name="START_PAY_ZRZYHYQXZC_AMT_1"/>
      <w:bookmarkEnd w:id="26"/>
      <w:bookmarkStart w:id="27" w:name="START_PAY_ZFBZZC_AMT_1"/>
      <w:bookmarkEnd w:id="27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住房保障支出（类）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46.48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万元，占比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2.86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%；</w:t>
      </w:r>
      <w:bookmarkStart w:id="28" w:name="END_PAY_ZFBZZC_AMT_1"/>
      <w:bookmarkEnd w:id="28"/>
      <w:bookmarkStart w:id="29" w:name="START_PAY_LYWZCBZC_AMT_1"/>
      <w:bookmarkEnd w:id="29"/>
      <w:bookmarkStart w:id="30" w:name="START_PAY_GYZBJYYSZC_AMT_1"/>
      <w:bookmarkEnd w:id="30"/>
      <w:bookmarkStart w:id="31" w:name="START_PAY_ZHFZJYJGLZC_AMT_1"/>
      <w:bookmarkEnd w:id="31"/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灾害防治及应急管理支（类）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16.08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万元，占比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val="en-US" w:eastAsia="zh-CN"/>
        </w:rPr>
        <w:t>0.99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</w:rPr>
        <w:t>%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32"/>
          <w:szCs w:val="32"/>
          <w:shd w:val="clear" w:fill="FFFFFF"/>
          <w:lang w:eastAsia="zh-CN"/>
        </w:rPr>
        <w:t>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0" w:firstLineChars="200"/>
        <w:jc w:val="left"/>
        <w:textAlignment w:val="auto"/>
        <w:rPr>
          <w:rFonts w:hint="eastAsia" w:ascii="Times New Roman" w:hAnsi="Times New Roman" w:eastAsia="仿宋_GB2312"/>
          <w:sz w:val="30"/>
          <w:szCs w:val="30"/>
          <w:lang w:val="en-US" w:eastAsia="zh-CN"/>
        </w:rPr>
      </w:pPr>
      <w:bookmarkStart w:id="32" w:name="_GoBack"/>
      <w:bookmarkEnd w:id="32"/>
      <w:r>
        <w:rPr>
          <w:rFonts w:hint="eastAsia" w:ascii="Times New Roman" w:hAnsi="Times New Roman" w:eastAsia="仿宋_GB2312"/>
          <w:sz w:val="30"/>
          <w:szCs w:val="30"/>
          <w:lang w:val="en-US" w:eastAsia="zh-CN"/>
        </w:rPr>
        <w:t>我镇落实年初预算安排，明确指出方向，保证资金用途。强化预算绩效管理责任，落实落细过紧日子要求，严格预算刚性约束，规范预算调剂。2022年度部门预算执行情况良好，部门整体支出产出和效果达到预期目标。一是坚持全面从严治党，保证党的路线、方针、政策坚决贯彻落实；二是完善镇政府公共服务职能，稳定社会保障体系正常运转；三是强化公共管理职能，加强村镇规划建设和环境保护，健全公共突发事件的预防和应急处理机制，确保农村社会和谐稳定。四是保障公共安全，加强安全生产、食品药品、生态建设等监督管理体系，完善执法机制，增强执法监管能力。五是加强了</w:t>
      </w:r>
      <w:r>
        <w:rPr>
          <w:rFonts w:hint="eastAsia" w:ascii="Times New Roman" w:hAnsi="Times New Roman" w:eastAsia="仿宋_GB2312"/>
          <w:sz w:val="30"/>
          <w:szCs w:val="30"/>
        </w:rPr>
        <w:t>资产管理</w:t>
      </w:r>
      <w:r>
        <w:rPr>
          <w:rFonts w:hint="eastAsia" w:ascii="Times New Roman" w:hAnsi="Times New Roman" w:eastAsia="仿宋_GB2312"/>
          <w:sz w:val="30"/>
          <w:szCs w:val="30"/>
          <w:lang w:eastAsia="zh-CN"/>
        </w:rPr>
        <w:t>制度，进一步规范资产管理制度，提高资产使用效益，每年开展一次固定资产清理，推动资产的合理配合有效使用，确保资产保值增值。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1.积极做好对往来款项的清理工作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因往年会计处理不当，财务管理人员变动频繁等原因，往来账款混乱，需对政府债务债权类科目及时清理，才能真实反映经济活动和经费支出，避免并减少不必要的损失出现。按年度清理往来账款，对拖欠借款的个人及单位景象追缴工作，必要时采取强制措施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加强对固定资产的管理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00" w:firstLineChars="200"/>
        <w:textAlignment w:val="auto"/>
        <w:rPr>
          <w:rFonts w:hint="default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</w:pPr>
      <w:r>
        <w:rPr>
          <w:rFonts w:hint="eastAsia" w:ascii="Times New Roman" w:hAnsi="Times New Roman" w:eastAsia="仿宋_GB2312" w:cs="黑体"/>
          <w:color w:val="000000"/>
          <w:kern w:val="0"/>
          <w:sz w:val="30"/>
          <w:szCs w:val="30"/>
          <w:lang w:val="en-US" w:eastAsia="zh-CN" w:bidi="ar-SA"/>
        </w:rPr>
        <w:t>固定资产是单位开展业务及其它活动的重要物质条件，其种类繁多，规格不一，在管理方面，很多人长期不重视，存在着重钱轻物，重采购轻管理的思想。为避免国有资产的损失和浪费，进一步完善固定资产管理制度，强化监管职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4543C4"/>
    <w:multiLevelType w:val="singleLevel"/>
    <w:tmpl w:val="554543C4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FmODE3MTQwMmZmYTQyYTI1ZjE0Nzk5N2UzMGRiYzMifQ=="/>
  </w:docVars>
  <w:rsids>
    <w:rsidRoot w:val="00000000"/>
    <w:rsid w:val="0D09207A"/>
    <w:rsid w:val="1AC84B17"/>
    <w:rsid w:val="28C22931"/>
    <w:rsid w:val="29BD6079"/>
    <w:rsid w:val="314D409C"/>
    <w:rsid w:val="3B6E08B1"/>
    <w:rsid w:val="51241B8B"/>
    <w:rsid w:val="727342FE"/>
    <w:rsid w:val="7B9A1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86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2023-11-09T08:52:36Z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009CFAC7661B49BEAF8C1989F94D564B_13</vt:lpwstr>
  </property>
</Properties>
</file>