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bCs w:val="0"/>
          <w:spacing w:val="-23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离任村干部生活补助</w:t>
      </w:r>
      <w:r>
        <w:rPr>
          <w:rStyle w:val="5"/>
          <w:rFonts w:hint="eastAsia"/>
          <w:b w:val="0"/>
          <w:spacing w:val="-23"/>
          <w:sz w:val="44"/>
          <w:szCs w:val="44"/>
          <w:u w:val="none"/>
        </w:rPr>
        <w:t xml:space="preserve">  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（二）项目概况：资金主要用于解决好60周岁以上离任村干部生活补助问题。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1、总体目标：保障老党老干补贴待遇，帮助老党老干解决突发性和紧迫性的生活困难，显著改善老党老干晚年生活。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2、阶段性目标：保障全镇离任村干部生活补助绩效。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该项目绩效评价对象为村级经费项目经费使用情况和效果，具体为资金拨付、项目的开展、离任村干部生活补助发放等目标是否完成等。绩效评价范围为资金的使用是否规范，离任村干部生活补助是否发放到位。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年度，年初预算安排48.48万元，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48.48</w:t>
      </w:r>
      <w:r>
        <w:rPr>
          <w:rFonts w:hint="eastAsia" w:ascii="仿宋" w:hAnsi="仿宋" w:eastAsia="仿宋" w:cs="仿宋"/>
          <w:sz w:val="32"/>
          <w:szCs w:val="32"/>
        </w:rPr>
        <w:t>万元。主要用离任村干部生活补助。项目资金属于专款专用资金，接受财政、审计部门的监督，做到专款专用，无占用、挪用等情况，财务制度健全，财务处理及时，会计核算规范。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spacing w:line="560" w:lineRule="exact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根据上级规定，对离任村干部发放工资报酬，由各乡镇党建办统计，上报县委组织部审批，每月按时发放。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离任村干部生活补助资金项目年初预算安排48.48万元，本年支出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48.48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资金主要用于离任村干部生活补助发放。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离任村干部生活补助经费保量发放到位。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离任村干部生活补助按时发放,满意度高。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C4112"/>
    <w:rsid w:val="156250F2"/>
    <w:rsid w:val="3DF55DF3"/>
    <w:rsid w:val="43DF7821"/>
    <w:rsid w:val="44BD11A2"/>
    <w:rsid w:val="4E51554E"/>
    <w:rsid w:val="5E8C1013"/>
    <w:rsid w:val="75E2641E"/>
    <w:rsid w:val="7BAC4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2025-03-18T07:54:00Z</dcterms:created>
  <dc:creator>Lenovo</dc:creator>
  <cp:lastModifiedBy>Lenovo</cp:lastModifiedBy>
  <cp:lastPrinted>2025-03-24T03:58:35Z</cp:lastPrinted>
  <dcterms:modified xsi:type="dcterms:W3CDTF">2025-03-24T03:58:38Z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