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bCs w:val="0"/>
          <w:spacing w:val="-23"/>
          <w:sz w:val="44"/>
          <w:szCs w:val="44"/>
          <w:u w:val="none"/>
        </w:rPr>
      </w:pPr>
      <w:r>
        <w:rPr>
          <w:rFonts w:hint="eastAsia" w:ascii="宋体" w:hAnsi="宋体" w:eastAsia="方正粗宋简体"/>
          <w:b/>
          <w:w w:val="85"/>
          <w:sz w:val="44"/>
          <w:szCs w:val="44"/>
          <w:u w:val="none"/>
        </w:rPr>
        <w:t>2024</w:t>
      </w:r>
      <w:r>
        <w:rPr>
          <w:rFonts w:ascii="宋体" w:hAnsi="宋体"/>
          <w:b/>
          <w:w w:val="85"/>
          <w:sz w:val="44"/>
          <w:szCs w:val="44"/>
          <w:u w:val="none"/>
        </w:rPr>
        <w:t>年度</w:t>
      </w:r>
      <w:bookmarkStart w:id="0" w:name="_GoBack"/>
      <w:bookmarkEnd w:id="0"/>
      <w:r>
        <w:rPr>
          <w:rFonts w:hint="eastAsia"/>
          <w:b/>
          <w:w w:val="85"/>
          <w:sz w:val="44"/>
          <w:szCs w:val="44"/>
          <w:u w:val="none"/>
          <w:lang w:eastAsia="zh-CN"/>
        </w:rPr>
        <w:t>波洲镇人民政府</w:t>
      </w:r>
      <w:r>
        <w:rPr>
          <w:rStyle w:val="5"/>
          <w:rFonts w:hint="eastAsia" w:cs="Times New Roman"/>
          <w:bCs w:val="0"/>
          <w:spacing w:val="-23"/>
          <w:sz w:val="44"/>
          <w:szCs w:val="44"/>
          <w:u w:val="none"/>
          <w:lang w:eastAsia="zh-CN"/>
        </w:rPr>
        <w:t>村干基本报酬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项目</w:t>
      </w:r>
      <w:r>
        <w:rPr>
          <w:rFonts w:ascii="宋体" w:hAnsi="宋体"/>
          <w:b/>
          <w:w w:val="85"/>
          <w:sz w:val="44"/>
          <w:szCs w:val="44"/>
          <w:u w:val="none"/>
        </w:rPr>
        <w:t>支出</w:t>
      </w:r>
      <w:r>
        <w:rPr>
          <w:rFonts w:hint="eastAsia" w:ascii="宋体" w:hAnsi="宋体"/>
          <w:b/>
          <w:w w:val="85"/>
          <w:sz w:val="44"/>
          <w:szCs w:val="44"/>
          <w:u w:val="none"/>
        </w:rPr>
        <w:t>绩效</w:t>
      </w:r>
      <w:r>
        <w:rPr>
          <w:rFonts w:ascii="宋体" w:hAnsi="宋体"/>
          <w:b/>
          <w:w w:val="85"/>
          <w:sz w:val="44"/>
          <w:szCs w:val="44"/>
          <w:u w:val="none"/>
        </w:rPr>
        <w:t>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（二）项目概况：村干部基本报酬正常发放。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1、总体目标：村干部基本报酬正常发放，稳定村干部队伍，让村干部更安心工作，更好的服务群众，增加人民获得感。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2、阶段性目标：保障村干部基本报酬按时发放。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该项目绩效评价对象为村干基本报酬项目经费使用情况和效果，具体为资金拨付、项目的开展、村干工资发放等目标是否完成等。绩效评价范围为资金的使用是否规范，村干工资是否发放到位。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年度，年初预算安排149.16万元，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2024</w:t>
      </w:r>
      <w:r>
        <w:rPr>
          <w:rFonts w:hint="eastAsia" w:ascii="仿宋" w:hAnsi="仿宋" w:eastAsia="仿宋" w:cs="仿宋"/>
          <w:sz w:val="32"/>
          <w:szCs w:val="32"/>
        </w:rPr>
        <w:t>年支付149.16万元。主要用于村干部基本工资报酬报酬的支付。项目资金属于专款专用资金，接受财政、审计部门的监督，做到专款专用，无占用、挪用等情况，财务制度健全，财务处理及时，会计核算规范。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本项目预算编制科学,编制明细到村指标清晰、明确、量化，投入与项目产出、效果目标匹配。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村干部基本工资报酬经费资金项目年初预算安排149.16万元，本年支出149.16万元，预算执行率100%。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资金主要用于村干部基本工资报酬的发放。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产出指标评分30分，情况及得分如下：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村干部基本工资报酬经费根据上级要求进行拨付，在产出时效和成本控制方面完成程度能较好地执行。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效益指标评分30分，由项目效益及服务对象满意度组成，情况及得分如下：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1.项目效益（20分）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村级经费保量发放到位。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资金发放及时，村干部满意度高。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A0B48"/>
    <w:rsid w:val="00682CE2"/>
    <w:rsid w:val="02554A4D"/>
    <w:rsid w:val="1AE83008"/>
    <w:rsid w:val="1F677CAF"/>
    <w:rsid w:val="30B5713D"/>
    <w:rsid w:val="4B2A0B48"/>
    <w:rsid w:val="65D07311"/>
    <w:rsid w:val="760F7F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2025-03-18T07:50:00Z</dcterms:created>
  <dc:creator>Lenovo</dc:creator>
  <cp:lastModifiedBy>Lenovo</cp:lastModifiedBy>
  <dcterms:modified xsi:type="dcterms:W3CDTF">2025-03-24T02:14:09Z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