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FB8" w:rsidRDefault="000E5B03">
      <w:pPr>
        <w:pStyle w:val="a3"/>
        <w:widowControl w:val="0"/>
        <w:overflowPunct w:val="0"/>
        <w:adjustRightInd w:val="0"/>
        <w:snapToGrid w:val="0"/>
        <w:spacing w:before="0" w:beforeAutospacing="0" w:after="0" w:afterAutospacing="0" w:line="800" w:lineRule="exact"/>
        <w:jc w:val="center"/>
        <w:rPr>
          <w:rStyle w:val="a4"/>
          <w:rFonts w:ascii="Times New Roman" w:eastAsia="方正粗宋简体" w:hAnsi="Times New Roman" w:cs="Times New Roman" w:hint="eastAsia"/>
          <w:b w:val="0"/>
          <w:bCs w:val="0"/>
          <w:sz w:val="36"/>
          <w:szCs w:val="36"/>
        </w:rPr>
      </w:pPr>
      <w:r>
        <w:rPr>
          <w:rStyle w:val="a4"/>
          <w:rFonts w:ascii="Times New Roman" w:eastAsia="方正粗宋简体" w:hAnsi="Times New Roman" w:cs="Times New Roman" w:hint="eastAsia"/>
          <w:b w:val="0"/>
          <w:bCs w:val="0"/>
          <w:sz w:val="36"/>
          <w:szCs w:val="36"/>
        </w:rPr>
        <w:t>新晃</w:t>
      </w:r>
      <w:r w:rsidR="00487FB8">
        <w:rPr>
          <w:rStyle w:val="a4"/>
          <w:rFonts w:ascii="Times New Roman" w:eastAsia="方正粗宋简体" w:hAnsi="Times New Roman" w:cs="Times New Roman" w:hint="eastAsia"/>
          <w:b w:val="0"/>
          <w:bCs w:val="0"/>
          <w:sz w:val="36"/>
          <w:szCs w:val="36"/>
        </w:rPr>
        <w:t>侗族自治</w:t>
      </w:r>
      <w:r>
        <w:rPr>
          <w:rStyle w:val="a4"/>
          <w:rFonts w:ascii="Times New Roman" w:eastAsia="方正粗宋简体" w:hAnsi="Times New Roman" w:cs="Times New Roman" w:hint="eastAsia"/>
          <w:b w:val="0"/>
          <w:bCs w:val="0"/>
          <w:sz w:val="36"/>
          <w:szCs w:val="36"/>
        </w:rPr>
        <w:t>县波洲镇</w:t>
      </w:r>
      <w:r w:rsidR="00487FB8">
        <w:rPr>
          <w:rStyle w:val="a4"/>
          <w:rFonts w:ascii="Times New Roman" w:eastAsia="方正粗宋简体" w:hAnsi="Times New Roman" w:cs="Times New Roman" w:hint="eastAsia"/>
          <w:b w:val="0"/>
          <w:bCs w:val="0"/>
          <w:sz w:val="36"/>
          <w:szCs w:val="36"/>
        </w:rPr>
        <w:t>人民</w:t>
      </w:r>
      <w:r>
        <w:rPr>
          <w:rStyle w:val="a4"/>
          <w:rFonts w:ascii="Times New Roman" w:eastAsia="方正粗宋简体" w:hAnsi="Times New Roman" w:cs="Times New Roman" w:hint="eastAsia"/>
          <w:b w:val="0"/>
          <w:bCs w:val="0"/>
          <w:sz w:val="36"/>
          <w:szCs w:val="36"/>
        </w:rPr>
        <w:t>政府</w:t>
      </w:r>
      <w:r w:rsidR="00487FB8">
        <w:rPr>
          <w:rStyle w:val="a4"/>
          <w:rFonts w:ascii="Times New Roman" w:eastAsia="方正粗宋简体" w:hAnsi="Times New Roman" w:cs="Times New Roman" w:hint="eastAsia"/>
          <w:b w:val="0"/>
          <w:bCs w:val="0"/>
          <w:sz w:val="36"/>
          <w:szCs w:val="36"/>
        </w:rPr>
        <w:t>关于</w:t>
      </w:r>
      <w:r w:rsidR="00487FB8">
        <w:rPr>
          <w:rStyle w:val="a4"/>
          <w:rFonts w:ascii="Times New Roman" w:eastAsia="方正粗宋简体" w:hAnsi="Times New Roman" w:cs="Times New Roman" w:hint="eastAsia"/>
          <w:b w:val="0"/>
          <w:bCs w:val="0"/>
          <w:sz w:val="36"/>
          <w:szCs w:val="36"/>
        </w:rPr>
        <w:t>2022</w:t>
      </w:r>
      <w:r w:rsidR="00487FB8">
        <w:rPr>
          <w:rStyle w:val="a4"/>
          <w:rFonts w:ascii="Times New Roman" w:eastAsia="方正粗宋简体" w:hAnsi="Times New Roman" w:cs="Times New Roman" w:hint="eastAsia"/>
          <w:b w:val="0"/>
          <w:bCs w:val="0"/>
          <w:sz w:val="36"/>
          <w:szCs w:val="36"/>
        </w:rPr>
        <w:t>年度</w:t>
      </w:r>
    </w:p>
    <w:p w:rsidR="00A81BD0" w:rsidRDefault="00487FB8">
      <w:pPr>
        <w:pStyle w:val="a3"/>
        <w:widowControl w:val="0"/>
        <w:overflowPunct w:val="0"/>
        <w:adjustRightInd w:val="0"/>
        <w:snapToGrid w:val="0"/>
        <w:spacing w:before="0" w:beforeAutospacing="0" w:after="0" w:afterAutospacing="0" w:line="800" w:lineRule="exact"/>
        <w:jc w:val="center"/>
        <w:rPr>
          <w:rStyle w:val="a4"/>
          <w:rFonts w:ascii="Times New Roman" w:eastAsia="方正粗宋简体" w:hAnsi="Times New Roman" w:cs="Times New Roman"/>
          <w:b w:val="0"/>
          <w:bCs w:val="0"/>
          <w:sz w:val="36"/>
          <w:szCs w:val="36"/>
        </w:rPr>
      </w:pPr>
      <w:r>
        <w:rPr>
          <w:rStyle w:val="a4"/>
          <w:rFonts w:ascii="Times New Roman" w:eastAsia="方正粗宋简体" w:hAnsi="Times New Roman" w:cs="Times New Roman" w:hint="eastAsia"/>
          <w:b w:val="0"/>
          <w:bCs w:val="0"/>
          <w:sz w:val="36"/>
          <w:szCs w:val="36"/>
        </w:rPr>
        <w:t>预算</w:t>
      </w:r>
      <w:r w:rsidR="000E5B03">
        <w:rPr>
          <w:rStyle w:val="a4"/>
          <w:rFonts w:ascii="Times New Roman" w:eastAsia="方正粗宋简体" w:hAnsi="Times New Roman" w:cs="Times New Roman"/>
          <w:b w:val="0"/>
          <w:bCs w:val="0"/>
          <w:sz w:val="36"/>
          <w:szCs w:val="36"/>
        </w:rPr>
        <w:t>绩效</w:t>
      </w:r>
      <w:r>
        <w:rPr>
          <w:rStyle w:val="a4"/>
          <w:rFonts w:ascii="Times New Roman" w:eastAsia="方正粗宋简体" w:hAnsi="Times New Roman" w:cs="Times New Roman" w:hint="eastAsia"/>
          <w:b w:val="0"/>
          <w:bCs w:val="0"/>
          <w:sz w:val="36"/>
          <w:szCs w:val="36"/>
        </w:rPr>
        <w:t>情况的说明</w:t>
      </w:r>
    </w:p>
    <w:p w:rsidR="00A81BD0" w:rsidRDefault="00A81BD0">
      <w:pPr>
        <w:overflowPunct w:val="0"/>
        <w:adjustRightInd w:val="0"/>
        <w:snapToGrid w:val="0"/>
        <w:spacing w:line="520" w:lineRule="exact"/>
        <w:ind w:firstLineChars="200" w:firstLine="600"/>
        <w:textAlignment w:val="auto"/>
        <w:rPr>
          <w:sz w:val="30"/>
          <w:szCs w:val="30"/>
        </w:rPr>
      </w:pPr>
    </w:p>
    <w:p w:rsidR="00A81BD0" w:rsidRDefault="000E5B03">
      <w:pPr>
        <w:overflowPunct w:val="0"/>
        <w:adjustRightInd w:val="0"/>
        <w:snapToGrid w:val="0"/>
        <w:spacing w:before="240" w:line="560" w:lineRule="exact"/>
        <w:jc w:val="left"/>
        <w:rPr>
          <w:rFonts w:ascii="黑体" w:eastAsia="黑体" w:hAnsi="黑体" w:cs="黑体"/>
          <w:b/>
          <w:bCs/>
        </w:rPr>
      </w:pPr>
      <w:r>
        <w:rPr>
          <w:rFonts w:eastAsia="仿宋_GB2312" w:hint="eastAsia"/>
          <w:sz w:val="32"/>
          <w:szCs w:val="32"/>
        </w:rPr>
        <w:t xml:space="preserve"> </w:t>
      </w:r>
      <w:r>
        <w:rPr>
          <w:rFonts w:ascii="宋体" w:hAnsi="宋体" w:cs="宋体" w:hint="eastAsia"/>
          <w:sz w:val="32"/>
          <w:szCs w:val="32"/>
        </w:rPr>
        <w:t xml:space="preserve"> </w:t>
      </w:r>
      <w:r>
        <w:rPr>
          <w:rFonts w:ascii="宋体" w:hAnsi="宋体" w:cs="宋体" w:hint="eastAsia"/>
          <w:b/>
          <w:bCs/>
          <w:sz w:val="32"/>
          <w:szCs w:val="32"/>
        </w:rPr>
        <w:t>一、部门（单位）基本概况</w:t>
      </w:r>
    </w:p>
    <w:p w:rsidR="00A81BD0" w:rsidRDefault="000E5B03">
      <w:pPr>
        <w:overflowPunct w:val="0"/>
        <w:adjustRightInd w:val="0"/>
        <w:snapToGrid w:val="0"/>
        <w:spacing w:before="240" w:line="520" w:lineRule="exact"/>
        <w:ind w:left="0" w:firstLineChars="200" w:firstLine="602"/>
        <w:jc w:val="left"/>
        <w:rPr>
          <w:rFonts w:eastAsia="仿宋_GB2312"/>
          <w:sz w:val="32"/>
          <w:szCs w:val="32"/>
        </w:rPr>
      </w:pPr>
      <w:r>
        <w:rPr>
          <w:rFonts w:ascii="宋体" w:hAnsi="宋体" w:cs="宋体" w:hint="eastAsia"/>
          <w:b/>
          <w:bCs/>
          <w:sz w:val="30"/>
          <w:szCs w:val="30"/>
        </w:rPr>
        <w:t>（一）部门（单位）职能及组成：</w:t>
      </w:r>
      <w:r>
        <w:rPr>
          <w:rFonts w:eastAsia="仿宋_GB2312" w:hint="eastAsia"/>
          <w:sz w:val="30"/>
          <w:szCs w:val="30"/>
        </w:rPr>
        <w:t>制定和组织实施经济、科技和社会发展计划，促进经济发展。制定并组织实施村镇建设规划，部署重点工程及基础设施建设。负责本行政区域内的民政、计划生育、文化教育、卫生等社会综合性工作，维护社会稳定，保障群众利益。完成上级下达的财政收支预算，管好用好财政资金，落实强农惠农政策。抓好精神文明建设，丰富群众文化生活，提倡移风易俗，反对封建迷信，破除陈规陋习，树立社会主义新风尚。完成上级政府交办的其他事项。</w:t>
      </w:r>
    </w:p>
    <w:p w:rsidR="00A81BD0" w:rsidRDefault="000E5B03">
      <w:pPr>
        <w:overflowPunct w:val="0"/>
        <w:adjustRightInd w:val="0"/>
        <w:snapToGrid w:val="0"/>
        <w:spacing w:before="240" w:line="520" w:lineRule="exact"/>
        <w:ind w:left="0" w:firstLineChars="200" w:firstLine="602"/>
        <w:rPr>
          <w:rFonts w:eastAsia="仿宋_GB2312"/>
          <w:sz w:val="30"/>
          <w:szCs w:val="30"/>
        </w:rPr>
      </w:pPr>
      <w:r>
        <w:rPr>
          <w:rFonts w:ascii="宋体" w:hAnsi="宋体" w:cs="宋体" w:hint="eastAsia"/>
          <w:b/>
          <w:bCs/>
          <w:sz w:val="30"/>
          <w:szCs w:val="30"/>
        </w:rPr>
        <w:t>（二）人员结构情况：</w:t>
      </w:r>
      <w:r>
        <w:rPr>
          <w:rFonts w:eastAsia="仿宋_GB2312" w:hint="eastAsia"/>
          <w:sz w:val="30"/>
          <w:szCs w:val="30"/>
        </w:rPr>
        <w:t>波洲镇人民政府内设机构包括：“三办六中心”（党政办、经济社会发展办公室、综治办、社会保障服务中心、农业综合服务中心、规划建设服务中心、林业水利环保服务中心、安全生产监督管理服务中心、卫计教育文化体育服务中心），国土所，司法所，财政所。编制人数</w:t>
      </w:r>
      <w:r>
        <w:rPr>
          <w:rFonts w:eastAsia="仿宋_GB2312" w:hint="eastAsia"/>
          <w:sz w:val="30"/>
          <w:szCs w:val="30"/>
        </w:rPr>
        <w:t>60</w:t>
      </w:r>
      <w:r>
        <w:rPr>
          <w:rFonts w:eastAsia="仿宋_GB2312" w:hint="eastAsia"/>
          <w:sz w:val="30"/>
          <w:szCs w:val="30"/>
        </w:rPr>
        <w:t>人，其中：行政编制</w:t>
      </w:r>
      <w:r>
        <w:rPr>
          <w:rFonts w:eastAsia="仿宋_GB2312" w:hint="eastAsia"/>
          <w:sz w:val="30"/>
          <w:szCs w:val="30"/>
        </w:rPr>
        <w:t>24</w:t>
      </w:r>
      <w:r>
        <w:rPr>
          <w:rFonts w:eastAsia="仿宋_GB2312" w:hint="eastAsia"/>
          <w:sz w:val="30"/>
          <w:szCs w:val="30"/>
        </w:rPr>
        <w:t>人，事业编制</w:t>
      </w:r>
      <w:r>
        <w:rPr>
          <w:rFonts w:eastAsia="仿宋_GB2312" w:hint="eastAsia"/>
          <w:sz w:val="30"/>
          <w:szCs w:val="30"/>
        </w:rPr>
        <w:t>34</w:t>
      </w:r>
      <w:r>
        <w:rPr>
          <w:rFonts w:eastAsia="仿宋_GB2312" w:hint="eastAsia"/>
          <w:sz w:val="30"/>
          <w:szCs w:val="30"/>
        </w:rPr>
        <w:t>人；实际在岗在编人数</w:t>
      </w:r>
      <w:r>
        <w:rPr>
          <w:rFonts w:eastAsia="仿宋_GB2312" w:hint="eastAsia"/>
          <w:sz w:val="30"/>
          <w:szCs w:val="30"/>
        </w:rPr>
        <w:t>58</w:t>
      </w:r>
      <w:r>
        <w:rPr>
          <w:rFonts w:eastAsia="仿宋_GB2312" w:hint="eastAsia"/>
          <w:sz w:val="30"/>
          <w:szCs w:val="30"/>
        </w:rPr>
        <w:t>人。</w:t>
      </w:r>
    </w:p>
    <w:p w:rsidR="00A81BD0" w:rsidRDefault="000E5B03">
      <w:pPr>
        <w:overflowPunct w:val="0"/>
        <w:adjustRightInd w:val="0"/>
        <w:snapToGrid w:val="0"/>
        <w:spacing w:before="240" w:line="520" w:lineRule="exact"/>
        <w:ind w:left="0" w:firstLineChars="200" w:firstLine="602"/>
        <w:textAlignment w:val="auto"/>
        <w:rPr>
          <w:rFonts w:eastAsia="仿宋_GB2312"/>
          <w:sz w:val="30"/>
          <w:szCs w:val="30"/>
        </w:rPr>
      </w:pPr>
      <w:r>
        <w:rPr>
          <w:rFonts w:ascii="宋体" w:hAnsi="宋体" w:cs="宋体" w:hint="eastAsia"/>
          <w:b/>
          <w:bCs/>
          <w:sz w:val="30"/>
          <w:szCs w:val="30"/>
        </w:rPr>
        <w:t>（三）2022年度财政收支和年末固定资产状况：</w:t>
      </w:r>
      <w:r>
        <w:rPr>
          <w:rFonts w:eastAsia="仿宋_GB2312" w:hint="eastAsia"/>
          <w:sz w:val="30"/>
          <w:szCs w:val="30"/>
        </w:rPr>
        <w:t>本年收入合计</w:t>
      </w:r>
      <w:r>
        <w:rPr>
          <w:rFonts w:eastAsia="仿宋_GB2312" w:hint="eastAsia"/>
          <w:sz w:val="30"/>
          <w:szCs w:val="30"/>
        </w:rPr>
        <w:t>1594.36</w:t>
      </w:r>
      <w:r>
        <w:rPr>
          <w:rFonts w:eastAsia="仿宋_GB2312" w:hint="eastAsia"/>
          <w:sz w:val="30"/>
          <w:szCs w:val="30"/>
        </w:rPr>
        <w:t>万元，其中：财政拨款收入</w:t>
      </w:r>
      <w:r>
        <w:rPr>
          <w:rFonts w:eastAsia="仿宋_GB2312" w:hint="eastAsia"/>
          <w:sz w:val="30"/>
          <w:szCs w:val="30"/>
        </w:rPr>
        <w:t>1438.85</w:t>
      </w:r>
      <w:r>
        <w:rPr>
          <w:rFonts w:eastAsia="仿宋_GB2312" w:hint="eastAsia"/>
          <w:sz w:val="30"/>
          <w:szCs w:val="30"/>
        </w:rPr>
        <w:t>万元，占</w:t>
      </w:r>
      <w:r>
        <w:rPr>
          <w:rFonts w:eastAsia="仿宋_GB2312" w:hint="eastAsia"/>
          <w:sz w:val="30"/>
          <w:szCs w:val="30"/>
        </w:rPr>
        <w:t>90.25%</w:t>
      </w:r>
      <w:r>
        <w:rPr>
          <w:rFonts w:eastAsia="仿宋_GB2312" w:hint="eastAsia"/>
          <w:sz w:val="30"/>
          <w:szCs w:val="30"/>
        </w:rPr>
        <w:t>；其他收入</w:t>
      </w:r>
      <w:r>
        <w:rPr>
          <w:rFonts w:eastAsia="仿宋_GB2312" w:hint="eastAsia"/>
          <w:sz w:val="30"/>
          <w:szCs w:val="30"/>
        </w:rPr>
        <w:t>155.51</w:t>
      </w:r>
      <w:r>
        <w:rPr>
          <w:rFonts w:eastAsia="仿宋_GB2312" w:hint="eastAsia"/>
          <w:sz w:val="30"/>
          <w:szCs w:val="30"/>
        </w:rPr>
        <w:t>万元，占</w:t>
      </w:r>
      <w:r>
        <w:rPr>
          <w:rFonts w:eastAsia="仿宋_GB2312" w:hint="eastAsia"/>
          <w:sz w:val="30"/>
          <w:szCs w:val="30"/>
        </w:rPr>
        <w:t>9.75%</w:t>
      </w:r>
      <w:r>
        <w:rPr>
          <w:rFonts w:eastAsia="仿宋_GB2312" w:hint="eastAsia"/>
          <w:sz w:val="30"/>
          <w:szCs w:val="30"/>
        </w:rPr>
        <w:t>。本年支出合计</w:t>
      </w:r>
      <w:r>
        <w:rPr>
          <w:rFonts w:eastAsia="仿宋_GB2312" w:hint="eastAsia"/>
          <w:sz w:val="30"/>
          <w:szCs w:val="30"/>
        </w:rPr>
        <w:t>1714.58</w:t>
      </w:r>
      <w:r>
        <w:rPr>
          <w:rFonts w:eastAsia="仿宋_GB2312" w:hint="eastAsia"/>
          <w:sz w:val="30"/>
          <w:szCs w:val="30"/>
        </w:rPr>
        <w:t>万元，其中：基本支出</w:t>
      </w:r>
      <w:r>
        <w:rPr>
          <w:rFonts w:eastAsia="仿宋_GB2312" w:hint="eastAsia"/>
          <w:sz w:val="30"/>
          <w:szCs w:val="30"/>
        </w:rPr>
        <w:t>1239.23</w:t>
      </w:r>
      <w:r>
        <w:rPr>
          <w:rFonts w:eastAsia="仿宋_GB2312" w:hint="eastAsia"/>
          <w:sz w:val="30"/>
          <w:szCs w:val="30"/>
        </w:rPr>
        <w:t>万元，占</w:t>
      </w:r>
      <w:r>
        <w:rPr>
          <w:rFonts w:eastAsia="仿宋_GB2312" w:hint="eastAsia"/>
          <w:sz w:val="30"/>
          <w:szCs w:val="30"/>
        </w:rPr>
        <w:t>72.28%</w:t>
      </w:r>
      <w:r>
        <w:rPr>
          <w:rFonts w:eastAsia="仿宋_GB2312" w:hint="eastAsia"/>
          <w:sz w:val="30"/>
          <w:szCs w:val="30"/>
        </w:rPr>
        <w:t>；项目支出</w:t>
      </w:r>
      <w:r>
        <w:rPr>
          <w:rFonts w:eastAsia="仿宋_GB2312" w:hint="eastAsia"/>
          <w:sz w:val="30"/>
          <w:szCs w:val="30"/>
        </w:rPr>
        <w:t>475.35</w:t>
      </w:r>
      <w:r>
        <w:rPr>
          <w:rFonts w:eastAsia="仿宋_GB2312" w:hint="eastAsia"/>
          <w:sz w:val="30"/>
          <w:szCs w:val="30"/>
        </w:rPr>
        <w:t>万元，占</w:t>
      </w:r>
      <w:r>
        <w:rPr>
          <w:rFonts w:eastAsia="仿宋_GB2312" w:hint="eastAsia"/>
          <w:sz w:val="30"/>
          <w:szCs w:val="30"/>
        </w:rPr>
        <w:t xml:space="preserve">27.72% </w:t>
      </w:r>
      <w:r>
        <w:rPr>
          <w:rFonts w:eastAsia="仿宋_GB2312" w:hint="eastAsia"/>
          <w:sz w:val="30"/>
          <w:szCs w:val="30"/>
        </w:rPr>
        <w:t>。</w:t>
      </w:r>
    </w:p>
    <w:p w:rsidR="00A81BD0" w:rsidRDefault="000E5B03">
      <w:pPr>
        <w:overflowPunct w:val="0"/>
        <w:adjustRightInd w:val="0"/>
        <w:snapToGrid w:val="0"/>
        <w:spacing w:line="520" w:lineRule="exact"/>
        <w:ind w:left="0" w:firstLineChars="200" w:firstLine="600"/>
        <w:textAlignment w:val="auto"/>
        <w:rPr>
          <w:rFonts w:eastAsia="仿宋_GB2312"/>
          <w:sz w:val="30"/>
          <w:szCs w:val="30"/>
        </w:rPr>
      </w:pPr>
      <w:r>
        <w:rPr>
          <w:rFonts w:eastAsia="仿宋_GB2312" w:hint="eastAsia"/>
          <w:sz w:val="30"/>
          <w:szCs w:val="30"/>
        </w:rPr>
        <w:lastRenderedPageBreak/>
        <w:t>截至</w:t>
      </w:r>
      <w:r>
        <w:rPr>
          <w:rFonts w:eastAsia="仿宋_GB2312" w:hint="eastAsia"/>
          <w:sz w:val="30"/>
          <w:szCs w:val="30"/>
        </w:rPr>
        <w:t>2022</w:t>
      </w:r>
      <w:r>
        <w:rPr>
          <w:rFonts w:eastAsia="仿宋_GB2312" w:hint="eastAsia"/>
          <w:sz w:val="30"/>
          <w:szCs w:val="30"/>
        </w:rPr>
        <w:t>年</w:t>
      </w:r>
      <w:r>
        <w:rPr>
          <w:rFonts w:eastAsia="仿宋_GB2312" w:hint="eastAsia"/>
          <w:sz w:val="30"/>
          <w:szCs w:val="30"/>
        </w:rPr>
        <w:t>12</w:t>
      </w:r>
      <w:r>
        <w:rPr>
          <w:rFonts w:eastAsia="仿宋_GB2312" w:hint="eastAsia"/>
          <w:sz w:val="30"/>
          <w:szCs w:val="30"/>
        </w:rPr>
        <w:t>月</w:t>
      </w:r>
      <w:r>
        <w:rPr>
          <w:rFonts w:eastAsia="仿宋_GB2312" w:hint="eastAsia"/>
          <w:sz w:val="30"/>
          <w:szCs w:val="30"/>
        </w:rPr>
        <w:t>31</w:t>
      </w:r>
      <w:r>
        <w:rPr>
          <w:rFonts w:eastAsia="仿宋_GB2312" w:hint="eastAsia"/>
          <w:sz w:val="30"/>
          <w:szCs w:val="30"/>
        </w:rPr>
        <w:t>日，固定资产总额</w:t>
      </w:r>
      <w:r>
        <w:rPr>
          <w:rFonts w:eastAsia="仿宋_GB2312" w:hint="eastAsia"/>
          <w:sz w:val="30"/>
          <w:szCs w:val="30"/>
        </w:rPr>
        <w:t>229.95</w:t>
      </w:r>
      <w:r>
        <w:rPr>
          <w:rFonts w:eastAsia="仿宋_GB2312" w:hint="eastAsia"/>
          <w:sz w:val="30"/>
          <w:szCs w:val="30"/>
        </w:rPr>
        <w:t>万元，其中房屋及构筑物</w:t>
      </w:r>
      <w:r>
        <w:rPr>
          <w:rFonts w:eastAsia="仿宋_GB2312" w:hint="eastAsia"/>
          <w:sz w:val="30"/>
          <w:szCs w:val="30"/>
        </w:rPr>
        <w:t>109.9</w:t>
      </w:r>
      <w:r>
        <w:rPr>
          <w:rFonts w:eastAsia="仿宋_GB2312" w:hint="eastAsia"/>
          <w:sz w:val="30"/>
          <w:szCs w:val="30"/>
        </w:rPr>
        <w:t>万元，通用设备</w:t>
      </w:r>
      <w:r>
        <w:rPr>
          <w:rFonts w:eastAsia="仿宋_GB2312" w:hint="eastAsia"/>
          <w:sz w:val="30"/>
          <w:szCs w:val="30"/>
        </w:rPr>
        <w:t>36.23</w:t>
      </w:r>
      <w:r>
        <w:rPr>
          <w:rFonts w:eastAsia="仿宋_GB2312" w:hint="eastAsia"/>
          <w:sz w:val="30"/>
          <w:szCs w:val="30"/>
        </w:rPr>
        <w:t>万元，交通设备</w:t>
      </w:r>
      <w:r>
        <w:rPr>
          <w:rFonts w:eastAsia="仿宋_GB2312" w:hint="eastAsia"/>
          <w:sz w:val="30"/>
          <w:szCs w:val="30"/>
        </w:rPr>
        <w:t>68.7</w:t>
      </w:r>
      <w:r>
        <w:rPr>
          <w:rFonts w:eastAsia="仿宋_GB2312" w:hint="eastAsia"/>
          <w:sz w:val="30"/>
          <w:szCs w:val="30"/>
        </w:rPr>
        <w:t>万元，专用设备</w:t>
      </w:r>
      <w:r>
        <w:rPr>
          <w:rFonts w:eastAsia="仿宋_GB2312" w:hint="eastAsia"/>
          <w:sz w:val="30"/>
          <w:szCs w:val="30"/>
        </w:rPr>
        <w:t>900</w:t>
      </w:r>
      <w:r>
        <w:rPr>
          <w:rFonts w:eastAsia="仿宋_GB2312" w:hint="eastAsia"/>
          <w:sz w:val="30"/>
          <w:szCs w:val="30"/>
        </w:rPr>
        <w:t>元。固定资产累计折旧</w:t>
      </w:r>
      <w:r>
        <w:rPr>
          <w:rFonts w:eastAsia="仿宋_GB2312" w:hint="eastAsia"/>
          <w:sz w:val="30"/>
          <w:szCs w:val="30"/>
        </w:rPr>
        <w:t xml:space="preserve"> 87.29 </w:t>
      </w:r>
      <w:r>
        <w:rPr>
          <w:rFonts w:eastAsia="仿宋_GB2312" w:hint="eastAsia"/>
          <w:sz w:val="30"/>
          <w:szCs w:val="30"/>
        </w:rPr>
        <w:t>万元。本单位共有车辆</w:t>
      </w:r>
      <w:r>
        <w:rPr>
          <w:rFonts w:eastAsia="仿宋_GB2312" w:hint="eastAsia"/>
          <w:sz w:val="30"/>
          <w:szCs w:val="30"/>
        </w:rPr>
        <w:t>4</w:t>
      </w:r>
      <w:r>
        <w:rPr>
          <w:rFonts w:eastAsia="仿宋_GB2312" w:hint="eastAsia"/>
          <w:sz w:val="30"/>
          <w:szCs w:val="30"/>
        </w:rPr>
        <w:t>辆，其中，机要通信用车</w:t>
      </w:r>
      <w:r>
        <w:rPr>
          <w:rFonts w:eastAsia="仿宋_GB2312" w:hint="eastAsia"/>
          <w:sz w:val="30"/>
          <w:szCs w:val="30"/>
        </w:rPr>
        <w:t>3</w:t>
      </w:r>
      <w:r>
        <w:rPr>
          <w:rFonts w:eastAsia="仿宋_GB2312" w:hint="eastAsia"/>
          <w:sz w:val="30"/>
          <w:szCs w:val="30"/>
        </w:rPr>
        <w:t>辆、应急保障用车</w:t>
      </w:r>
      <w:r>
        <w:rPr>
          <w:rFonts w:eastAsia="仿宋_GB2312" w:hint="eastAsia"/>
          <w:sz w:val="30"/>
          <w:szCs w:val="30"/>
        </w:rPr>
        <w:t>1</w:t>
      </w:r>
      <w:r>
        <w:rPr>
          <w:rFonts w:eastAsia="仿宋_GB2312" w:hint="eastAsia"/>
          <w:sz w:val="30"/>
          <w:szCs w:val="30"/>
        </w:rPr>
        <w:t>辆（消防车）、其他用车</w:t>
      </w:r>
      <w:r>
        <w:rPr>
          <w:rFonts w:eastAsia="仿宋_GB2312" w:hint="eastAsia"/>
          <w:sz w:val="30"/>
          <w:szCs w:val="30"/>
        </w:rPr>
        <w:t>0</w:t>
      </w:r>
      <w:r>
        <w:rPr>
          <w:rFonts w:eastAsia="仿宋_GB2312" w:hint="eastAsia"/>
          <w:sz w:val="30"/>
          <w:szCs w:val="30"/>
        </w:rPr>
        <w:t>辆；单位价值</w:t>
      </w:r>
      <w:r>
        <w:rPr>
          <w:rFonts w:eastAsia="仿宋_GB2312" w:hint="eastAsia"/>
          <w:sz w:val="30"/>
          <w:szCs w:val="30"/>
        </w:rPr>
        <w:t>50</w:t>
      </w:r>
      <w:r>
        <w:rPr>
          <w:rFonts w:eastAsia="仿宋_GB2312" w:hint="eastAsia"/>
          <w:sz w:val="30"/>
          <w:szCs w:val="30"/>
        </w:rPr>
        <w:t>万元以上通用设备</w:t>
      </w:r>
      <w:r>
        <w:rPr>
          <w:rFonts w:eastAsia="仿宋_GB2312" w:hint="eastAsia"/>
          <w:sz w:val="30"/>
          <w:szCs w:val="30"/>
        </w:rPr>
        <w:t>0</w:t>
      </w:r>
      <w:r>
        <w:rPr>
          <w:rFonts w:eastAsia="仿宋_GB2312" w:hint="eastAsia"/>
          <w:sz w:val="30"/>
          <w:szCs w:val="30"/>
        </w:rPr>
        <w:t>台（套）；单位价值</w:t>
      </w:r>
      <w:r>
        <w:rPr>
          <w:rFonts w:eastAsia="仿宋_GB2312" w:hint="eastAsia"/>
          <w:sz w:val="30"/>
          <w:szCs w:val="30"/>
        </w:rPr>
        <w:t>100</w:t>
      </w:r>
      <w:r>
        <w:rPr>
          <w:rFonts w:eastAsia="仿宋_GB2312" w:hint="eastAsia"/>
          <w:sz w:val="30"/>
          <w:szCs w:val="30"/>
        </w:rPr>
        <w:t>万元以上专用设备</w:t>
      </w:r>
      <w:r>
        <w:rPr>
          <w:rFonts w:eastAsia="仿宋_GB2312" w:hint="eastAsia"/>
          <w:sz w:val="30"/>
          <w:szCs w:val="30"/>
        </w:rPr>
        <w:t>0</w:t>
      </w:r>
      <w:r>
        <w:rPr>
          <w:rFonts w:eastAsia="仿宋_GB2312" w:hint="eastAsia"/>
          <w:sz w:val="30"/>
          <w:szCs w:val="30"/>
        </w:rPr>
        <w:t>台（套）。</w:t>
      </w:r>
    </w:p>
    <w:p w:rsidR="00A81BD0" w:rsidRDefault="000E5B03">
      <w:pPr>
        <w:overflowPunct w:val="0"/>
        <w:adjustRightInd w:val="0"/>
        <w:snapToGrid w:val="0"/>
        <w:spacing w:before="240" w:line="520" w:lineRule="exact"/>
        <w:ind w:left="0" w:firstLineChars="200" w:firstLine="602"/>
        <w:textAlignment w:val="auto"/>
        <w:rPr>
          <w:rFonts w:eastAsia="仿宋_GB2312"/>
          <w:sz w:val="30"/>
          <w:szCs w:val="30"/>
        </w:rPr>
      </w:pPr>
      <w:r>
        <w:rPr>
          <w:rFonts w:ascii="宋体" w:hAnsi="宋体" w:cs="宋体" w:hint="eastAsia"/>
          <w:b/>
          <w:bCs/>
          <w:sz w:val="30"/>
          <w:szCs w:val="30"/>
        </w:rPr>
        <w:t>（四）财政财务管理制度及执行情况：</w:t>
      </w:r>
      <w:r>
        <w:rPr>
          <w:rFonts w:eastAsia="仿宋_GB2312" w:hint="eastAsia"/>
          <w:sz w:val="30"/>
          <w:szCs w:val="30"/>
        </w:rPr>
        <w:t>严格按照《预算法》和相关财经纪</w:t>
      </w:r>
      <w:bookmarkStart w:id="0" w:name="_GoBack"/>
      <w:bookmarkEnd w:id="0"/>
      <w:r>
        <w:rPr>
          <w:rFonts w:eastAsia="仿宋_GB2312" w:hint="eastAsia"/>
          <w:sz w:val="30"/>
          <w:szCs w:val="30"/>
        </w:rPr>
        <w:t>律要求，厉行节约，杜绝不合理开支，降低行政成本，努力让财政资金发挥最大效益，较好地完成了全年预算。本年度收到公共预算财政拨款收入</w:t>
      </w:r>
      <w:r>
        <w:rPr>
          <w:rFonts w:eastAsia="仿宋_GB2312" w:hint="eastAsia"/>
          <w:sz w:val="30"/>
          <w:szCs w:val="30"/>
        </w:rPr>
        <w:t>1438.85</w:t>
      </w:r>
      <w:r>
        <w:rPr>
          <w:rFonts w:eastAsia="仿宋_GB2312" w:hint="eastAsia"/>
          <w:sz w:val="30"/>
          <w:szCs w:val="30"/>
        </w:rPr>
        <w:t>万元，比上年增加</w:t>
      </w:r>
      <w:r>
        <w:rPr>
          <w:rFonts w:eastAsia="仿宋_GB2312" w:hint="eastAsia"/>
          <w:sz w:val="30"/>
          <w:szCs w:val="30"/>
        </w:rPr>
        <w:t>553.63</w:t>
      </w:r>
      <w:r>
        <w:rPr>
          <w:rFonts w:eastAsia="仿宋_GB2312" w:hint="eastAsia"/>
          <w:sz w:val="30"/>
          <w:szCs w:val="30"/>
        </w:rPr>
        <w:t>。经费支出</w:t>
      </w:r>
      <w:r>
        <w:rPr>
          <w:rFonts w:eastAsia="仿宋_GB2312" w:hint="eastAsia"/>
          <w:sz w:val="30"/>
          <w:szCs w:val="30"/>
        </w:rPr>
        <w:t>1239.23</w:t>
      </w:r>
      <w:r>
        <w:rPr>
          <w:rFonts w:eastAsia="仿宋_GB2312" w:hint="eastAsia"/>
          <w:sz w:val="30"/>
          <w:szCs w:val="30"/>
        </w:rPr>
        <w:t>万元，比去年增加</w:t>
      </w:r>
      <w:r>
        <w:rPr>
          <w:rFonts w:eastAsia="仿宋_GB2312" w:hint="eastAsia"/>
          <w:sz w:val="30"/>
          <w:szCs w:val="30"/>
        </w:rPr>
        <w:t>306.12</w:t>
      </w:r>
      <w:r>
        <w:rPr>
          <w:rFonts w:eastAsia="仿宋_GB2312" w:hint="eastAsia"/>
          <w:sz w:val="30"/>
          <w:szCs w:val="30"/>
        </w:rPr>
        <w:t>万元，其中：人员经费支出</w:t>
      </w:r>
      <w:r>
        <w:rPr>
          <w:rFonts w:eastAsia="仿宋_GB2312" w:hint="eastAsia"/>
          <w:sz w:val="30"/>
          <w:szCs w:val="30"/>
        </w:rPr>
        <w:t>910.24</w:t>
      </w:r>
      <w:r>
        <w:rPr>
          <w:rFonts w:eastAsia="仿宋_GB2312" w:hint="eastAsia"/>
          <w:sz w:val="30"/>
          <w:szCs w:val="30"/>
        </w:rPr>
        <w:t>万元，比上年增加</w:t>
      </w:r>
      <w:r>
        <w:rPr>
          <w:rFonts w:eastAsia="仿宋_GB2312" w:hint="eastAsia"/>
          <w:sz w:val="30"/>
          <w:szCs w:val="30"/>
        </w:rPr>
        <w:t>289.01</w:t>
      </w:r>
      <w:r>
        <w:rPr>
          <w:rFonts w:eastAsia="仿宋_GB2312" w:hint="eastAsia"/>
          <w:sz w:val="30"/>
          <w:szCs w:val="30"/>
        </w:rPr>
        <w:t>万元；日常公用经费</w:t>
      </w:r>
      <w:r>
        <w:rPr>
          <w:rFonts w:eastAsia="仿宋_GB2312" w:hint="eastAsia"/>
          <w:sz w:val="30"/>
          <w:szCs w:val="30"/>
        </w:rPr>
        <w:t>328.99</w:t>
      </w:r>
      <w:r>
        <w:rPr>
          <w:rFonts w:eastAsia="仿宋_GB2312" w:hint="eastAsia"/>
          <w:sz w:val="30"/>
          <w:szCs w:val="30"/>
        </w:rPr>
        <w:t>万元，比上年增加</w:t>
      </w:r>
      <w:r>
        <w:rPr>
          <w:rFonts w:eastAsia="仿宋_GB2312" w:hint="eastAsia"/>
          <w:sz w:val="30"/>
          <w:szCs w:val="30"/>
        </w:rPr>
        <w:t>17.11</w:t>
      </w:r>
      <w:r>
        <w:rPr>
          <w:rFonts w:eastAsia="仿宋_GB2312" w:hint="eastAsia"/>
          <w:sz w:val="30"/>
          <w:szCs w:val="30"/>
        </w:rPr>
        <w:t>万元。</w:t>
      </w:r>
    </w:p>
    <w:p w:rsidR="00A81BD0" w:rsidRDefault="000E5B03">
      <w:pPr>
        <w:overflowPunct w:val="0"/>
        <w:adjustRightInd w:val="0"/>
        <w:snapToGrid w:val="0"/>
        <w:spacing w:before="240" w:line="560" w:lineRule="exact"/>
        <w:jc w:val="left"/>
        <w:rPr>
          <w:rFonts w:ascii="宋体" w:hAnsi="宋体" w:cs="宋体"/>
          <w:b/>
          <w:bCs/>
          <w:sz w:val="32"/>
          <w:szCs w:val="32"/>
        </w:rPr>
      </w:pPr>
      <w:r>
        <w:rPr>
          <w:rFonts w:ascii="宋体" w:hAnsi="宋体" w:cs="宋体" w:hint="eastAsia"/>
          <w:b/>
          <w:bCs/>
          <w:sz w:val="32"/>
          <w:szCs w:val="32"/>
        </w:rPr>
        <w:t>二、部门（单位）整体支出绩效状况</w:t>
      </w:r>
    </w:p>
    <w:p w:rsidR="00A81BD0" w:rsidRDefault="000E5B03">
      <w:pPr>
        <w:overflowPunct w:val="0"/>
        <w:adjustRightInd w:val="0"/>
        <w:snapToGrid w:val="0"/>
        <w:spacing w:before="240" w:line="520" w:lineRule="exact"/>
        <w:ind w:left="0" w:firstLineChars="200" w:firstLine="600"/>
        <w:textAlignment w:val="auto"/>
        <w:rPr>
          <w:rFonts w:eastAsia="仿宋_GB2312"/>
          <w:sz w:val="30"/>
          <w:szCs w:val="30"/>
        </w:rPr>
      </w:pPr>
      <w:r>
        <w:rPr>
          <w:rFonts w:eastAsia="仿宋_GB2312" w:hint="eastAsia"/>
          <w:sz w:val="30"/>
          <w:szCs w:val="30"/>
        </w:rPr>
        <w:t>根据《部门整体支出绩效评价指标》评分表，自评得分</w:t>
      </w:r>
      <w:r w:rsidR="00744351">
        <w:rPr>
          <w:rFonts w:eastAsia="仿宋_GB2312" w:hint="eastAsia"/>
          <w:sz w:val="30"/>
          <w:szCs w:val="30"/>
        </w:rPr>
        <w:t>94</w:t>
      </w:r>
      <w:r>
        <w:rPr>
          <w:rFonts w:eastAsia="仿宋_GB2312" w:hint="eastAsia"/>
          <w:sz w:val="30"/>
          <w:szCs w:val="30"/>
        </w:rPr>
        <w:t>分，整体支出绩效为“优秀”。</w:t>
      </w:r>
      <w:r w:rsidR="00744351">
        <w:rPr>
          <w:rFonts w:eastAsia="仿宋_GB2312" w:hint="eastAsia"/>
          <w:sz w:val="30"/>
          <w:szCs w:val="30"/>
        </w:rPr>
        <w:t xml:space="preserve"> </w:t>
      </w:r>
      <w:r>
        <w:rPr>
          <w:rFonts w:eastAsia="仿宋_GB2312" w:hint="eastAsia"/>
          <w:sz w:val="30"/>
          <w:szCs w:val="30"/>
        </w:rPr>
        <w:t>2022</w:t>
      </w:r>
      <w:r>
        <w:rPr>
          <w:rFonts w:eastAsia="仿宋_GB2312" w:hint="eastAsia"/>
          <w:sz w:val="30"/>
          <w:szCs w:val="30"/>
        </w:rPr>
        <w:t>年，波洲镇人民政府在上级政府的正确领导下，以习近平新时代中国特色社会主义思想为指导，牢固“四个意识”，践行“两个维护”。全面贯彻落实党的十九大精神，坚持党的领导、人民当家作主、依法治国有机统一，在县委、县政府正确领导下，严格依法履职，积极主动作为，较好完成了县里交办的各项目标任务，各项工作取得新进展、新成效，为全乡经济健康发展和社会稳定提供了坚实的支撑。</w:t>
      </w:r>
    </w:p>
    <w:p w:rsidR="00A81BD0" w:rsidRDefault="000E5B03">
      <w:pPr>
        <w:overflowPunct w:val="0"/>
        <w:adjustRightInd w:val="0"/>
        <w:snapToGrid w:val="0"/>
        <w:spacing w:before="240" w:line="520" w:lineRule="exact"/>
        <w:jc w:val="left"/>
        <w:textAlignment w:val="auto"/>
        <w:rPr>
          <w:rFonts w:ascii="宋体" w:hAnsi="宋体" w:cs="宋体"/>
          <w:b/>
          <w:bCs/>
          <w:sz w:val="32"/>
          <w:szCs w:val="32"/>
        </w:rPr>
      </w:pPr>
      <w:r>
        <w:rPr>
          <w:rFonts w:ascii="宋体" w:hAnsi="宋体" w:cs="宋体" w:hint="eastAsia"/>
          <w:b/>
          <w:bCs/>
          <w:sz w:val="32"/>
          <w:szCs w:val="32"/>
        </w:rPr>
        <w:t>三、存在的问题及原因</w:t>
      </w:r>
      <w:r w:rsidR="00487FB8">
        <w:rPr>
          <w:rFonts w:ascii="宋体" w:hAnsi="宋体" w:cs="宋体" w:hint="eastAsia"/>
          <w:b/>
          <w:bCs/>
          <w:sz w:val="32"/>
          <w:szCs w:val="32"/>
        </w:rPr>
        <w:t>分析</w:t>
      </w:r>
    </w:p>
    <w:p w:rsidR="00A81BD0" w:rsidRDefault="000E5B03">
      <w:pPr>
        <w:overflowPunct w:val="0"/>
        <w:adjustRightInd w:val="0"/>
        <w:snapToGrid w:val="0"/>
        <w:spacing w:before="240" w:line="520" w:lineRule="exact"/>
        <w:ind w:left="0" w:firstLineChars="200" w:firstLine="600"/>
        <w:rPr>
          <w:rFonts w:eastAsia="仿宋_GB2312"/>
          <w:sz w:val="30"/>
          <w:szCs w:val="30"/>
        </w:rPr>
      </w:pPr>
      <w:r>
        <w:rPr>
          <w:rFonts w:eastAsia="仿宋_GB2312" w:hint="eastAsia"/>
          <w:sz w:val="30"/>
          <w:szCs w:val="30"/>
        </w:rPr>
        <w:t>我镇财政资金紧张，资金缺口过大，特别是政府公用经费尤</w:t>
      </w:r>
      <w:r>
        <w:rPr>
          <w:rFonts w:eastAsia="仿宋_GB2312" w:hint="eastAsia"/>
          <w:sz w:val="30"/>
          <w:szCs w:val="30"/>
        </w:rPr>
        <w:lastRenderedPageBreak/>
        <w:t>其紧张。公用经费实行定额标准管理，预算标准与实际执行脱节，在很大程度上影响了资金的使用效率。各种矛盾凸显，导致我镇基本保障面临巨大的压力。</w:t>
      </w:r>
    </w:p>
    <w:p w:rsidR="00A81BD0" w:rsidRDefault="000E5B03">
      <w:pPr>
        <w:overflowPunct w:val="0"/>
        <w:adjustRightInd w:val="0"/>
        <w:snapToGrid w:val="0"/>
        <w:spacing w:before="240" w:line="560" w:lineRule="exact"/>
        <w:jc w:val="left"/>
        <w:rPr>
          <w:rFonts w:ascii="宋体" w:hAnsi="宋体" w:cs="宋体"/>
          <w:b/>
          <w:bCs/>
          <w:sz w:val="32"/>
          <w:szCs w:val="32"/>
        </w:rPr>
      </w:pPr>
      <w:r>
        <w:rPr>
          <w:rFonts w:ascii="宋体" w:hAnsi="宋体" w:cs="宋体" w:hint="eastAsia"/>
          <w:b/>
          <w:bCs/>
          <w:sz w:val="32"/>
          <w:szCs w:val="32"/>
        </w:rPr>
        <w:t>四、提高财政资金绩效的措施与建议</w:t>
      </w:r>
    </w:p>
    <w:p w:rsidR="00A81BD0" w:rsidRDefault="000E5B03">
      <w:pPr>
        <w:overflowPunct w:val="0"/>
        <w:adjustRightInd w:val="0"/>
        <w:snapToGrid w:val="0"/>
        <w:spacing w:before="240" w:line="520" w:lineRule="exact"/>
        <w:ind w:left="0"/>
        <w:textAlignment w:val="auto"/>
        <w:rPr>
          <w:rFonts w:eastAsia="仿宋_GB2312"/>
          <w:sz w:val="30"/>
          <w:szCs w:val="30"/>
        </w:rPr>
      </w:pPr>
      <w:r>
        <w:rPr>
          <w:rFonts w:eastAsia="仿宋_GB2312"/>
          <w:sz w:val="30"/>
          <w:szCs w:val="30"/>
        </w:rPr>
        <w:t xml:space="preserve"> </w:t>
      </w:r>
      <w:r>
        <w:rPr>
          <w:rFonts w:eastAsia="仿宋_GB2312" w:hint="eastAsia"/>
          <w:sz w:val="30"/>
          <w:szCs w:val="30"/>
        </w:rPr>
        <w:t xml:space="preserve">   </w:t>
      </w:r>
      <w:r>
        <w:rPr>
          <w:rFonts w:eastAsia="仿宋_GB2312" w:hint="eastAsia"/>
          <w:b/>
          <w:bCs/>
          <w:sz w:val="30"/>
          <w:szCs w:val="30"/>
        </w:rPr>
        <w:t>（一）科学合理编制预算，严格执行预算</w:t>
      </w:r>
      <w:r>
        <w:rPr>
          <w:rFonts w:eastAsia="仿宋_GB2312" w:hint="eastAsia"/>
          <w:sz w:val="30"/>
          <w:szCs w:val="30"/>
        </w:rPr>
        <w:t>。加强预算编制的前瞻性，按照新《预算法》及其实施条例的相关规定，按政策规定及本部门的发展规划，结合上一年度预算执行情况和本年度预算收支变化，科学、合理地编制本年预算草案，避免项目支出与基本支出划分不准或预算支出与实际执行出现较大偏差的情况，执行中确需调剂预算的，按规定程序报经批准。</w:t>
      </w:r>
    </w:p>
    <w:p w:rsidR="00A81BD0" w:rsidRDefault="000E5B03">
      <w:pPr>
        <w:overflowPunct w:val="0"/>
        <w:adjustRightInd w:val="0"/>
        <w:snapToGrid w:val="0"/>
        <w:spacing w:before="240" w:line="520" w:lineRule="exact"/>
        <w:ind w:left="0" w:firstLineChars="200" w:firstLine="602"/>
        <w:textAlignment w:val="auto"/>
        <w:rPr>
          <w:rFonts w:eastAsia="仿宋_GB2312"/>
          <w:b/>
          <w:bCs/>
          <w:sz w:val="30"/>
          <w:szCs w:val="30"/>
        </w:rPr>
      </w:pPr>
      <w:r>
        <w:rPr>
          <w:rFonts w:eastAsia="仿宋_GB2312" w:hint="eastAsia"/>
          <w:b/>
          <w:bCs/>
          <w:sz w:val="30"/>
          <w:szCs w:val="30"/>
        </w:rPr>
        <w:t>（二）完善管理制度，进一步加强资产管理。</w:t>
      </w:r>
      <w:r>
        <w:rPr>
          <w:rFonts w:eastAsia="仿宋_GB2312" w:hint="eastAsia"/>
          <w:sz w:val="30"/>
          <w:szCs w:val="30"/>
        </w:rPr>
        <w:t>进一步贯彻落实中央“八项规定”和湖南省委“九条规定”，建立本部门“三公经费”等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p>
    <w:p w:rsidR="00A81BD0" w:rsidRDefault="000E5B03">
      <w:pPr>
        <w:overflowPunct w:val="0"/>
        <w:adjustRightInd w:val="0"/>
        <w:snapToGrid w:val="0"/>
        <w:spacing w:before="240" w:line="520" w:lineRule="exact"/>
        <w:ind w:left="0" w:firstLineChars="200" w:firstLine="602"/>
        <w:textAlignment w:val="auto"/>
        <w:rPr>
          <w:rFonts w:eastAsia="仿宋_GB2312"/>
          <w:b/>
          <w:bCs/>
          <w:sz w:val="30"/>
          <w:szCs w:val="30"/>
        </w:rPr>
      </w:pPr>
      <w:r>
        <w:rPr>
          <w:rFonts w:eastAsia="仿宋_GB2312" w:hint="eastAsia"/>
          <w:b/>
          <w:bCs/>
          <w:sz w:val="30"/>
          <w:szCs w:val="30"/>
        </w:rPr>
        <w:t>（三）加强法制教育，严肃财经法规。</w:t>
      </w:r>
      <w:r>
        <w:rPr>
          <w:rFonts w:eastAsia="仿宋_GB2312" w:hint="eastAsia"/>
          <w:sz w:val="30"/>
          <w:szCs w:val="30"/>
        </w:rPr>
        <w:t>强化法律意识，高度重视财务管理工作，进一步提高有关工作人员的专业知识水平和业务工作能力，不断完善内部控制，努力提高财务管理水平，规范预算执行。</w:t>
      </w:r>
    </w:p>
    <w:p w:rsidR="00A81BD0" w:rsidRDefault="000E5B03">
      <w:pPr>
        <w:overflowPunct w:val="0"/>
        <w:adjustRightInd w:val="0"/>
        <w:snapToGrid w:val="0"/>
        <w:spacing w:before="240" w:line="520" w:lineRule="exact"/>
        <w:ind w:left="0" w:firstLineChars="200" w:firstLine="602"/>
        <w:textAlignment w:val="auto"/>
        <w:rPr>
          <w:rFonts w:eastAsia="仿宋_GB2312"/>
          <w:b/>
          <w:bCs/>
          <w:sz w:val="30"/>
          <w:szCs w:val="30"/>
        </w:rPr>
      </w:pPr>
      <w:r>
        <w:rPr>
          <w:rFonts w:eastAsia="仿宋_GB2312" w:hint="eastAsia"/>
          <w:b/>
          <w:bCs/>
          <w:sz w:val="30"/>
          <w:szCs w:val="30"/>
        </w:rPr>
        <w:t>（四）不断提高财政资金的使用效益。</w:t>
      </w:r>
      <w:r>
        <w:rPr>
          <w:rFonts w:eastAsia="仿宋_GB2312" w:hint="eastAsia"/>
          <w:sz w:val="30"/>
          <w:szCs w:val="30"/>
        </w:rPr>
        <w:t>积极探索、建立财政预算的绩效评价体系和考核制度，加强预算执行分析，强化决算管理。建立预算执行追踪问效制度，有效控制公用经费的支出，</w:t>
      </w:r>
      <w:r>
        <w:rPr>
          <w:rFonts w:eastAsia="仿宋_GB2312" w:hint="eastAsia"/>
          <w:sz w:val="30"/>
          <w:szCs w:val="30"/>
        </w:rPr>
        <w:lastRenderedPageBreak/>
        <w:t>提高预算资金的使用效益。</w:t>
      </w:r>
    </w:p>
    <w:p w:rsidR="00A81BD0" w:rsidRDefault="000E5B03">
      <w:pPr>
        <w:overflowPunct w:val="0"/>
        <w:adjustRightInd w:val="0"/>
        <w:snapToGrid w:val="0"/>
        <w:spacing w:before="240" w:line="520" w:lineRule="exact"/>
        <w:ind w:left="0" w:firstLineChars="200" w:firstLine="602"/>
        <w:textAlignment w:val="auto"/>
        <w:rPr>
          <w:rFonts w:eastAsia="仿宋_GB2312"/>
          <w:b/>
          <w:bCs/>
          <w:sz w:val="30"/>
          <w:szCs w:val="30"/>
        </w:rPr>
      </w:pPr>
      <w:r>
        <w:rPr>
          <w:rFonts w:eastAsia="仿宋_GB2312" w:hint="eastAsia"/>
          <w:b/>
          <w:bCs/>
          <w:sz w:val="30"/>
          <w:szCs w:val="30"/>
        </w:rPr>
        <w:t>（五）加强新会计制度和新预算法学习培训。</w:t>
      </w:r>
      <w:r>
        <w:rPr>
          <w:rFonts w:eastAsia="仿宋_GB2312" w:hint="eastAsia"/>
          <w:sz w:val="30"/>
          <w:szCs w:val="30"/>
        </w:rPr>
        <w:t>加强新《预算法》、《政府会计制度》等学习培训，规范部门预算收支核算，一是制定和完善基本支出、项目支出等各项支出标准，严格按项目和进度执行预算，增强预算的约束力和严肃性。二是落实预算执行分析，及时了解预算执行差异，合理调整、纠正预算执行偏差，切实提高部门预算收支管理水平。</w:t>
      </w:r>
    </w:p>
    <w:p w:rsidR="00A81BD0" w:rsidRDefault="00A81BD0">
      <w:pPr>
        <w:spacing w:before="240" w:line="500" w:lineRule="exact"/>
        <w:ind w:firstLine="600"/>
        <w:jc w:val="left"/>
        <w:textAlignment w:val="auto"/>
        <w:rPr>
          <w:rFonts w:eastAsia="仿宋_GB2312"/>
          <w:sz w:val="30"/>
          <w:szCs w:val="30"/>
        </w:rPr>
      </w:pPr>
    </w:p>
    <w:p w:rsidR="00A81BD0" w:rsidRDefault="000E5B03">
      <w:pPr>
        <w:spacing w:before="240" w:line="560" w:lineRule="exact"/>
        <w:jc w:val="left"/>
        <w:rPr>
          <w:rFonts w:eastAsia="仿宋_GB2312"/>
          <w:sz w:val="30"/>
          <w:szCs w:val="30"/>
        </w:rPr>
      </w:pPr>
      <w:r>
        <w:rPr>
          <w:rFonts w:eastAsia="仿宋_GB2312"/>
          <w:sz w:val="30"/>
          <w:szCs w:val="30"/>
        </w:rPr>
        <w:t xml:space="preserve">                       </w:t>
      </w:r>
      <w:r>
        <w:rPr>
          <w:rFonts w:eastAsia="仿宋_GB2312" w:hint="eastAsia"/>
          <w:sz w:val="30"/>
          <w:szCs w:val="30"/>
        </w:rPr>
        <w:t xml:space="preserve">   </w:t>
      </w:r>
      <w:r>
        <w:rPr>
          <w:rFonts w:eastAsia="仿宋_GB2312"/>
          <w:sz w:val="30"/>
          <w:szCs w:val="30"/>
        </w:rPr>
        <w:t xml:space="preserve"> </w:t>
      </w:r>
      <w:r>
        <w:rPr>
          <w:rFonts w:eastAsia="仿宋_GB2312" w:hint="eastAsia"/>
          <w:sz w:val="30"/>
          <w:szCs w:val="30"/>
        </w:rPr>
        <w:t xml:space="preserve">         </w:t>
      </w:r>
      <w:r>
        <w:rPr>
          <w:rFonts w:eastAsia="仿宋_GB2312" w:hint="eastAsia"/>
          <w:sz w:val="30"/>
          <w:szCs w:val="30"/>
        </w:rPr>
        <w:t>波洲镇人民政府</w:t>
      </w:r>
    </w:p>
    <w:p w:rsidR="00A81BD0" w:rsidRDefault="000E5B03">
      <w:pPr>
        <w:rPr>
          <w:rFonts w:eastAsia="仿宋_GB2312"/>
          <w:sz w:val="30"/>
          <w:szCs w:val="30"/>
        </w:rPr>
      </w:pPr>
      <w:r>
        <w:rPr>
          <w:rFonts w:eastAsia="仿宋_GB2312"/>
          <w:sz w:val="30"/>
          <w:szCs w:val="30"/>
        </w:rPr>
        <w:t xml:space="preserve">                            </w:t>
      </w:r>
      <w:r>
        <w:rPr>
          <w:rFonts w:eastAsia="仿宋_GB2312" w:hint="eastAsia"/>
          <w:sz w:val="30"/>
          <w:szCs w:val="30"/>
        </w:rPr>
        <w:t xml:space="preserve">   </w:t>
      </w:r>
      <w:r>
        <w:rPr>
          <w:rFonts w:eastAsia="仿宋_GB2312"/>
          <w:sz w:val="30"/>
          <w:szCs w:val="30"/>
        </w:rPr>
        <w:t xml:space="preserve"> </w:t>
      </w:r>
      <w:r>
        <w:rPr>
          <w:rFonts w:eastAsia="仿宋_GB2312" w:hint="eastAsia"/>
          <w:sz w:val="30"/>
          <w:szCs w:val="30"/>
        </w:rPr>
        <w:t xml:space="preserve"> </w:t>
      </w:r>
      <w:r>
        <w:rPr>
          <w:rFonts w:eastAsia="仿宋_GB2312"/>
          <w:sz w:val="30"/>
          <w:szCs w:val="30"/>
        </w:rPr>
        <w:t xml:space="preserve"> </w:t>
      </w:r>
      <w:r>
        <w:rPr>
          <w:rFonts w:eastAsia="仿宋_GB2312" w:hint="eastAsia"/>
          <w:sz w:val="30"/>
          <w:szCs w:val="30"/>
        </w:rPr>
        <w:t xml:space="preserve"> 2023</w:t>
      </w:r>
      <w:r>
        <w:rPr>
          <w:rFonts w:eastAsia="仿宋_GB2312"/>
          <w:sz w:val="30"/>
          <w:szCs w:val="30"/>
        </w:rPr>
        <w:t>年</w:t>
      </w:r>
      <w:r w:rsidR="00487FB8">
        <w:rPr>
          <w:rFonts w:eastAsia="仿宋_GB2312" w:hint="eastAsia"/>
          <w:sz w:val="30"/>
          <w:szCs w:val="30"/>
        </w:rPr>
        <w:t>10</w:t>
      </w:r>
      <w:r>
        <w:rPr>
          <w:rFonts w:eastAsia="仿宋_GB2312"/>
          <w:sz w:val="30"/>
          <w:szCs w:val="30"/>
        </w:rPr>
        <w:t>月</w:t>
      </w:r>
      <w:r w:rsidR="00487FB8">
        <w:rPr>
          <w:rFonts w:eastAsia="仿宋_GB2312" w:hint="eastAsia"/>
          <w:sz w:val="30"/>
          <w:szCs w:val="30"/>
        </w:rPr>
        <w:t>2</w:t>
      </w:r>
      <w:r>
        <w:rPr>
          <w:rFonts w:eastAsia="仿宋_GB2312" w:hint="eastAsia"/>
          <w:sz w:val="30"/>
          <w:szCs w:val="30"/>
        </w:rPr>
        <w:t>6</w:t>
      </w:r>
      <w:r>
        <w:rPr>
          <w:rFonts w:eastAsia="仿宋_GB2312"/>
          <w:sz w:val="30"/>
          <w:szCs w:val="30"/>
        </w:rPr>
        <w:t>日</w:t>
      </w:r>
    </w:p>
    <w:p w:rsidR="00A81BD0" w:rsidRDefault="00A81BD0">
      <w:pPr>
        <w:rPr>
          <w:rFonts w:eastAsia="仿宋_GB2312"/>
          <w:sz w:val="30"/>
          <w:szCs w:val="30"/>
        </w:rPr>
      </w:pPr>
    </w:p>
    <w:p w:rsidR="00A81BD0" w:rsidRDefault="00A81BD0">
      <w:pPr>
        <w:spacing w:line="600" w:lineRule="exact"/>
        <w:rPr>
          <w:rFonts w:ascii="仿宋" w:eastAsia="仿宋" w:hAnsi="仿宋" w:cs="仿宋"/>
          <w:color w:val="000000"/>
          <w:sz w:val="30"/>
          <w:szCs w:val="30"/>
        </w:rPr>
      </w:pPr>
    </w:p>
    <w:p w:rsidR="00A81BD0" w:rsidRDefault="00A81BD0">
      <w:pPr>
        <w:spacing w:line="360" w:lineRule="auto"/>
        <w:ind w:left="0"/>
        <w:jc w:val="left"/>
        <w:textAlignment w:val="auto"/>
        <w:rPr>
          <w:sz w:val="24"/>
          <w:szCs w:val="24"/>
        </w:rPr>
      </w:pPr>
    </w:p>
    <w:sectPr w:rsidR="00A81BD0" w:rsidSect="00A81B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CF8" w:rsidRDefault="00206CF8">
      <w:pPr>
        <w:spacing w:line="240" w:lineRule="auto"/>
      </w:pPr>
      <w:r>
        <w:separator/>
      </w:r>
    </w:p>
  </w:endnote>
  <w:endnote w:type="continuationSeparator" w:id="0">
    <w:p w:rsidR="00206CF8" w:rsidRDefault="00206CF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粗宋简体">
    <w:altName w:val="宋体"/>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CF8" w:rsidRDefault="00206CF8">
      <w:pPr>
        <w:spacing w:line="240" w:lineRule="auto"/>
      </w:pPr>
      <w:r>
        <w:separator/>
      </w:r>
    </w:p>
  </w:footnote>
  <w:footnote w:type="continuationSeparator" w:id="0">
    <w:p w:rsidR="00206CF8" w:rsidRDefault="00206CF8">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zc0NWYzOTdhODUxMjdlOGY4MzA3M2IyMGNmMjlkOTkifQ=="/>
  </w:docVars>
  <w:rsids>
    <w:rsidRoot w:val="00423FF7"/>
    <w:rsid w:val="000964BE"/>
    <w:rsid w:val="000E5B03"/>
    <w:rsid w:val="001176FA"/>
    <w:rsid w:val="00192913"/>
    <w:rsid w:val="001D2E7F"/>
    <w:rsid w:val="00206CF8"/>
    <w:rsid w:val="002C6849"/>
    <w:rsid w:val="003334B6"/>
    <w:rsid w:val="00423FF7"/>
    <w:rsid w:val="004730EB"/>
    <w:rsid w:val="00487FB8"/>
    <w:rsid w:val="004C632E"/>
    <w:rsid w:val="004D065F"/>
    <w:rsid w:val="00501705"/>
    <w:rsid w:val="0056626B"/>
    <w:rsid w:val="00744351"/>
    <w:rsid w:val="00856EA7"/>
    <w:rsid w:val="008F1C47"/>
    <w:rsid w:val="00A36CF1"/>
    <w:rsid w:val="00A81BD0"/>
    <w:rsid w:val="00A93272"/>
    <w:rsid w:val="00B43CF3"/>
    <w:rsid w:val="00B85BDF"/>
    <w:rsid w:val="00DA7D3A"/>
    <w:rsid w:val="00E212A9"/>
    <w:rsid w:val="00E55893"/>
    <w:rsid w:val="00F5030D"/>
    <w:rsid w:val="00F5103F"/>
    <w:rsid w:val="00FF4CE0"/>
    <w:rsid w:val="01CC05EB"/>
    <w:rsid w:val="02A14926"/>
    <w:rsid w:val="07A20EC8"/>
    <w:rsid w:val="09833590"/>
    <w:rsid w:val="0A4F1052"/>
    <w:rsid w:val="0B550CE5"/>
    <w:rsid w:val="12E46EA3"/>
    <w:rsid w:val="13B30D8F"/>
    <w:rsid w:val="14086A51"/>
    <w:rsid w:val="15064039"/>
    <w:rsid w:val="1543514C"/>
    <w:rsid w:val="159E1FD7"/>
    <w:rsid w:val="1BB46577"/>
    <w:rsid w:val="1EA63059"/>
    <w:rsid w:val="1EA70CDF"/>
    <w:rsid w:val="277D0C9F"/>
    <w:rsid w:val="2862105C"/>
    <w:rsid w:val="2A6D5DF2"/>
    <w:rsid w:val="2B603649"/>
    <w:rsid w:val="2D110153"/>
    <w:rsid w:val="2DC30907"/>
    <w:rsid w:val="2F664CAE"/>
    <w:rsid w:val="2FE540A8"/>
    <w:rsid w:val="30BE6CEC"/>
    <w:rsid w:val="327457B7"/>
    <w:rsid w:val="33691909"/>
    <w:rsid w:val="356A59D3"/>
    <w:rsid w:val="3B592470"/>
    <w:rsid w:val="3CAE7AEF"/>
    <w:rsid w:val="404809F9"/>
    <w:rsid w:val="42CE355A"/>
    <w:rsid w:val="488408E7"/>
    <w:rsid w:val="49B5657A"/>
    <w:rsid w:val="49FC652D"/>
    <w:rsid w:val="4E0A5914"/>
    <w:rsid w:val="58FE066B"/>
    <w:rsid w:val="5A5F67EC"/>
    <w:rsid w:val="5AF820A2"/>
    <w:rsid w:val="6133390E"/>
    <w:rsid w:val="648F6952"/>
    <w:rsid w:val="66AA5788"/>
    <w:rsid w:val="6C9D4EEA"/>
    <w:rsid w:val="6D241AF2"/>
    <w:rsid w:val="72874170"/>
    <w:rsid w:val="731B10F8"/>
    <w:rsid w:val="75487267"/>
    <w:rsid w:val="785377B5"/>
    <w:rsid w:val="7ED81A14"/>
    <w:rsid w:val="7EFE29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A81BD0"/>
    <w:pPr>
      <w:widowControl w:val="0"/>
      <w:spacing w:line="365" w:lineRule="atLeast"/>
      <w:ind w:left="1"/>
      <w:jc w:val="both"/>
      <w:textAlignment w:val="bottom"/>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A81BD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a4">
    <w:name w:val="Strong"/>
    <w:qFormat/>
    <w:rsid w:val="00A81BD0"/>
    <w:rPr>
      <w:b/>
      <w:bCs/>
    </w:rPr>
  </w:style>
  <w:style w:type="paragraph" w:styleId="a5">
    <w:name w:val="header"/>
    <w:basedOn w:val="a"/>
    <w:link w:val="Char"/>
    <w:rsid w:val="00487FB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5"/>
    <w:rsid w:val="00487FB8"/>
    <w:rPr>
      <w:rFonts w:ascii="Times New Roman" w:eastAsia="宋体" w:hAnsi="Times New Roman" w:cs="Times New Roman"/>
      <w:sz w:val="18"/>
      <w:szCs w:val="18"/>
    </w:rPr>
  </w:style>
  <w:style w:type="paragraph" w:styleId="a6">
    <w:name w:val="footer"/>
    <w:basedOn w:val="a"/>
    <w:link w:val="Char0"/>
    <w:rsid w:val="00487FB8"/>
    <w:pPr>
      <w:tabs>
        <w:tab w:val="center" w:pos="4153"/>
        <w:tab w:val="right" w:pos="8306"/>
      </w:tabs>
      <w:snapToGrid w:val="0"/>
      <w:spacing w:line="240" w:lineRule="atLeast"/>
      <w:jc w:val="left"/>
    </w:pPr>
    <w:rPr>
      <w:sz w:val="18"/>
      <w:szCs w:val="18"/>
    </w:rPr>
  </w:style>
  <w:style w:type="character" w:customStyle="1" w:styleId="Char0">
    <w:name w:val="页脚 Char"/>
    <w:basedOn w:val="a0"/>
    <w:link w:val="a6"/>
    <w:rsid w:val="00487FB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314</Words>
  <Characters>1792</Characters>
  <Application>Microsoft Office Word</Application>
  <DocSecurity>0</DocSecurity>
  <Lines>14</Lines>
  <Paragraphs>4</Paragraphs>
  <ScaleCrop>false</ScaleCrop>
  <Company/>
  <LinksUpToDate>false</LinksUpToDate>
  <CharactersWithSpaces>2102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dcterms:created xsi:type="dcterms:W3CDTF">2023-10-26T03:18:00Z</dcterms:created>
  <dcterms:modified xsi:type="dcterms:W3CDTF">2023-10-26T03:18:00Z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1A4B35EC39B149C5A3AF04EF5D7F9156_12</vt:lpwstr>
  </property>
</Properties>
</file>