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FE3B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</w:rPr>
        <w:t>新晃侗族自治县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年国民经济和</w:t>
      </w:r>
    </w:p>
    <w:p w14:paraId="35F8AD2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社会发展统计公报</w:t>
      </w:r>
    </w:p>
    <w:p w14:paraId="119949B7">
      <w:pPr>
        <w:jc w:val="center"/>
        <w:rPr>
          <w:rFonts w:hint="eastAsia"/>
        </w:rPr>
      </w:pPr>
    </w:p>
    <w:p w14:paraId="5D593B27">
      <w:pPr>
        <w:jc w:val="center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新晃侗族自治县统计局</w:t>
      </w:r>
    </w:p>
    <w:p w14:paraId="2294AD0D">
      <w:pPr>
        <w:jc w:val="center"/>
        <w:rPr>
          <w:rFonts w:hint="eastAsia"/>
        </w:rPr>
      </w:pPr>
    </w:p>
    <w:p w14:paraId="3D010169">
      <w:pPr>
        <w:spacing w:before="240" w:line="600" w:lineRule="exact"/>
        <w:ind w:firstLine="640" w:firstLineChars="200"/>
        <w:rPr>
          <w:rFonts w:hint="eastAsia" w:ascii="仿宋" w:hAnsi="仿宋" w:eastAsia="仿宋"/>
          <w:strike w:val="0"/>
          <w:dstrike w:val="0"/>
          <w:sz w:val="32"/>
          <w:szCs w:val="32"/>
        </w:rPr>
      </w:pPr>
      <w:r>
        <w:rPr>
          <w:rFonts w:hint="eastAsia" w:ascii="仿宋" w:hAnsi="仿宋" w:eastAsia="仿宋"/>
          <w:strike w:val="0"/>
          <w:dstrike w:val="0"/>
          <w:sz w:val="32"/>
          <w:szCs w:val="32"/>
        </w:rPr>
        <w:t>2022年，是极具考验、极不平凡、极为不易的一年。面对错综复杂的外部环境、艰巨繁重的发展任务、新冠疫情的反复冲击，我们坚持以习近平新时代中国特色社会主义思想为指导，深入学习党的二十大精神，全面贯彻落实中央、省、市决策部署，在县委县政府的坚强领导下，在县人大及其常委会和县政协的监督支持下，团结带领全县人民于变局中抢抓机遇，在逆境中砥砺前行，坚决落实“疫情要防住、经济要稳住、发展要安全”要求，有效应对多轮疫情冲击，扛住经济下行压力，平稳渡过百年不遇的极端天气，经济社会发展稳中有增、稳中向好。</w:t>
      </w:r>
    </w:p>
    <w:p w14:paraId="0F139D3C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一、综合</w:t>
      </w:r>
    </w:p>
    <w:p w14:paraId="31C4222C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年，全县生产总值（GDP）为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907205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3.7</w:t>
      </w:r>
      <w:r>
        <w:rPr>
          <w:rFonts w:hint="eastAsia" w:ascii="仿宋" w:hAnsi="仿宋" w:eastAsia="仿宋"/>
          <w:sz w:val="32"/>
          <w:szCs w:val="32"/>
        </w:rPr>
        <w:t>%，其中，第一产业增加值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129103万</w:t>
      </w:r>
      <w:r>
        <w:rPr>
          <w:rFonts w:hint="eastAsia" w:ascii="仿宋" w:hAnsi="仿宋" w:eastAsia="仿宋"/>
          <w:sz w:val="32"/>
          <w:szCs w:val="32"/>
        </w:rPr>
        <w:t>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3.7</w:t>
      </w:r>
      <w:r>
        <w:rPr>
          <w:rFonts w:hint="eastAsia" w:ascii="仿宋" w:hAnsi="仿宋" w:eastAsia="仿宋"/>
          <w:sz w:val="32"/>
          <w:szCs w:val="32"/>
        </w:rPr>
        <w:t>%；第二产业增加值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279633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sz w:val="32"/>
          <w:szCs w:val="32"/>
        </w:rPr>
        <w:t>%；第三产业增加值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498469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3.8</w:t>
      </w:r>
      <w:r>
        <w:rPr>
          <w:rFonts w:hint="eastAsia" w:ascii="仿宋" w:hAnsi="仿宋" w:eastAsia="仿宋"/>
          <w:sz w:val="32"/>
          <w:szCs w:val="32"/>
        </w:rPr>
        <w:t>%。按常住人口计算，人均国内生产总值为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41387</w:t>
      </w:r>
      <w:r>
        <w:rPr>
          <w:rFonts w:hint="eastAsia" w:ascii="仿宋" w:hAnsi="仿宋" w:eastAsia="仿宋"/>
          <w:sz w:val="32"/>
          <w:szCs w:val="32"/>
        </w:rPr>
        <w:t>元。三次产业结构由上年的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30.8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54.2</w:t>
      </w:r>
      <w:r>
        <w:rPr>
          <w:rFonts w:hint="eastAsia" w:ascii="仿宋" w:hAnsi="仿宋" w:eastAsia="仿宋"/>
          <w:sz w:val="32"/>
          <w:szCs w:val="32"/>
        </w:rPr>
        <w:t>调整为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14.3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30.8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54.9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C9401D5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二、农业</w:t>
      </w:r>
    </w:p>
    <w:p w14:paraId="49DBB3D6">
      <w:pPr>
        <w:spacing w:line="600" w:lineRule="exact"/>
        <w:ind w:left="29" w:leftChars="14"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</w:rPr>
        <w:t>全年完成农林牧渔业总产值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259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936.7</w:t>
      </w:r>
      <w:r>
        <w:rPr>
          <w:rFonts w:hint="eastAsia" w:ascii="仿宋" w:hAnsi="仿宋" w:eastAsia="仿宋"/>
          <w:sz w:val="32"/>
          <w:szCs w:val="32"/>
          <w:highlight w:val="none"/>
        </w:rPr>
        <w:t>万元，比上年增长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3.7</w:t>
      </w:r>
      <w:r>
        <w:rPr>
          <w:rFonts w:hint="eastAsia" w:ascii="仿宋" w:hAnsi="仿宋" w:eastAsia="仿宋"/>
          <w:sz w:val="32"/>
          <w:szCs w:val="32"/>
          <w:highlight w:val="none"/>
        </w:rPr>
        <w:t>%，实现农林牧渔业增加值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134490</w:t>
      </w:r>
      <w:r>
        <w:rPr>
          <w:rFonts w:hint="eastAsia" w:ascii="仿宋" w:hAnsi="仿宋" w:eastAsia="仿宋"/>
          <w:sz w:val="32"/>
          <w:szCs w:val="32"/>
          <w:highlight w:val="none"/>
        </w:rPr>
        <w:t>万元，增长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3.9</w:t>
      </w:r>
      <w:r>
        <w:rPr>
          <w:rFonts w:hint="eastAsia" w:ascii="仿宋" w:hAnsi="仿宋" w:eastAsia="仿宋"/>
          <w:sz w:val="32"/>
          <w:szCs w:val="32"/>
          <w:highlight w:val="none"/>
        </w:rPr>
        <w:t>%。其中，农业总产值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81229.5</w:t>
      </w:r>
      <w:r>
        <w:rPr>
          <w:rFonts w:hint="eastAsia" w:ascii="仿宋" w:hAnsi="仿宋" w:eastAsia="仿宋"/>
          <w:sz w:val="32"/>
          <w:szCs w:val="32"/>
          <w:highlight w:val="none"/>
        </w:rPr>
        <w:t>万元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</w:rPr>
        <w:t>林业总产值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3771.2</w:t>
      </w:r>
      <w:r>
        <w:rPr>
          <w:rFonts w:hint="eastAsia" w:ascii="仿宋" w:hAnsi="仿宋" w:eastAsia="仿宋"/>
          <w:sz w:val="32"/>
          <w:szCs w:val="32"/>
          <w:highlight w:val="none"/>
        </w:rPr>
        <w:t>万元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</w:rPr>
        <w:t>牧业总产值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164857.7</w:t>
      </w:r>
      <w:r>
        <w:rPr>
          <w:rFonts w:hint="eastAsia" w:ascii="仿宋" w:hAnsi="仿宋" w:eastAsia="仿宋"/>
          <w:sz w:val="32"/>
          <w:szCs w:val="32"/>
          <w:highlight w:val="none"/>
        </w:rPr>
        <w:t>万元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</w:rPr>
        <w:t>渔业总产值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1432.4</w:t>
      </w:r>
      <w:r>
        <w:rPr>
          <w:rFonts w:hint="eastAsia" w:ascii="仿宋" w:hAnsi="仿宋" w:eastAsia="仿宋"/>
          <w:sz w:val="32"/>
          <w:szCs w:val="32"/>
          <w:highlight w:val="none"/>
        </w:rPr>
        <w:t>万元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</w:rPr>
        <w:t>农林牧渔业服务业产值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8645.9</w:t>
      </w:r>
      <w:r>
        <w:rPr>
          <w:rFonts w:hint="eastAsia" w:ascii="仿宋" w:hAnsi="仿宋" w:eastAsia="仿宋"/>
          <w:sz w:val="32"/>
          <w:szCs w:val="32"/>
          <w:highlight w:val="none"/>
        </w:rPr>
        <w:t>万元，实现增加值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5387</w:t>
      </w:r>
      <w:r>
        <w:rPr>
          <w:rFonts w:hint="eastAsia" w:ascii="仿宋" w:hAnsi="仿宋" w:eastAsia="仿宋"/>
          <w:sz w:val="32"/>
          <w:szCs w:val="32"/>
          <w:highlight w:val="none"/>
        </w:rPr>
        <w:t>万元,增长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9.5</w:t>
      </w:r>
      <w:r>
        <w:rPr>
          <w:rFonts w:hint="eastAsia" w:ascii="仿宋" w:hAnsi="仿宋" w:eastAsia="仿宋"/>
          <w:sz w:val="32"/>
          <w:szCs w:val="32"/>
          <w:highlight w:val="none"/>
        </w:rPr>
        <w:t>%。</w:t>
      </w:r>
    </w:p>
    <w:p w14:paraId="05A6F231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全年粮食作物播种面积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24.25</w:t>
      </w:r>
      <w:r>
        <w:rPr>
          <w:rFonts w:hint="eastAsia" w:ascii="仿宋" w:hAnsi="仿宋" w:eastAsia="仿宋"/>
          <w:sz w:val="32"/>
          <w:szCs w:val="32"/>
        </w:rPr>
        <w:t>万亩，其中稻谷种植面积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16.1</w:t>
      </w:r>
      <w:r>
        <w:rPr>
          <w:rFonts w:hint="eastAsia" w:ascii="仿宋" w:hAnsi="仿宋" w:eastAsia="仿宋"/>
          <w:sz w:val="32"/>
          <w:szCs w:val="32"/>
        </w:rPr>
        <w:t>万亩。粮食总产量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81011</w:t>
      </w:r>
      <w:r>
        <w:rPr>
          <w:rFonts w:hint="eastAsia" w:ascii="仿宋" w:hAnsi="仿宋" w:eastAsia="仿宋"/>
          <w:sz w:val="32"/>
          <w:szCs w:val="32"/>
        </w:rPr>
        <w:t>吨，比上年</w:t>
      </w:r>
      <w:r>
        <w:rPr>
          <w:rFonts w:hint="eastAsia" w:ascii="仿宋" w:hAnsi="仿宋" w:eastAsia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2.22</w:t>
      </w:r>
      <w:r>
        <w:rPr>
          <w:rFonts w:hint="eastAsia" w:ascii="仿宋" w:hAnsi="仿宋" w:eastAsia="仿宋"/>
          <w:sz w:val="32"/>
          <w:szCs w:val="32"/>
        </w:rPr>
        <w:t>%，其中谷物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59153</w:t>
      </w:r>
      <w:r>
        <w:rPr>
          <w:rFonts w:hint="eastAsia" w:ascii="仿宋" w:hAnsi="仿宋" w:eastAsia="仿宋"/>
          <w:sz w:val="32"/>
          <w:szCs w:val="32"/>
        </w:rPr>
        <w:t>吨，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3.65</w:t>
      </w:r>
      <w:r>
        <w:rPr>
          <w:rFonts w:hint="eastAsia" w:ascii="仿宋" w:hAnsi="仿宋" w:eastAsia="仿宋"/>
          <w:sz w:val="32"/>
          <w:szCs w:val="32"/>
        </w:rPr>
        <w:t>%，薯类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2874</w:t>
      </w:r>
      <w:r>
        <w:rPr>
          <w:rFonts w:hint="eastAsia" w:ascii="仿宋" w:hAnsi="仿宋" w:eastAsia="仿宋"/>
          <w:sz w:val="32"/>
          <w:szCs w:val="32"/>
        </w:rPr>
        <w:t>吨，</w:t>
      </w:r>
      <w:r>
        <w:rPr>
          <w:rFonts w:hint="eastAsia" w:ascii="仿宋" w:hAnsi="仿宋" w:eastAsia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0.86</w:t>
      </w:r>
      <w:r>
        <w:rPr>
          <w:rFonts w:hint="eastAsia" w:ascii="仿宋" w:hAnsi="仿宋" w:eastAsia="仿宋"/>
          <w:sz w:val="32"/>
          <w:szCs w:val="32"/>
        </w:rPr>
        <w:t>%，豆类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578</w:t>
      </w:r>
      <w:r>
        <w:rPr>
          <w:rFonts w:hint="eastAsia" w:ascii="仿宋" w:hAnsi="仿宋" w:eastAsia="仿宋"/>
          <w:sz w:val="32"/>
          <w:szCs w:val="32"/>
        </w:rPr>
        <w:t>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油料播种面积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6.75</w:t>
      </w:r>
      <w:r>
        <w:rPr>
          <w:rFonts w:hint="eastAsia" w:ascii="仿宋" w:hAnsi="仿宋" w:eastAsia="仿宋"/>
          <w:sz w:val="32"/>
          <w:szCs w:val="32"/>
        </w:rPr>
        <w:t>万亩，油类总产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6129.8</w:t>
      </w:r>
      <w:r>
        <w:rPr>
          <w:rFonts w:hint="eastAsia" w:ascii="仿宋" w:hAnsi="仿宋" w:eastAsia="仿宋"/>
          <w:sz w:val="32"/>
          <w:szCs w:val="32"/>
        </w:rPr>
        <w:t>吨，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4.7</w:t>
      </w:r>
      <w:r>
        <w:rPr>
          <w:rFonts w:hint="eastAsia" w:ascii="仿宋" w:hAnsi="仿宋" w:eastAsia="仿宋"/>
          <w:sz w:val="32"/>
          <w:szCs w:val="32"/>
        </w:rPr>
        <w:t>%，其中油菜籽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5787.6</w:t>
      </w:r>
      <w:r>
        <w:rPr>
          <w:rFonts w:hint="eastAsia" w:ascii="仿宋" w:hAnsi="仿宋" w:eastAsia="仿宋"/>
          <w:sz w:val="32"/>
          <w:szCs w:val="32"/>
        </w:rPr>
        <w:t>吨，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5.0</w:t>
      </w:r>
      <w:r>
        <w:rPr>
          <w:rFonts w:hint="eastAsia" w:ascii="仿宋" w:hAnsi="仿宋" w:eastAsia="仿宋"/>
          <w:sz w:val="32"/>
          <w:szCs w:val="32"/>
        </w:rPr>
        <w:t>%。经济作物中，烟叶种植面积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0.018</w:t>
      </w:r>
      <w:r>
        <w:rPr>
          <w:rFonts w:hint="eastAsia" w:ascii="仿宋" w:hAnsi="仿宋" w:eastAsia="仿宋"/>
          <w:sz w:val="32"/>
          <w:szCs w:val="32"/>
        </w:rPr>
        <w:t>万亩，烟叶总产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sz w:val="32"/>
          <w:szCs w:val="32"/>
        </w:rPr>
        <w:t>吨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其中烤烟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sz w:val="32"/>
          <w:szCs w:val="32"/>
        </w:rPr>
        <w:t>吨。水果总产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10360.4</w:t>
      </w:r>
      <w:r>
        <w:rPr>
          <w:rFonts w:hint="eastAsia" w:ascii="仿宋" w:hAnsi="仿宋" w:eastAsia="仿宋"/>
          <w:sz w:val="32"/>
          <w:szCs w:val="32"/>
        </w:rPr>
        <w:t>吨，其中柑橘类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5804</w:t>
      </w:r>
      <w:r>
        <w:rPr>
          <w:rFonts w:hint="eastAsia" w:ascii="仿宋" w:hAnsi="仿宋" w:eastAsia="仿宋"/>
          <w:sz w:val="32"/>
          <w:szCs w:val="32"/>
        </w:rPr>
        <w:t>吨，增长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1.4</w:t>
      </w:r>
      <w:r>
        <w:rPr>
          <w:rFonts w:hint="eastAsia" w:ascii="仿宋" w:hAnsi="仿宋" w:eastAsia="仿宋"/>
          <w:sz w:val="32"/>
          <w:szCs w:val="32"/>
        </w:rPr>
        <w:t>%；果用瓜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875.4</w:t>
      </w:r>
      <w:r>
        <w:rPr>
          <w:rFonts w:hint="eastAsia" w:ascii="仿宋" w:hAnsi="仿宋" w:eastAsia="仿宋"/>
          <w:sz w:val="32"/>
          <w:szCs w:val="32"/>
        </w:rPr>
        <w:t>吨，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3.7</w:t>
      </w:r>
      <w:r>
        <w:rPr>
          <w:rFonts w:hint="eastAsia" w:ascii="仿宋" w:hAnsi="仿宋" w:eastAsia="仿宋"/>
          <w:sz w:val="32"/>
          <w:szCs w:val="32"/>
        </w:rPr>
        <w:t>%；其他水果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1642</w:t>
      </w:r>
      <w:r>
        <w:rPr>
          <w:rFonts w:hint="eastAsia" w:ascii="仿宋" w:hAnsi="仿宋" w:eastAsia="仿宋"/>
          <w:sz w:val="32"/>
          <w:szCs w:val="32"/>
        </w:rPr>
        <w:t>吨。蔬菜种植面积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4.62</w:t>
      </w:r>
      <w:r>
        <w:rPr>
          <w:rFonts w:hint="eastAsia" w:ascii="仿宋" w:hAnsi="仿宋" w:eastAsia="仿宋"/>
          <w:sz w:val="32"/>
          <w:szCs w:val="32"/>
        </w:rPr>
        <w:t>万亩，蔬菜</w:t>
      </w:r>
      <w:r>
        <w:rPr>
          <w:rFonts w:hint="eastAsia" w:ascii="仿宋" w:hAnsi="仿宋" w:eastAsia="仿宋"/>
          <w:sz w:val="32"/>
          <w:szCs w:val="32"/>
          <w:lang w:eastAsia="zh-CN"/>
        </w:rPr>
        <w:t>产量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57013</w:t>
      </w:r>
      <w:r>
        <w:rPr>
          <w:rFonts w:hint="eastAsia" w:ascii="仿宋" w:hAnsi="仿宋" w:eastAsia="仿宋"/>
          <w:sz w:val="32"/>
          <w:szCs w:val="32"/>
        </w:rPr>
        <w:t>吨。</w:t>
      </w:r>
    </w:p>
    <w:p w14:paraId="728CBB33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全年出栏生猪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26.45</w:t>
      </w:r>
      <w:r>
        <w:rPr>
          <w:rFonts w:hint="eastAsia" w:ascii="仿宋" w:hAnsi="仿宋" w:eastAsia="仿宋"/>
          <w:sz w:val="32"/>
          <w:szCs w:val="32"/>
        </w:rPr>
        <w:t>万头，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1.69</w:t>
      </w:r>
      <w:r>
        <w:rPr>
          <w:rFonts w:hint="eastAsia" w:ascii="仿宋" w:hAnsi="仿宋" w:eastAsia="仿宋"/>
          <w:sz w:val="32"/>
          <w:szCs w:val="32"/>
        </w:rPr>
        <w:t>%；出栏牛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4.81</w:t>
      </w:r>
      <w:r>
        <w:rPr>
          <w:rFonts w:hint="eastAsia" w:ascii="仿宋" w:hAnsi="仿宋" w:eastAsia="仿宋"/>
          <w:sz w:val="32"/>
          <w:szCs w:val="32"/>
        </w:rPr>
        <w:t>万头，</w:t>
      </w:r>
      <w:r>
        <w:rPr>
          <w:rFonts w:hint="eastAsia" w:ascii="仿宋" w:hAnsi="仿宋" w:eastAsia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7.85</w:t>
      </w:r>
      <w:r>
        <w:rPr>
          <w:rFonts w:hint="eastAsia" w:ascii="仿宋" w:hAnsi="仿宋" w:eastAsia="仿宋"/>
          <w:sz w:val="32"/>
          <w:szCs w:val="32"/>
        </w:rPr>
        <w:t>%；出栏羊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8.37</w:t>
      </w:r>
      <w:r>
        <w:rPr>
          <w:rFonts w:hint="eastAsia" w:ascii="仿宋" w:hAnsi="仿宋" w:eastAsia="仿宋"/>
          <w:sz w:val="32"/>
          <w:szCs w:val="32"/>
        </w:rPr>
        <w:t>万只，增长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10.42</w:t>
      </w:r>
      <w:r>
        <w:rPr>
          <w:rFonts w:hint="eastAsia" w:ascii="仿宋" w:hAnsi="仿宋" w:eastAsia="仿宋"/>
          <w:sz w:val="32"/>
          <w:szCs w:val="32"/>
        </w:rPr>
        <w:t>%；出笼家禽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83.05</w:t>
      </w:r>
      <w:r>
        <w:rPr>
          <w:rFonts w:hint="eastAsia" w:ascii="仿宋" w:hAnsi="仿宋" w:eastAsia="仿宋"/>
          <w:sz w:val="32"/>
          <w:szCs w:val="32"/>
        </w:rPr>
        <w:t>万羽；肉类总产量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2.73万</w:t>
      </w:r>
      <w:r>
        <w:rPr>
          <w:rFonts w:hint="eastAsia" w:ascii="仿宋" w:hAnsi="仿宋" w:eastAsia="仿宋"/>
          <w:sz w:val="32"/>
          <w:szCs w:val="32"/>
        </w:rPr>
        <w:t>吨。</w:t>
      </w:r>
    </w:p>
    <w:p w14:paraId="5262B0FD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统筹整合财政涉农资金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14076.73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万元，其中整合中央资金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5478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万元、省级资金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1999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年整合资金结余调整到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2022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年统筹整合使用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64.76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全年实施</w:t>
      </w:r>
      <w:r>
        <w:rPr>
          <w:rFonts w:hint="eastAsia" w:ascii="仿宋" w:hAnsi="仿宋" w:eastAsia="仿宋"/>
          <w:sz w:val="32"/>
          <w:szCs w:val="32"/>
          <w:lang w:eastAsia="zh-CN"/>
        </w:rPr>
        <w:t>有效衔接</w:t>
      </w:r>
      <w:r>
        <w:rPr>
          <w:rFonts w:hint="eastAsia" w:ascii="仿宋" w:hAnsi="仿宋" w:eastAsia="仿宋"/>
          <w:sz w:val="32"/>
          <w:szCs w:val="32"/>
        </w:rPr>
        <w:t>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227</w:t>
      </w:r>
      <w:r>
        <w:rPr>
          <w:rFonts w:hint="eastAsia" w:ascii="仿宋" w:hAnsi="仿宋" w:eastAsia="仿宋"/>
          <w:sz w:val="32"/>
          <w:szCs w:val="32"/>
        </w:rPr>
        <w:t>个，</w:t>
      </w:r>
      <w:r>
        <w:rPr>
          <w:rFonts w:hint="eastAsia" w:ascii="仿宋" w:hAnsi="仿宋" w:eastAsia="仿宋"/>
          <w:sz w:val="32"/>
          <w:szCs w:val="32"/>
          <w:lang w:eastAsia="zh-CN"/>
        </w:rPr>
        <w:t>全县脱贫人口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42076人，监测对象3144人，2022年新识别监测对象134户382人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8BA71C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C42FA79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三、工业</w:t>
      </w:r>
    </w:p>
    <w:p w14:paraId="7D17A9C5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全县工业增加值同比增长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2.9</w:t>
      </w:r>
      <w:r>
        <w:rPr>
          <w:rFonts w:hint="eastAsia" w:ascii="仿宋" w:hAnsi="仿宋" w:eastAsia="仿宋"/>
          <w:sz w:val="32"/>
          <w:szCs w:val="32"/>
        </w:rPr>
        <w:t>%，其中规模以上工业</w:t>
      </w:r>
      <w:r>
        <w:rPr>
          <w:rFonts w:hint="eastAsia" w:ascii="仿宋" w:hAnsi="仿宋" w:eastAsia="仿宋"/>
          <w:sz w:val="32"/>
          <w:szCs w:val="32"/>
          <w:lang w:eastAsia="zh-CN"/>
        </w:rPr>
        <w:t>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247529万元，同比增长7.9%。</w:t>
      </w: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年全县规模以上工业企业户数达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46</w:t>
      </w:r>
      <w:r>
        <w:rPr>
          <w:rFonts w:hint="eastAsia" w:ascii="仿宋" w:hAnsi="仿宋" w:eastAsia="仿宋"/>
          <w:sz w:val="32"/>
          <w:szCs w:val="32"/>
        </w:rPr>
        <w:t>户。</w:t>
      </w:r>
    </w:p>
    <w:p w14:paraId="05AE9C9D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在规模工业企业主要产品产量中，全年</w:t>
      </w:r>
      <w:r>
        <w:rPr>
          <w:rFonts w:hint="eastAsia" w:ascii="仿宋" w:hAnsi="仿宋" w:eastAsia="仿宋"/>
          <w:sz w:val="32"/>
          <w:szCs w:val="32"/>
          <w:lang w:eastAsia="zh-CN"/>
        </w:rPr>
        <w:t>自来水生产</w:t>
      </w:r>
      <w:r>
        <w:rPr>
          <w:rFonts w:hint="eastAsia" w:ascii="仿宋" w:hAnsi="仿宋" w:eastAsia="仿宋"/>
          <w:sz w:val="32"/>
          <w:szCs w:val="32"/>
        </w:rPr>
        <w:t>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1.2亿立方米，</w:t>
      </w:r>
      <w:r>
        <w:rPr>
          <w:rFonts w:hint="eastAsia" w:ascii="仿宋" w:hAnsi="仿宋" w:eastAsia="仿宋"/>
          <w:sz w:val="32"/>
          <w:szCs w:val="32"/>
          <w:lang w:eastAsia="zh-CN"/>
        </w:rPr>
        <w:t>累计增长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18.5%</w:t>
      </w:r>
      <w:r>
        <w:rPr>
          <w:rFonts w:hint="eastAsia" w:ascii="仿宋" w:hAnsi="仿宋" w:eastAsia="仿宋"/>
          <w:sz w:val="32"/>
          <w:szCs w:val="32"/>
        </w:rPr>
        <w:t>；牛肉休闲食品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5962</w:t>
      </w:r>
      <w:r>
        <w:rPr>
          <w:rFonts w:hint="eastAsia" w:ascii="仿宋" w:hAnsi="仿宋" w:eastAsia="仿宋"/>
          <w:sz w:val="32"/>
          <w:szCs w:val="32"/>
        </w:rPr>
        <w:t>吨，增长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24.7</w:t>
      </w:r>
      <w:r>
        <w:rPr>
          <w:rFonts w:hint="eastAsia" w:ascii="仿宋" w:hAnsi="仿宋" w:eastAsia="仿宋"/>
          <w:sz w:val="32"/>
          <w:szCs w:val="32"/>
        </w:rPr>
        <w:t>%；</w:t>
      </w:r>
      <w:r>
        <w:rPr>
          <w:rFonts w:hint="eastAsia" w:ascii="仿宋" w:hAnsi="仿宋" w:eastAsia="仿宋"/>
          <w:sz w:val="32"/>
          <w:szCs w:val="32"/>
          <w:lang w:eastAsia="zh-CN"/>
        </w:rPr>
        <w:t>商品混凝土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57.3</w:t>
      </w:r>
      <w:r>
        <w:rPr>
          <w:rFonts w:hint="eastAsia" w:ascii="仿宋" w:hAnsi="仿宋" w:eastAsia="仿宋"/>
          <w:sz w:val="32"/>
          <w:szCs w:val="32"/>
        </w:rPr>
        <w:t>万</w:t>
      </w:r>
      <w:r>
        <w:rPr>
          <w:rFonts w:hint="eastAsia" w:ascii="仿宋" w:hAnsi="仿宋" w:eastAsia="仿宋"/>
          <w:sz w:val="32"/>
          <w:szCs w:val="32"/>
          <w:lang w:eastAsia="zh-CN"/>
        </w:rPr>
        <w:t>立方米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45.5</w:t>
      </w:r>
      <w:r>
        <w:rPr>
          <w:rFonts w:hint="eastAsia" w:ascii="仿宋" w:hAnsi="仿宋" w:eastAsia="仿宋"/>
          <w:sz w:val="32"/>
          <w:szCs w:val="32"/>
        </w:rPr>
        <w:t>%；铁合金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12.1</w:t>
      </w:r>
      <w:r>
        <w:rPr>
          <w:rFonts w:hint="eastAsia" w:ascii="仿宋" w:hAnsi="仿宋" w:eastAsia="仿宋"/>
          <w:sz w:val="32"/>
          <w:szCs w:val="32"/>
        </w:rPr>
        <w:t>万吨，增长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27.5</w:t>
      </w:r>
      <w:r>
        <w:rPr>
          <w:rFonts w:hint="eastAsia" w:ascii="仿宋" w:hAnsi="仿宋" w:eastAsia="仿宋"/>
          <w:sz w:val="32"/>
          <w:szCs w:val="32"/>
        </w:rPr>
        <w:t>%；机制纸及纸板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10.2</w:t>
      </w:r>
      <w:r>
        <w:rPr>
          <w:rFonts w:hint="eastAsia" w:ascii="仿宋" w:hAnsi="仿宋" w:eastAsia="仿宋"/>
          <w:sz w:val="32"/>
          <w:szCs w:val="32"/>
        </w:rPr>
        <w:t>万吨，增长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11.6</w:t>
      </w:r>
      <w:r>
        <w:rPr>
          <w:rFonts w:hint="eastAsia" w:ascii="仿宋" w:hAnsi="仿宋" w:eastAsia="仿宋"/>
          <w:sz w:val="32"/>
          <w:szCs w:val="32"/>
        </w:rPr>
        <w:t>%；生产蓄电池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36.6</w:t>
      </w:r>
      <w:r>
        <w:rPr>
          <w:rFonts w:hint="eastAsia" w:ascii="仿宋" w:hAnsi="仿宋" w:eastAsia="仿宋"/>
          <w:sz w:val="32"/>
          <w:szCs w:val="32"/>
        </w:rPr>
        <w:t>万只，增长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22.7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15A5A4D8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四、固定资产投资和建筑业</w:t>
      </w:r>
    </w:p>
    <w:p w14:paraId="7AA7D1D9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年，全县固定资产投资比上年增长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%。其中，房地产投资完成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152158</w:t>
      </w:r>
      <w:r>
        <w:rPr>
          <w:rFonts w:hint="eastAsia" w:ascii="仿宋" w:hAnsi="仿宋" w:eastAsia="仿宋"/>
          <w:sz w:val="32"/>
          <w:szCs w:val="32"/>
        </w:rPr>
        <w:t>万元。全年投资开工项目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37</w:t>
      </w:r>
      <w:r>
        <w:rPr>
          <w:rFonts w:hint="eastAsia" w:ascii="仿宋" w:hAnsi="仿宋" w:eastAsia="仿宋"/>
          <w:sz w:val="32"/>
          <w:szCs w:val="32"/>
        </w:rPr>
        <w:t>个，竣工项目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25个</w:t>
      </w:r>
      <w:r>
        <w:rPr>
          <w:rFonts w:hint="eastAsia" w:ascii="仿宋" w:hAnsi="仿宋" w:eastAsia="仿宋"/>
          <w:sz w:val="32"/>
          <w:szCs w:val="32"/>
        </w:rPr>
        <w:t>，施工房屋面积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105.68</w:t>
      </w:r>
      <w:r>
        <w:rPr>
          <w:rFonts w:hint="eastAsia" w:ascii="仿宋" w:hAnsi="仿宋" w:eastAsia="仿宋"/>
          <w:sz w:val="32"/>
          <w:szCs w:val="32"/>
        </w:rPr>
        <w:t>万平方米，竣工房屋面积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76</w:t>
      </w:r>
      <w:r>
        <w:rPr>
          <w:rFonts w:hint="eastAsia" w:ascii="仿宋" w:hAnsi="仿宋" w:eastAsia="仿宋"/>
          <w:sz w:val="32"/>
          <w:szCs w:val="32"/>
        </w:rPr>
        <w:t>万平方米。</w:t>
      </w:r>
    </w:p>
    <w:p w14:paraId="02447250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全年建筑业实现增加值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32142</w:t>
      </w:r>
      <w:r>
        <w:rPr>
          <w:rFonts w:hint="eastAsia" w:ascii="仿宋" w:hAnsi="仿宋" w:eastAsia="仿宋"/>
          <w:sz w:val="32"/>
          <w:szCs w:val="32"/>
        </w:rPr>
        <w:t>万元，比上年同期增长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8.5</w:t>
      </w:r>
      <w:r>
        <w:rPr>
          <w:rFonts w:hint="eastAsia" w:ascii="仿宋" w:hAnsi="仿宋" w:eastAsia="仿宋"/>
          <w:sz w:val="32"/>
          <w:szCs w:val="32"/>
        </w:rPr>
        <w:t>%。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szCs w:val="32"/>
        </w:rPr>
        <w:t>家资质建筑企业实现总产值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9.4亿</w:t>
      </w:r>
      <w:r>
        <w:rPr>
          <w:rFonts w:hint="eastAsia" w:ascii="仿宋" w:hAnsi="仿宋" w:eastAsia="仿宋"/>
          <w:sz w:val="32"/>
          <w:szCs w:val="32"/>
        </w:rPr>
        <w:t>元，房屋建筑施工面积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/>
          <w:sz w:val="32"/>
          <w:szCs w:val="32"/>
        </w:rPr>
        <w:t>万平方米，房屋建筑竣工面积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34</w:t>
      </w:r>
      <w:r>
        <w:rPr>
          <w:rFonts w:hint="eastAsia" w:ascii="仿宋" w:hAnsi="仿宋" w:eastAsia="仿宋"/>
          <w:sz w:val="32"/>
          <w:szCs w:val="32"/>
        </w:rPr>
        <w:t>万平方米。</w:t>
      </w:r>
    </w:p>
    <w:p w14:paraId="2908FD15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五、交通、邮电</w:t>
      </w:r>
    </w:p>
    <w:p w14:paraId="01226C02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全县交通运输、仓储和邮政业增加值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68488</w:t>
      </w:r>
      <w:r>
        <w:rPr>
          <w:rFonts w:hint="eastAsia" w:ascii="仿宋" w:hAnsi="仿宋" w:eastAsia="仿宋"/>
          <w:sz w:val="32"/>
          <w:szCs w:val="32"/>
        </w:rPr>
        <w:t>万元，同比</w:t>
      </w:r>
      <w:r>
        <w:rPr>
          <w:rFonts w:hint="eastAsia" w:ascii="仿宋" w:hAnsi="仿宋" w:eastAsia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1.9</w:t>
      </w:r>
      <w:r>
        <w:rPr>
          <w:rFonts w:hint="eastAsia" w:ascii="仿宋" w:hAnsi="仿宋" w:eastAsia="仿宋"/>
          <w:sz w:val="32"/>
          <w:szCs w:val="32"/>
        </w:rPr>
        <w:t>%。</w:t>
      </w:r>
      <w:r>
        <w:rPr>
          <w:rFonts w:hint="eastAsia" w:ascii="仿宋" w:hAnsi="仿宋" w:eastAsia="仿宋" w:cs="Times New Roman"/>
          <w:sz w:val="32"/>
          <w:szCs w:val="32"/>
        </w:rPr>
        <w:t>全县公路线路列入管养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总</w:t>
      </w:r>
      <w:r>
        <w:rPr>
          <w:rFonts w:hint="eastAsia" w:ascii="仿宋" w:hAnsi="仿宋" w:eastAsia="仿宋" w:cs="Times New Roman"/>
          <w:sz w:val="32"/>
          <w:szCs w:val="32"/>
        </w:rPr>
        <w:t>里程1387.71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2公里</w:t>
      </w:r>
      <w:r>
        <w:rPr>
          <w:rFonts w:hint="eastAsia" w:ascii="仿宋" w:hAnsi="仿宋" w:eastAsia="仿宋" w:cs="Times New Roman"/>
          <w:sz w:val="32"/>
          <w:szCs w:val="32"/>
        </w:rPr>
        <w:t>（不含高速公路）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完成公路客运周转量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13462</w:t>
      </w:r>
      <w:r>
        <w:rPr>
          <w:rFonts w:hint="eastAsia" w:ascii="仿宋" w:hAnsi="仿宋" w:eastAsia="仿宋"/>
          <w:sz w:val="32"/>
          <w:szCs w:val="32"/>
        </w:rPr>
        <w:t>万人公里，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4.4</w:t>
      </w:r>
      <w:r>
        <w:rPr>
          <w:rFonts w:hint="eastAsia" w:ascii="仿宋" w:hAnsi="仿宋" w:eastAsia="仿宋"/>
          <w:sz w:val="32"/>
          <w:szCs w:val="32"/>
        </w:rPr>
        <w:t>%；发送旅客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439.9</w:t>
      </w:r>
      <w:r>
        <w:rPr>
          <w:rFonts w:hint="eastAsia" w:ascii="仿宋" w:hAnsi="仿宋" w:eastAsia="仿宋"/>
          <w:sz w:val="32"/>
          <w:szCs w:val="32"/>
        </w:rPr>
        <w:t>万人，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4.2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5AC73010">
      <w:pPr>
        <w:spacing w:line="600" w:lineRule="exact"/>
        <w:ind w:left="15" w:leftChars="7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全年完成邮电业务收入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17730.2</w:t>
      </w:r>
      <w:r>
        <w:rPr>
          <w:rFonts w:hint="eastAsia" w:ascii="仿宋" w:hAnsi="仿宋" w:eastAsia="仿宋"/>
          <w:sz w:val="32"/>
          <w:szCs w:val="32"/>
        </w:rPr>
        <w:t>万元。其中完成邮政业务收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入3403</w:t>
      </w:r>
      <w:r>
        <w:rPr>
          <w:rFonts w:hint="eastAsia" w:ascii="仿宋" w:hAnsi="仿宋" w:eastAsia="仿宋"/>
          <w:sz w:val="32"/>
          <w:szCs w:val="32"/>
        </w:rPr>
        <w:t>万元，完成电信业务收入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14327.2</w:t>
      </w:r>
      <w:r>
        <w:rPr>
          <w:rFonts w:hint="eastAsia" w:ascii="仿宋" w:hAnsi="仿宋" w:eastAsia="仿宋"/>
          <w:sz w:val="32"/>
          <w:szCs w:val="32"/>
        </w:rPr>
        <w:t>万元。全县固定电话用户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573</w:t>
      </w:r>
      <w:r>
        <w:rPr>
          <w:rFonts w:hint="eastAsia" w:ascii="仿宋" w:hAnsi="仿宋" w:eastAsia="仿宋"/>
          <w:sz w:val="32"/>
          <w:szCs w:val="32"/>
        </w:rPr>
        <w:t>户，移动电话用户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156756</w:t>
      </w:r>
      <w:r>
        <w:rPr>
          <w:rFonts w:hint="eastAsia" w:ascii="仿宋" w:hAnsi="仿宋" w:eastAsia="仿宋"/>
          <w:sz w:val="32"/>
          <w:szCs w:val="32"/>
        </w:rPr>
        <w:t>户，互联网宽带用户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35809</w:t>
      </w:r>
      <w:r>
        <w:rPr>
          <w:rFonts w:hint="eastAsia" w:ascii="仿宋" w:hAnsi="仿宋" w:eastAsia="仿宋"/>
          <w:sz w:val="32"/>
          <w:szCs w:val="32"/>
        </w:rPr>
        <w:t>户。</w:t>
      </w:r>
    </w:p>
    <w:p w14:paraId="490B78D6">
      <w:pPr>
        <w:spacing w:line="600" w:lineRule="exact"/>
        <w:ind w:left="63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六、商务、贸易</w:t>
      </w:r>
    </w:p>
    <w:p w14:paraId="3EC666E5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全县社会消费品零售额为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293828.1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2.27</w:t>
      </w:r>
      <w:r>
        <w:rPr>
          <w:rFonts w:hint="eastAsia" w:ascii="仿宋" w:hAnsi="仿宋" w:eastAsia="仿宋"/>
          <w:sz w:val="32"/>
          <w:szCs w:val="32"/>
        </w:rPr>
        <w:t>%。从地域看，城镇完成社会消费品零售额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188590.7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3.24</w:t>
      </w:r>
      <w:r>
        <w:rPr>
          <w:rFonts w:hint="eastAsia" w:ascii="仿宋" w:hAnsi="仿宋" w:eastAsia="仿宋"/>
          <w:sz w:val="32"/>
          <w:szCs w:val="32"/>
        </w:rPr>
        <w:t>%；乡村完成社会消费品零售额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105237.4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0.57</w:t>
      </w:r>
      <w:r>
        <w:rPr>
          <w:rFonts w:hint="eastAsia" w:ascii="仿宋" w:hAnsi="仿宋" w:eastAsia="仿宋"/>
          <w:sz w:val="32"/>
          <w:szCs w:val="32"/>
        </w:rPr>
        <w:t>%。按行业分，批发零售贸易业零售额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15731.6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11.6</w:t>
      </w:r>
      <w:r>
        <w:rPr>
          <w:rFonts w:hint="eastAsia" w:ascii="仿宋" w:hAnsi="仿宋" w:eastAsia="仿宋"/>
          <w:sz w:val="32"/>
          <w:szCs w:val="32"/>
        </w:rPr>
        <w:t>%，住宿和餐饮业零售额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20104.8</w:t>
      </w:r>
      <w:r>
        <w:rPr>
          <w:rFonts w:hint="eastAsia" w:ascii="仿宋" w:hAnsi="仿宋" w:eastAsia="仿宋"/>
          <w:sz w:val="32"/>
          <w:szCs w:val="32"/>
        </w:rPr>
        <w:t>万元，增长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16.2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5F2B2C8F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全年引进招商项目18个，合同引进资金129.06亿元，实际到位资金31.17亿元，增长16.7%。</w:t>
      </w:r>
    </w:p>
    <w:p w14:paraId="12E159DB">
      <w:pPr>
        <w:numPr>
          <w:ilvl w:val="0"/>
          <w:numId w:val="0"/>
        </w:numPr>
        <w:spacing w:line="600" w:lineRule="exact"/>
        <w:ind w:left="640" w:left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七、</w:t>
      </w:r>
      <w:r>
        <w:rPr>
          <w:rFonts w:hint="eastAsia" w:ascii="仿宋" w:hAnsi="仿宋" w:eastAsia="仿宋"/>
          <w:b/>
          <w:sz w:val="32"/>
          <w:szCs w:val="32"/>
        </w:rPr>
        <w:t>财政、金融、保险</w:t>
      </w:r>
    </w:p>
    <w:p w14:paraId="3992E10F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2022年，全县完成一般公共预算收入63473万元，比上年增长12.06%，其中，地方收入完成58931万元，增长28.12%；上划中央收入完成5337万元，下降28.71%；上划省级收入</w:t>
      </w:r>
      <w:r>
        <w:rPr>
          <w:rFonts w:hint="eastAsia" w:ascii="仿宋" w:hAnsi="仿宋" w:eastAsia="仿宋"/>
          <w:sz w:val="32"/>
          <w:szCs w:val="32"/>
          <w:highlight w:val="none"/>
        </w:rPr>
        <w:t>完成-795万元，下降125.17%。在地方收入中，税收收入完成</w:t>
      </w:r>
      <w:r>
        <w:rPr>
          <w:rFonts w:hint="eastAsia" w:ascii="仿宋" w:hAnsi="仿宋" w:eastAsia="仿宋"/>
          <w:sz w:val="32"/>
          <w:szCs w:val="32"/>
        </w:rPr>
        <w:t>43359万元，增长25.04%；非税收入完成15572万元，增长37.53%。全年财政总支出395208万元，增长10.39%。全县一般公共预算支出268360万元，增长9.37%，其中，一般公共服务支出20961万元，教育支出45792万元，社会保障和就业支出46146万元，卫生健康支出29555万元，节能环保支出6604万元。</w:t>
      </w:r>
    </w:p>
    <w:p w14:paraId="4B35FC39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县金融机构年末各项存款余额837290.68万元，比年初增长11.7%。其中企业存款30561.53万元，下降13.9%；城乡居民储蓄存款749753.21万元，增长13.9%。全县金融机构年末各项贷款余额469390.92万元，比年初增长10.2%。从贷款期限看，短期贷款余额104382万元，增长33.12%；中长期贷款余额170327.27万元，增长1.3%。</w:t>
      </w:r>
    </w:p>
    <w:p w14:paraId="5A596709">
      <w:pPr>
        <w:spacing w:line="600" w:lineRule="exact"/>
        <w:ind w:left="19" w:leftChars="9" w:firstLine="617" w:firstLineChars="193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全年保费业务收入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19033</w:t>
      </w:r>
      <w:r>
        <w:rPr>
          <w:rFonts w:hint="eastAsia" w:ascii="仿宋" w:hAnsi="仿宋" w:eastAsia="仿宋"/>
          <w:sz w:val="32"/>
          <w:szCs w:val="32"/>
        </w:rPr>
        <w:t>万元，其中财产保险收入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7901.1</w:t>
      </w:r>
      <w:r>
        <w:rPr>
          <w:rFonts w:hint="eastAsia" w:ascii="仿宋" w:hAnsi="仿宋" w:eastAsia="仿宋"/>
          <w:sz w:val="32"/>
          <w:szCs w:val="32"/>
        </w:rPr>
        <w:t>万元，人身保险收入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11131.8</w:t>
      </w:r>
      <w:r>
        <w:rPr>
          <w:rFonts w:hint="eastAsia" w:ascii="仿宋" w:hAnsi="仿宋" w:eastAsia="仿宋"/>
          <w:sz w:val="32"/>
          <w:szCs w:val="32"/>
        </w:rPr>
        <w:t>万元。全年保险赔付款支出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5358</w:t>
      </w:r>
      <w:r>
        <w:rPr>
          <w:rFonts w:hint="eastAsia" w:ascii="仿宋" w:hAnsi="仿宋" w:eastAsia="仿宋"/>
          <w:sz w:val="32"/>
          <w:szCs w:val="32"/>
        </w:rPr>
        <w:t>万元，其中财产保险支出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3892</w:t>
      </w:r>
      <w:r>
        <w:rPr>
          <w:rFonts w:hint="eastAsia" w:ascii="仿宋" w:hAnsi="仿宋" w:eastAsia="仿宋"/>
          <w:sz w:val="32"/>
          <w:szCs w:val="32"/>
        </w:rPr>
        <w:t>万元，人身保险支出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1466.5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 w14:paraId="335EC10E">
      <w:pPr>
        <w:spacing w:line="600" w:lineRule="exact"/>
        <w:ind w:firstLine="643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八、科学技术与教育</w:t>
      </w:r>
    </w:p>
    <w:p w14:paraId="1E51E74E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全年组织申报科技计划项目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项，争取资金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 w14:paraId="22F752AF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县职业中专1所，在校学生1902人，教职工120人。有普通高中1所，完全中学1所，普通高中在校学生5310人，完全中学有教职员工246人，其中，专任教师219人。初中在校学生9470人，小学在校学生17374人。独立初级中学11所，有教职员工402人，其中专任教师378人。九年一贯制学校8所，有教职员工611人，其中专任教师595人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完全小学19所，有教职工753人，其中专任教师721人。有幼儿园43所，在园幼儿数6084人，有教职工604人，有专任教师309人。小学适龄儿童入学率100%，小学毕业升学率100%，小学在校学生辍学率为0 %，初中入学率100%，初中在校学生辍学率0 %，高考录取率90.8 %。</w:t>
      </w:r>
    </w:p>
    <w:p w14:paraId="5A513660">
      <w:pPr>
        <w:numPr>
          <w:ilvl w:val="0"/>
          <w:numId w:val="0"/>
        </w:numPr>
        <w:spacing w:line="600" w:lineRule="exact"/>
        <w:ind w:left="640" w:leftChars="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九、文化广播与卫生</w:t>
      </w:r>
    </w:p>
    <w:p w14:paraId="39109C86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积极组织开展丰富多彩的社会文化活动，公共文化服务体系日趋完善。2022年完成贫困地区送戏下乡演出68场次，完成惠农数字电影公益放映1285场次，图书馆新购图书4300册，全年共接待读者9.3万余人次，开展4次送书活动，赠送图书共计2000余册，博物馆累计接待各地观众22.31万余人次。城乡公共服务实现一体化，全县有137个行政村农家书屋，159个自然村书屋点，7个社区（居委会）农家书屋点，137个乡村文化广场均投入使用。全县广播综合覆盖人口达22.07万人，综合覆盖率达到了98%。</w:t>
      </w:r>
    </w:p>
    <w:p w14:paraId="7939DF7A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全县电视转播发射台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座，电视发射机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部，广播电视综合覆盖率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/>
          <w:sz w:val="32"/>
          <w:szCs w:val="32"/>
        </w:rPr>
        <w:t>%，有线电视用户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4372</w:t>
      </w:r>
      <w:r>
        <w:rPr>
          <w:rFonts w:hint="eastAsia" w:ascii="仿宋" w:hAnsi="仿宋" w:eastAsia="仿宋"/>
          <w:sz w:val="32"/>
          <w:szCs w:val="32"/>
        </w:rPr>
        <w:t>户。全年电视节目播出时间为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8760</w:t>
      </w:r>
      <w:r>
        <w:rPr>
          <w:rFonts w:hint="eastAsia" w:ascii="仿宋" w:hAnsi="仿宋" w:eastAsia="仿宋"/>
          <w:sz w:val="32"/>
          <w:szCs w:val="32"/>
        </w:rPr>
        <w:t>小时，制作电视节目时间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730</w:t>
      </w:r>
      <w:r>
        <w:rPr>
          <w:rFonts w:hint="eastAsia" w:ascii="仿宋" w:hAnsi="仿宋" w:eastAsia="仿宋"/>
          <w:sz w:val="32"/>
          <w:szCs w:val="32"/>
        </w:rPr>
        <w:t>小时，全年</w:t>
      </w:r>
      <w:r>
        <w:rPr>
          <w:rFonts w:hint="eastAsia" w:ascii="仿宋" w:hAnsi="仿宋" w:eastAsia="仿宋"/>
          <w:sz w:val="32"/>
          <w:szCs w:val="32"/>
          <w:lang w:eastAsia="zh-CN"/>
        </w:rPr>
        <w:t>累计完成内宣电视组</w:t>
      </w:r>
      <w:r>
        <w:rPr>
          <w:rFonts w:hint="eastAsia" w:ascii="仿宋" w:hAnsi="仿宋" w:eastAsia="仿宋"/>
          <w:sz w:val="32"/>
          <w:szCs w:val="32"/>
        </w:rPr>
        <w:t>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1060余</w:t>
      </w:r>
      <w:r>
        <w:rPr>
          <w:rFonts w:hint="eastAsia" w:ascii="仿宋" w:hAnsi="仿宋" w:eastAsia="仿宋"/>
          <w:sz w:val="32"/>
          <w:szCs w:val="32"/>
        </w:rPr>
        <w:t>条，各类专题节目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620余</w:t>
      </w:r>
      <w:r>
        <w:rPr>
          <w:rFonts w:hint="eastAsia" w:ascii="仿宋" w:hAnsi="仿宋" w:eastAsia="仿宋"/>
          <w:sz w:val="32"/>
          <w:szCs w:val="32"/>
        </w:rPr>
        <w:t>期。</w:t>
      </w:r>
    </w:p>
    <w:p w14:paraId="1A1C6BE6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末，全县卫生系统医疗机构196个（其中医院4个、基层医疗机构189个、专业公共卫生机构3个），从医人员2042人，在编人员1567人，其中卫生技术人员1717人，医生664人。卫生机构编制床位1765张，实际开放床位2345张。全年就诊人数101.7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593</w:t>
      </w:r>
      <w:r>
        <w:rPr>
          <w:rFonts w:hint="eastAsia" w:ascii="仿宋" w:hAnsi="仿宋" w:eastAsia="仿宋"/>
          <w:sz w:val="32"/>
          <w:szCs w:val="32"/>
        </w:rPr>
        <w:t>万人次，出院人数6.30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35</w:t>
      </w:r>
      <w:r>
        <w:rPr>
          <w:rFonts w:hint="eastAsia" w:ascii="仿宋" w:hAnsi="仿宋" w:eastAsia="仿宋"/>
          <w:sz w:val="32"/>
          <w:szCs w:val="32"/>
        </w:rPr>
        <w:t>万人次。</w:t>
      </w:r>
    </w:p>
    <w:p w14:paraId="3EB181A8">
      <w:pPr>
        <w:spacing w:line="600" w:lineRule="exact"/>
        <w:ind w:firstLine="643" w:firstLineChars="20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十、人民生活和社会保障</w:t>
      </w:r>
    </w:p>
    <w:p w14:paraId="086879DF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年末，全县总人口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253558</w:t>
      </w:r>
      <w:r>
        <w:rPr>
          <w:rFonts w:hint="eastAsia" w:ascii="仿宋" w:hAnsi="仿宋" w:eastAsia="仿宋"/>
          <w:sz w:val="32"/>
          <w:szCs w:val="32"/>
        </w:rPr>
        <w:t>人，其中，</w:t>
      </w:r>
      <w:r>
        <w:rPr>
          <w:rFonts w:hint="eastAsia" w:ascii="仿宋" w:hAnsi="仿宋" w:eastAsia="仿宋"/>
          <w:sz w:val="32"/>
          <w:szCs w:val="32"/>
          <w:lang w:eastAsia="zh-CN"/>
        </w:rPr>
        <w:t>城镇</w:t>
      </w:r>
      <w:r>
        <w:rPr>
          <w:rFonts w:hint="eastAsia" w:ascii="仿宋" w:hAnsi="仿宋" w:eastAsia="仿宋"/>
          <w:sz w:val="32"/>
          <w:szCs w:val="32"/>
        </w:rPr>
        <w:t>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40191</w:t>
      </w:r>
      <w:r>
        <w:rPr>
          <w:rFonts w:hint="eastAsia" w:ascii="仿宋" w:hAnsi="仿宋" w:eastAsia="仿宋"/>
          <w:sz w:val="32"/>
          <w:szCs w:val="32"/>
        </w:rPr>
        <w:t>人，</w:t>
      </w:r>
      <w:r>
        <w:rPr>
          <w:rFonts w:hint="eastAsia" w:ascii="仿宋" w:hAnsi="仿宋" w:eastAsia="仿宋"/>
          <w:sz w:val="32"/>
          <w:szCs w:val="32"/>
          <w:lang w:eastAsia="zh-CN"/>
        </w:rPr>
        <w:t>乡村</w:t>
      </w:r>
      <w:r>
        <w:rPr>
          <w:rFonts w:hint="eastAsia" w:ascii="仿宋" w:hAnsi="仿宋" w:eastAsia="仿宋"/>
          <w:sz w:val="32"/>
          <w:szCs w:val="32"/>
        </w:rPr>
        <w:t>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213367</w:t>
      </w:r>
      <w:r>
        <w:rPr>
          <w:rFonts w:hint="eastAsia" w:ascii="仿宋" w:hAnsi="仿宋" w:eastAsia="仿宋"/>
          <w:sz w:val="32"/>
          <w:szCs w:val="32"/>
        </w:rPr>
        <w:t>人，年内出生人口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1540</w:t>
      </w:r>
      <w:r>
        <w:rPr>
          <w:rFonts w:hint="eastAsia" w:ascii="仿宋" w:hAnsi="仿宋" w:eastAsia="仿宋"/>
          <w:sz w:val="32"/>
          <w:szCs w:val="32"/>
        </w:rPr>
        <w:t>人，人口出生率为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6.07</w:t>
      </w:r>
      <w:r>
        <w:rPr>
          <w:rFonts w:hint="eastAsia" w:ascii="仿宋" w:hAnsi="仿宋" w:eastAsia="仿宋"/>
          <w:sz w:val="32"/>
          <w:szCs w:val="32"/>
        </w:rPr>
        <w:t>‰，年内死亡人口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2588</w:t>
      </w:r>
      <w:r>
        <w:rPr>
          <w:rFonts w:hint="eastAsia" w:ascii="仿宋" w:hAnsi="仿宋" w:eastAsia="仿宋"/>
          <w:sz w:val="32"/>
          <w:szCs w:val="32"/>
        </w:rPr>
        <w:t>人，死亡率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10.2</w:t>
      </w:r>
      <w:r>
        <w:rPr>
          <w:rFonts w:hint="eastAsia" w:ascii="仿宋" w:hAnsi="仿宋" w:eastAsia="仿宋"/>
          <w:sz w:val="32"/>
          <w:szCs w:val="32"/>
        </w:rPr>
        <w:t>‰，人口计划生育率99.12%。</w:t>
      </w:r>
    </w:p>
    <w:p w14:paraId="278FFB16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</w:t>
      </w:r>
      <w:r>
        <w:rPr>
          <w:rFonts w:hint="eastAsia" w:ascii="仿宋" w:hAnsi="仿宋" w:eastAsia="仿宋"/>
          <w:sz w:val="32"/>
          <w:szCs w:val="32"/>
        </w:rPr>
        <w:t>年，我县城乡居民人均可支配收入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17562</w:t>
      </w:r>
      <w:r>
        <w:rPr>
          <w:rFonts w:hint="eastAsia" w:ascii="仿宋" w:hAnsi="仿宋" w:eastAsia="仿宋"/>
          <w:sz w:val="32"/>
          <w:szCs w:val="32"/>
        </w:rPr>
        <w:t>元，其中：城镇居民人均可支配收入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26852</w:t>
      </w:r>
      <w:r>
        <w:rPr>
          <w:rFonts w:hint="eastAsia" w:ascii="仿宋" w:hAnsi="仿宋" w:eastAsia="仿宋"/>
          <w:sz w:val="32"/>
          <w:szCs w:val="32"/>
        </w:rPr>
        <w:t>元，人均生活消费支出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20332</w:t>
      </w:r>
      <w:r>
        <w:rPr>
          <w:rFonts w:hint="eastAsia" w:ascii="仿宋" w:hAnsi="仿宋" w:eastAsia="仿宋"/>
          <w:sz w:val="32"/>
          <w:szCs w:val="32"/>
        </w:rPr>
        <w:t>元，人均食品支出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6595</w:t>
      </w:r>
      <w:r>
        <w:rPr>
          <w:rFonts w:hint="eastAsia" w:ascii="仿宋" w:hAnsi="仿宋" w:eastAsia="仿宋"/>
          <w:sz w:val="32"/>
          <w:szCs w:val="32"/>
        </w:rPr>
        <w:t>元，人均教育文化娱乐支出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3417</w:t>
      </w:r>
      <w:r>
        <w:rPr>
          <w:rFonts w:hint="eastAsia" w:ascii="仿宋" w:hAnsi="仿宋" w:eastAsia="仿宋"/>
          <w:sz w:val="32"/>
          <w:szCs w:val="32"/>
        </w:rPr>
        <w:t>元。农村居民人均可支配收入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12867</w:t>
      </w:r>
      <w:r>
        <w:rPr>
          <w:rFonts w:hint="eastAsia" w:ascii="仿宋" w:hAnsi="仿宋" w:eastAsia="仿宋"/>
          <w:sz w:val="32"/>
          <w:szCs w:val="32"/>
        </w:rPr>
        <w:t>元，人均生活消费支出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10554</w:t>
      </w:r>
      <w:r>
        <w:rPr>
          <w:rFonts w:hint="eastAsia" w:ascii="仿宋" w:hAnsi="仿宋" w:eastAsia="仿宋"/>
          <w:sz w:val="32"/>
          <w:szCs w:val="32"/>
        </w:rPr>
        <w:t>元，人均食品支出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3809</w:t>
      </w:r>
      <w:r>
        <w:rPr>
          <w:rFonts w:hint="eastAsia" w:ascii="仿宋" w:hAnsi="仿宋" w:eastAsia="仿宋"/>
          <w:sz w:val="32"/>
          <w:szCs w:val="32"/>
        </w:rPr>
        <w:t>元，人均教育文化娱乐支出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1568.8</w:t>
      </w:r>
      <w:r>
        <w:rPr>
          <w:rFonts w:hint="eastAsia" w:ascii="仿宋" w:hAnsi="仿宋" w:eastAsia="仿宋"/>
          <w:sz w:val="32"/>
          <w:szCs w:val="32"/>
        </w:rPr>
        <w:t>元。</w:t>
      </w:r>
    </w:p>
    <w:p w14:paraId="6F9616A5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2022年，全年共收缴养老保险基金20116万元，其中：参加企业基本养老保险18512人,征缴基金8151万元，机关事业单位养老保险参保人数10252人，征缴基金9885万元，城乡居民养老保险参保144117人，征缴基金2080万元。失业保险参保人数10690人，征缴基金558万元。工伤保险参保2.2778万人，征缴基金787万元。</w:t>
      </w:r>
      <w:r>
        <w:rPr>
          <w:rFonts w:hint="eastAsia" w:ascii="仿宋" w:hAnsi="仿宋" w:eastAsia="仿宋"/>
          <w:sz w:val="32"/>
          <w:szCs w:val="32"/>
        </w:rPr>
        <w:t>城镇职工基本医疗保险参保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14789</w:t>
      </w:r>
      <w:r>
        <w:rPr>
          <w:rFonts w:hint="eastAsia" w:ascii="仿宋" w:hAnsi="仿宋" w:eastAsia="仿宋"/>
          <w:sz w:val="32"/>
          <w:szCs w:val="32"/>
        </w:rPr>
        <w:t>人，征缴基金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5591</w:t>
      </w:r>
      <w:r>
        <w:rPr>
          <w:rFonts w:hint="eastAsia" w:ascii="仿宋" w:hAnsi="仿宋" w:eastAsia="仿宋"/>
          <w:sz w:val="32"/>
          <w:szCs w:val="32"/>
        </w:rPr>
        <w:t>万元。全年城市居民最低生活保障人数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1754</w:t>
      </w:r>
      <w:r>
        <w:rPr>
          <w:rFonts w:hint="eastAsia" w:ascii="仿宋" w:hAnsi="仿宋" w:eastAsia="仿宋"/>
          <w:sz w:val="32"/>
          <w:szCs w:val="32"/>
        </w:rPr>
        <w:t>人，发放城镇居民低保金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999.21</w:t>
      </w:r>
      <w:r>
        <w:rPr>
          <w:rFonts w:hint="eastAsia" w:ascii="仿宋" w:hAnsi="仿宋" w:eastAsia="仿宋"/>
          <w:sz w:val="32"/>
          <w:szCs w:val="32"/>
        </w:rPr>
        <w:t>万元。农村最低生活保障人数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9737</w:t>
      </w:r>
      <w:r>
        <w:rPr>
          <w:rFonts w:hint="eastAsia" w:ascii="仿宋" w:hAnsi="仿宋" w:eastAsia="仿宋"/>
          <w:sz w:val="32"/>
          <w:szCs w:val="32"/>
        </w:rPr>
        <w:t>人，发放农村居民低保金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2829.6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 w14:paraId="111ECDC0">
      <w:pPr>
        <w:spacing w:line="600" w:lineRule="exact"/>
        <w:ind w:firstLine="643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十一、环境保护与安全生产</w:t>
      </w:r>
    </w:p>
    <w:p w14:paraId="23D340BF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环境质量继续保持稳定。县城饮用水源监测水质达标率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/>
          <w:sz w:val="32"/>
          <w:szCs w:val="32"/>
        </w:rPr>
        <w:t>%。地表水监测全部达到或优于Ⅲ类水质标准，县城空气质量均达到国家二级标准。全年COD排放量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1.39</w:t>
      </w:r>
      <w:r>
        <w:rPr>
          <w:rFonts w:hint="eastAsia" w:ascii="仿宋" w:hAnsi="仿宋" w:eastAsia="仿宋"/>
          <w:sz w:val="32"/>
          <w:szCs w:val="32"/>
        </w:rPr>
        <w:t>吨，SO</w:t>
      </w:r>
      <w:r>
        <w:rPr>
          <w:rFonts w:hint="eastAsia" w:ascii="仿宋" w:hAnsi="仿宋" w:eastAsia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/>
          <w:sz w:val="32"/>
          <w:szCs w:val="32"/>
        </w:rPr>
        <w:t>排放量15.491吨，氮氧化物排放量48.286吨，氨氮排放量0.132吨。全县森林覆盖率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69.83</w:t>
      </w:r>
      <w:r>
        <w:rPr>
          <w:rFonts w:hint="eastAsia" w:ascii="仿宋" w:hAnsi="仿宋" w:eastAsia="仿宋"/>
          <w:sz w:val="32"/>
          <w:szCs w:val="32"/>
        </w:rPr>
        <w:t>%，城市建成区绿化覆盖率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41.96</w:t>
      </w:r>
      <w:r>
        <w:rPr>
          <w:rFonts w:hint="eastAsia" w:ascii="仿宋" w:hAnsi="仿宋" w:eastAsia="仿宋"/>
          <w:sz w:val="32"/>
          <w:szCs w:val="32"/>
        </w:rPr>
        <w:t>%，城镇化率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44.29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5B743D8D">
      <w:pPr>
        <w:spacing w:line="60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全年共发生各类事故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起,死亡人数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人。其中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道路运输</w:t>
      </w:r>
      <w:r>
        <w:rPr>
          <w:rFonts w:hint="eastAsia" w:ascii="仿宋" w:hAnsi="仿宋" w:eastAsia="仿宋" w:cs="Times New Roman"/>
          <w:sz w:val="32"/>
          <w:szCs w:val="32"/>
        </w:rPr>
        <w:t>事故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起，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死亡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3人；工矿商贸事故0起，无伤亡；消防安全事故0起，无伤亡；铁路交通事故0起，无伤亡</w:t>
      </w:r>
      <w:r>
        <w:rPr>
          <w:rFonts w:hint="eastAsia" w:ascii="仿宋" w:hAnsi="仿宋" w:eastAsia="仿宋" w:cs="Times New Roman"/>
          <w:sz w:val="32"/>
          <w:szCs w:val="32"/>
        </w:rPr>
        <w:t>。亿元地区生产总值生产安全事故死亡人数为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0.03</w:t>
      </w:r>
      <w:r>
        <w:rPr>
          <w:rFonts w:hint="eastAsia" w:ascii="仿宋" w:hAnsi="仿宋" w:eastAsia="仿宋" w:cs="Times New Roman"/>
          <w:sz w:val="32"/>
          <w:szCs w:val="32"/>
        </w:rPr>
        <w:t>人。</w:t>
      </w:r>
    </w:p>
    <w:p w14:paraId="5A542596">
      <w:pPr>
        <w:spacing w:line="60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 w14:paraId="5C64E322">
      <w:pPr>
        <w:spacing w:line="600" w:lineRule="exact"/>
        <w:rPr>
          <w:rFonts w:hint="eastAsia" w:ascii="仿宋" w:hAnsi="仿宋" w:eastAsia="仿宋"/>
          <w:sz w:val="32"/>
          <w:szCs w:val="32"/>
        </w:rPr>
      </w:pPr>
    </w:p>
    <w:p w14:paraId="64D8850B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注：1、本公报为初步统计数。部门数据依据为部门年报或年度总结数据。</w:t>
      </w:r>
    </w:p>
    <w:p w14:paraId="7148E12E">
      <w:pPr>
        <w:spacing w:line="600" w:lineRule="exact"/>
        <w:ind w:firstLine="320" w:firstLineChars="1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2、地区生产总值、各产业增加值绝对数按现行价计算，增长率按可比价计算。</w:t>
      </w:r>
    </w:p>
    <w:p w14:paraId="27180EE0">
      <w:pPr>
        <w:ind w:firstLine="1280" w:firstLineChars="4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  <w:lang w:eastAsia="zh-CN"/>
        </w:rPr>
        <w:t>部分指标因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GDP全国统一</w:t>
      </w:r>
      <w:r>
        <w:rPr>
          <w:rFonts w:hint="eastAsia" w:ascii="仿宋" w:hAnsi="仿宋" w:eastAsia="仿宋"/>
          <w:sz w:val="32"/>
          <w:szCs w:val="32"/>
          <w:lang w:eastAsia="zh-CN"/>
        </w:rPr>
        <w:t>核算制度改革和普查数据修订、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部门统计口径变动</w:t>
      </w:r>
      <w:r>
        <w:rPr>
          <w:rFonts w:hint="eastAsia" w:ascii="仿宋" w:hAnsi="仿宋" w:eastAsia="仿宋"/>
          <w:sz w:val="32"/>
          <w:szCs w:val="32"/>
          <w:lang w:eastAsia="zh-CN"/>
        </w:rPr>
        <w:t>，与上年同期不可比</w:t>
      </w:r>
      <w:r>
        <w:rPr>
          <w:rFonts w:hint="eastAsia" w:ascii="仿宋" w:hAnsi="仿宋" w:eastAsia="仿宋"/>
          <w:sz w:val="32"/>
          <w:szCs w:val="32"/>
        </w:rPr>
        <w:t>。</w:t>
      </w:r>
    </w:p>
    <w:bookmarkEnd w:id="0"/>
    <w:p w14:paraId="30465C3F">
      <w:pPr>
        <w:ind w:firstLine="1280" w:firstLineChars="400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7" w:h="16840"/>
      <w:pgMar w:top="1985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5CF2D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31445"/>
              <wp:effectExtent l="0" t="0" r="0" b="0"/>
              <wp:wrapSquare wrapText="bothSides"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BF243">
                          <w:pPr>
                            <w:pStyle w:val="4"/>
                            <w:rPr>
                              <w:rStyle w:val="7"/>
                              <w:rFonts w:ascii="黑体" w:hAnsi="黑体" w:eastAsia="黑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黑体" w:hAnsi="黑体" w:eastAsia="黑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黑体" w:hAnsi="黑体" w:eastAsia="黑体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ascii="黑体" w:hAnsi="黑体" w:eastAsia="黑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黑体" w:hAnsi="黑体" w:eastAsia="黑体"/>
                              <w:sz w:val="21"/>
                              <w:szCs w:val="21"/>
                              <w:lang/>
                            </w:rPr>
                            <w:t>2</w:t>
                          </w:r>
                          <w:r>
                            <w:rPr>
                              <w:rFonts w:ascii="黑体" w:hAnsi="黑体" w:eastAsia="黑体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pt;mso-position-horizontal:center;mso-position-horizontal-relative:margin;mso-wrap-distance-bottom:0pt;mso-wrap-distance-left:0pt;mso-wrap-distance-right:0pt;mso-wrap-distance-top:0pt;mso-wrap-style:none;z-index:251660288;mso-width-relative:page;mso-height-relative:page;" filled="f" stroked="f" coordsize="21600,21600" o:gfxdata="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6QUSrPAAAAAgEAAA8AAAAAAAAAAQAgAAAAIgAAAGRycy9kb3ducmV2&#10;LnhtbFBLAQIUABQAAAAIAIdO4kBSs4YgzAEAAJY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6BF243">
                    <w:pPr>
                      <w:pStyle w:val="4"/>
                      <w:rPr>
                        <w:rStyle w:val="7"/>
                        <w:rFonts w:ascii="黑体" w:hAnsi="黑体" w:eastAsia="黑体"/>
                        <w:sz w:val="21"/>
                        <w:szCs w:val="21"/>
                      </w:rPr>
                    </w:pPr>
                    <w:r>
                      <w:rPr>
                        <w:rFonts w:ascii="黑体" w:hAnsi="黑体" w:eastAsia="黑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7"/>
                        <w:rFonts w:ascii="黑体" w:hAnsi="黑体" w:eastAsia="黑体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ascii="黑体" w:hAnsi="黑体" w:eastAsia="黑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7"/>
                        <w:rFonts w:ascii="黑体" w:hAnsi="黑体" w:eastAsia="黑体"/>
                        <w:sz w:val="21"/>
                        <w:szCs w:val="21"/>
                        <w:lang/>
                      </w:rPr>
                      <w:t>2</w:t>
                    </w:r>
                    <w:r>
                      <w:rPr>
                        <w:rFonts w:ascii="黑体" w:hAnsi="黑体" w:eastAsia="黑体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40A05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575" cy="131445"/>
              <wp:effectExtent l="0" t="0" r="0" b="0"/>
              <wp:wrapSquare wrapText="bothSides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63FE9">
                          <w:pPr>
                            <w:pStyle w:val="4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2.2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wFRL9AAAAACAQAADwAAAAAAAAABACAAAAAiAAAAZHJzL2Rvd25y&#10;ZXYueG1sUEsBAhQAFAAAAAgAh07iQHF9X53NAQAAlgMAAA4AAAAAAAAAAQAgAAAAH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663FE9">
                    <w:pPr>
                      <w:pStyle w:val="4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yZTM3MDI5MDY1NTgyNzk4Y2FkZDZlMjRlMGZjMjYifQ=="/>
  </w:docVars>
  <w:rsids>
    <w:rsidRoot w:val="00DE4A14"/>
    <w:rsid w:val="00115AB3"/>
    <w:rsid w:val="00125861"/>
    <w:rsid w:val="0014406D"/>
    <w:rsid w:val="001C05F3"/>
    <w:rsid w:val="002455EF"/>
    <w:rsid w:val="00255E57"/>
    <w:rsid w:val="002853E3"/>
    <w:rsid w:val="002E12F4"/>
    <w:rsid w:val="003446A9"/>
    <w:rsid w:val="00552A02"/>
    <w:rsid w:val="00591F99"/>
    <w:rsid w:val="00593FE8"/>
    <w:rsid w:val="005A2C52"/>
    <w:rsid w:val="005D6FD3"/>
    <w:rsid w:val="005E2563"/>
    <w:rsid w:val="005F10F0"/>
    <w:rsid w:val="00611F23"/>
    <w:rsid w:val="00616AEC"/>
    <w:rsid w:val="00704902"/>
    <w:rsid w:val="007756C4"/>
    <w:rsid w:val="007A0CC9"/>
    <w:rsid w:val="0095671A"/>
    <w:rsid w:val="00964DD3"/>
    <w:rsid w:val="009C084D"/>
    <w:rsid w:val="009E7630"/>
    <w:rsid w:val="00A31F82"/>
    <w:rsid w:val="00A46C75"/>
    <w:rsid w:val="00BD2F2A"/>
    <w:rsid w:val="00C550B1"/>
    <w:rsid w:val="00CF6C23"/>
    <w:rsid w:val="00DE4A14"/>
    <w:rsid w:val="00E10C31"/>
    <w:rsid w:val="00E7569E"/>
    <w:rsid w:val="00ED757F"/>
    <w:rsid w:val="00F80798"/>
    <w:rsid w:val="00F954C8"/>
    <w:rsid w:val="00FE4B57"/>
    <w:rsid w:val="010040CE"/>
    <w:rsid w:val="01334AC8"/>
    <w:rsid w:val="01414A67"/>
    <w:rsid w:val="018F2EE2"/>
    <w:rsid w:val="019B4FE4"/>
    <w:rsid w:val="01B85F94"/>
    <w:rsid w:val="01C012ED"/>
    <w:rsid w:val="022679E1"/>
    <w:rsid w:val="028E3199"/>
    <w:rsid w:val="02B93B19"/>
    <w:rsid w:val="02CD1F13"/>
    <w:rsid w:val="02DA7AD5"/>
    <w:rsid w:val="02E87A8D"/>
    <w:rsid w:val="03367AB9"/>
    <w:rsid w:val="038325D2"/>
    <w:rsid w:val="03920A67"/>
    <w:rsid w:val="03D80B70"/>
    <w:rsid w:val="044C0C16"/>
    <w:rsid w:val="04DF7CDC"/>
    <w:rsid w:val="05065269"/>
    <w:rsid w:val="054D2E98"/>
    <w:rsid w:val="05B26B96"/>
    <w:rsid w:val="05B61871"/>
    <w:rsid w:val="05E01F5E"/>
    <w:rsid w:val="05ED01D7"/>
    <w:rsid w:val="06172790"/>
    <w:rsid w:val="0644429B"/>
    <w:rsid w:val="06696DF0"/>
    <w:rsid w:val="0676641E"/>
    <w:rsid w:val="070B4DB8"/>
    <w:rsid w:val="07550729"/>
    <w:rsid w:val="075C1AB8"/>
    <w:rsid w:val="0774295E"/>
    <w:rsid w:val="07E62428"/>
    <w:rsid w:val="08713341"/>
    <w:rsid w:val="0874698D"/>
    <w:rsid w:val="08805332"/>
    <w:rsid w:val="08C571E9"/>
    <w:rsid w:val="08E27D9B"/>
    <w:rsid w:val="08F8136C"/>
    <w:rsid w:val="092D48F2"/>
    <w:rsid w:val="093D1407"/>
    <w:rsid w:val="095E38C5"/>
    <w:rsid w:val="0A261F09"/>
    <w:rsid w:val="0A2D3298"/>
    <w:rsid w:val="0A374116"/>
    <w:rsid w:val="0A3E7253"/>
    <w:rsid w:val="0A824026"/>
    <w:rsid w:val="0A84735B"/>
    <w:rsid w:val="0AA417AC"/>
    <w:rsid w:val="0B837613"/>
    <w:rsid w:val="0C112E71"/>
    <w:rsid w:val="0C160487"/>
    <w:rsid w:val="0C61547A"/>
    <w:rsid w:val="0CA03F46"/>
    <w:rsid w:val="0CBD0903"/>
    <w:rsid w:val="0D2A599A"/>
    <w:rsid w:val="0D42705A"/>
    <w:rsid w:val="0D523741"/>
    <w:rsid w:val="0D6E7E4F"/>
    <w:rsid w:val="0D9773A6"/>
    <w:rsid w:val="0DC83A03"/>
    <w:rsid w:val="0DD74424"/>
    <w:rsid w:val="0E2B5D40"/>
    <w:rsid w:val="0E493757"/>
    <w:rsid w:val="0E8B67DF"/>
    <w:rsid w:val="0E910299"/>
    <w:rsid w:val="0EC248F6"/>
    <w:rsid w:val="0ED168E7"/>
    <w:rsid w:val="0F2509E1"/>
    <w:rsid w:val="0F3375A2"/>
    <w:rsid w:val="0F3C2F15"/>
    <w:rsid w:val="0F5901E9"/>
    <w:rsid w:val="0F6E2388"/>
    <w:rsid w:val="0F76123D"/>
    <w:rsid w:val="0FA61B22"/>
    <w:rsid w:val="0FA933C0"/>
    <w:rsid w:val="0FAB395B"/>
    <w:rsid w:val="0FFC5BE6"/>
    <w:rsid w:val="100F5919"/>
    <w:rsid w:val="1010343F"/>
    <w:rsid w:val="107F4121"/>
    <w:rsid w:val="10A047C3"/>
    <w:rsid w:val="10A818CA"/>
    <w:rsid w:val="10B14C22"/>
    <w:rsid w:val="10B22749"/>
    <w:rsid w:val="10DA645D"/>
    <w:rsid w:val="113B7F06"/>
    <w:rsid w:val="11491F9B"/>
    <w:rsid w:val="11987B90"/>
    <w:rsid w:val="11A958FA"/>
    <w:rsid w:val="11B147AE"/>
    <w:rsid w:val="11BB1688"/>
    <w:rsid w:val="11C10E95"/>
    <w:rsid w:val="11C24C0D"/>
    <w:rsid w:val="1202325C"/>
    <w:rsid w:val="12301B77"/>
    <w:rsid w:val="124135DF"/>
    <w:rsid w:val="12415B32"/>
    <w:rsid w:val="126D4994"/>
    <w:rsid w:val="128F2D41"/>
    <w:rsid w:val="12BA566F"/>
    <w:rsid w:val="12D50968"/>
    <w:rsid w:val="13031039"/>
    <w:rsid w:val="134358DA"/>
    <w:rsid w:val="136917E4"/>
    <w:rsid w:val="13A4281C"/>
    <w:rsid w:val="13B642FE"/>
    <w:rsid w:val="13C62793"/>
    <w:rsid w:val="13CD0781"/>
    <w:rsid w:val="15194B44"/>
    <w:rsid w:val="15205ED3"/>
    <w:rsid w:val="156E546A"/>
    <w:rsid w:val="158C3568"/>
    <w:rsid w:val="158F1692"/>
    <w:rsid w:val="15A85EC8"/>
    <w:rsid w:val="15F5110D"/>
    <w:rsid w:val="1627221C"/>
    <w:rsid w:val="162E461F"/>
    <w:rsid w:val="165A18B8"/>
    <w:rsid w:val="16680BED"/>
    <w:rsid w:val="166E0EC0"/>
    <w:rsid w:val="16740248"/>
    <w:rsid w:val="16BF796D"/>
    <w:rsid w:val="16E236D1"/>
    <w:rsid w:val="170327CC"/>
    <w:rsid w:val="17920BDE"/>
    <w:rsid w:val="17BD5C5B"/>
    <w:rsid w:val="17D3547E"/>
    <w:rsid w:val="182D074D"/>
    <w:rsid w:val="1856702B"/>
    <w:rsid w:val="189C7F66"/>
    <w:rsid w:val="18EE5309"/>
    <w:rsid w:val="190478B9"/>
    <w:rsid w:val="19102702"/>
    <w:rsid w:val="191044B0"/>
    <w:rsid w:val="19175BF7"/>
    <w:rsid w:val="192510FF"/>
    <w:rsid w:val="19763037"/>
    <w:rsid w:val="197762DD"/>
    <w:rsid w:val="197B7F92"/>
    <w:rsid w:val="19AE61A3"/>
    <w:rsid w:val="19C21C4E"/>
    <w:rsid w:val="19CD414F"/>
    <w:rsid w:val="1A07140F"/>
    <w:rsid w:val="1A1670E6"/>
    <w:rsid w:val="1A1E49AB"/>
    <w:rsid w:val="1A255D39"/>
    <w:rsid w:val="1A78230D"/>
    <w:rsid w:val="1A8B2040"/>
    <w:rsid w:val="1AE87493"/>
    <w:rsid w:val="1AE91908"/>
    <w:rsid w:val="1B0D0CA7"/>
    <w:rsid w:val="1B506DE6"/>
    <w:rsid w:val="1B5779FD"/>
    <w:rsid w:val="1B651865"/>
    <w:rsid w:val="1B656D35"/>
    <w:rsid w:val="1B9A62B3"/>
    <w:rsid w:val="1BBE0E7B"/>
    <w:rsid w:val="1BDB2B53"/>
    <w:rsid w:val="1C2344FA"/>
    <w:rsid w:val="1C537941"/>
    <w:rsid w:val="1C6568C1"/>
    <w:rsid w:val="1C8C238F"/>
    <w:rsid w:val="1CAB4C1C"/>
    <w:rsid w:val="1CE123EB"/>
    <w:rsid w:val="1CFA16FF"/>
    <w:rsid w:val="1CFC0FD3"/>
    <w:rsid w:val="1D197A25"/>
    <w:rsid w:val="1D5232E9"/>
    <w:rsid w:val="1D886334"/>
    <w:rsid w:val="1DDA6E3B"/>
    <w:rsid w:val="1DF0001B"/>
    <w:rsid w:val="1E2C58E8"/>
    <w:rsid w:val="1E8C282B"/>
    <w:rsid w:val="1EE91A2B"/>
    <w:rsid w:val="1F8E612F"/>
    <w:rsid w:val="1F9951FF"/>
    <w:rsid w:val="1F9C5A49"/>
    <w:rsid w:val="1FD2426D"/>
    <w:rsid w:val="1FD91AA0"/>
    <w:rsid w:val="1FE16BA6"/>
    <w:rsid w:val="20201ACD"/>
    <w:rsid w:val="207B2B57"/>
    <w:rsid w:val="20A57BD4"/>
    <w:rsid w:val="20C20786"/>
    <w:rsid w:val="20C51BAB"/>
    <w:rsid w:val="20D61B3B"/>
    <w:rsid w:val="210B5C89"/>
    <w:rsid w:val="214473ED"/>
    <w:rsid w:val="216B497A"/>
    <w:rsid w:val="217A4BBD"/>
    <w:rsid w:val="2188552B"/>
    <w:rsid w:val="21B10326"/>
    <w:rsid w:val="21CD1190"/>
    <w:rsid w:val="21D65579"/>
    <w:rsid w:val="21EB5A72"/>
    <w:rsid w:val="22356D36"/>
    <w:rsid w:val="2250591D"/>
    <w:rsid w:val="2257201D"/>
    <w:rsid w:val="22DD430D"/>
    <w:rsid w:val="22F55FE0"/>
    <w:rsid w:val="22FA4207"/>
    <w:rsid w:val="22FD1659"/>
    <w:rsid w:val="23203542"/>
    <w:rsid w:val="23333275"/>
    <w:rsid w:val="23515DF1"/>
    <w:rsid w:val="23B75C54"/>
    <w:rsid w:val="23FA0237"/>
    <w:rsid w:val="24853FA4"/>
    <w:rsid w:val="24863878"/>
    <w:rsid w:val="248F097F"/>
    <w:rsid w:val="25113A8A"/>
    <w:rsid w:val="256B319A"/>
    <w:rsid w:val="26404627"/>
    <w:rsid w:val="264F486A"/>
    <w:rsid w:val="26A06957"/>
    <w:rsid w:val="26C568DA"/>
    <w:rsid w:val="26EC00FC"/>
    <w:rsid w:val="26F70A5D"/>
    <w:rsid w:val="2702368A"/>
    <w:rsid w:val="27076BF3"/>
    <w:rsid w:val="272950BB"/>
    <w:rsid w:val="27822A1D"/>
    <w:rsid w:val="2823781E"/>
    <w:rsid w:val="284321AC"/>
    <w:rsid w:val="285A5748"/>
    <w:rsid w:val="28623F84"/>
    <w:rsid w:val="28836A4D"/>
    <w:rsid w:val="28887BBF"/>
    <w:rsid w:val="289724F8"/>
    <w:rsid w:val="289B3D96"/>
    <w:rsid w:val="28B9421C"/>
    <w:rsid w:val="290A2CCA"/>
    <w:rsid w:val="293B2E83"/>
    <w:rsid w:val="29641FB0"/>
    <w:rsid w:val="298505A2"/>
    <w:rsid w:val="29AA44B7"/>
    <w:rsid w:val="29B36EBE"/>
    <w:rsid w:val="29EC23D0"/>
    <w:rsid w:val="29EC6874"/>
    <w:rsid w:val="2A16744D"/>
    <w:rsid w:val="2A1A518F"/>
    <w:rsid w:val="2A524929"/>
    <w:rsid w:val="2AC375D4"/>
    <w:rsid w:val="2ADF6137"/>
    <w:rsid w:val="2B4103D0"/>
    <w:rsid w:val="2B8F395A"/>
    <w:rsid w:val="2BBB64FD"/>
    <w:rsid w:val="2BF65788"/>
    <w:rsid w:val="2C106849"/>
    <w:rsid w:val="2C3E20F6"/>
    <w:rsid w:val="2C4B5AD3"/>
    <w:rsid w:val="2C583D4C"/>
    <w:rsid w:val="2C770301"/>
    <w:rsid w:val="2C8B5ED0"/>
    <w:rsid w:val="2CBF201D"/>
    <w:rsid w:val="2D067C4C"/>
    <w:rsid w:val="2D1F2A21"/>
    <w:rsid w:val="2D60735C"/>
    <w:rsid w:val="2D764B19"/>
    <w:rsid w:val="2D78764B"/>
    <w:rsid w:val="2DDE64D3"/>
    <w:rsid w:val="2E2A1718"/>
    <w:rsid w:val="2E4C78E1"/>
    <w:rsid w:val="2E741EA9"/>
    <w:rsid w:val="2E8D23D3"/>
    <w:rsid w:val="2E975000"/>
    <w:rsid w:val="2EBA2A9C"/>
    <w:rsid w:val="2EBD433B"/>
    <w:rsid w:val="2EDF0755"/>
    <w:rsid w:val="2F13379D"/>
    <w:rsid w:val="2F212B1B"/>
    <w:rsid w:val="2F324D29"/>
    <w:rsid w:val="2F4B5DEA"/>
    <w:rsid w:val="2F656EAC"/>
    <w:rsid w:val="2FC040E2"/>
    <w:rsid w:val="2FCF07C9"/>
    <w:rsid w:val="2FE778C1"/>
    <w:rsid w:val="31682C84"/>
    <w:rsid w:val="316D029A"/>
    <w:rsid w:val="31B47C77"/>
    <w:rsid w:val="31F46B5F"/>
    <w:rsid w:val="320841FB"/>
    <w:rsid w:val="3216448E"/>
    <w:rsid w:val="323D7982"/>
    <w:rsid w:val="32BF68D3"/>
    <w:rsid w:val="32E60304"/>
    <w:rsid w:val="330E1609"/>
    <w:rsid w:val="331D184C"/>
    <w:rsid w:val="3330332D"/>
    <w:rsid w:val="33615BDC"/>
    <w:rsid w:val="33C85C5B"/>
    <w:rsid w:val="34050C5E"/>
    <w:rsid w:val="34090109"/>
    <w:rsid w:val="34711E4F"/>
    <w:rsid w:val="34AF4725"/>
    <w:rsid w:val="35120D57"/>
    <w:rsid w:val="355A6D87"/>
    <w:rsid w:val="356238C3"/>
    <w:rsid w:val="356A4C38"/>
    <w:rsid w:val="356E638F"/>
    <w:rsid w:val="35B20971"/>
    <w:rsid w:val="35C83CF1"/>
    <w:rsid w:val="36017203"/>
    <w:rsid w:val="362A7BE5"/>
    <w:rsid w:val="36A302BA"/>
    <w:rsid w:val="36AA1648"/>
    <w:rsid w:val="36B129D7"/>
    <w:rsid w:val="36BD137C"/>
    <w:rsid w:val="36D466C5"/>
    <w:rsid w:val="36E032BC"/>
    <w:rsid w:val="3756532C"/>
    <w:rsid w:val="37B4557D"/>
    <w:rsid w:val="37C10FE8"/>
    <w:rsid w:val="37C14731"/>
    <w:rsid w:val="37D921E5"/>
    <w:rsid w:val="38312021"/>
    <w:rsid w:val="385C4BC4"/>
    <w:rsid w:val="38997BC6"/>
    <w:rsid w:val="38B92017"/>
    <w:rsid w:val="38EF77E6"/>
    <w:rsid w:val="38F117B0"/>
    <w:rsid w:val="3923124F"/>
    <w:rsid w:val="39495149"/>
    <w:rsid w:val="395064D7"/>
    <w:rsid w:val="397B05D9"/>
    <w:rsid w:val="398443D3"/>
    <w:rsid w:val="39A131D7"/>
    <w:rsid w:val="39C4410B"/>
    <w:rsid w:val="3A2732BB"/>
    <w:rsid w:val="3A5E4C24"/>
    <w:rsid w:val="3AA162A3"/>
    <w:rsid w:val="3AD15BE8"/>
    <w:rsid w:val="3B457B92"/>
    <w:rsid w:val="3BBB398A"/>
    <w:rsid w:val="3BC211E2"/>
    <w:rsid w:val="3BEF17ED"/>
    <w:rsid w:val="3C460065"/>
    <w:rsid w:val="3CF15DA1"/>
    <w:rsid w:val="3CFB2BFE"/>
    <w:rsid w:val="3D2F0AF9"/>
    <w:rsid w:val="3D453E79"/>
    <w:rsid w:val="3D65451B"/>
    <w:rsid w:val="3DDF607B"/>
    <w:rsid w:val="3DE6565C"/>
    <w:rsid w:val="3E133F77"/>
    <w:rsid w:val="3E151A9D"/>
    <w:rsid w:val="3F375FD4"/>
    <w:rsid w:val="3F6A406B"/>
    <w:rsid w:val="3F6A5E19"/>
    <w:rsid w:val="3F732F1F"/>
    <w:rsid w:val="3F821505"/>
    <w:rsid w:val="3F970711"/>
    <w:rsid w:val="3FB11C9A"/>
    <w:rsid w:val="3FBE7F13"/>
    <w:rsid w:val="3FE060DB"/>
    <w:rsid w:val="3FF35DC3"/>
    <w:rsid w:val="3FF51B86"/>
    <w:rsid w:val="400A2D92"/>
    <w:rsid w:val="404B7437"/>
    <w:rsid w:val="40907B01"/>
    <w:rsid w:val="4093139F"/>
    <w:rsid w:val="409C4374"/>
    <w:rsid w:val="40A315E2"/>
    <w:rsid w:val="40AD420F"/>
    <w:rsid w:val="410D2F00"/>
    <w:rsid w:val="410F0A26"/>
    <w:rsid w:val="41526B64"/>
    <w:rsid w:val="41540B2E"/>
    <w:rsid w:val="42413776"/>
    <w:rsid w:val="4242307D"/>
    <w:rsid w:val="42707BEA"/>
    <w:rsid w:val="428765E9"/>
    <w:rsid w:val="42A66A75"/>
    <w:rsid w:val="42B95172"/>
    <w:rsid w:val="42C36A75"/>
    <w:rsid w:val="42D02437"/>
    <w:rsid w:val="42E5365A"/>
    <w:rsid w:val="43160791"/>
    <w:rsid w:val="43282273"/>
    <w:rsid w:val="433F5DF2"/>
    <w:rsid w:val="438D0328"/>
    <w:rsid w:val="43E50164"/>
    <w:rsid w:val="440311AC"/>
    <w:rsid w:val="440D6763"/>
    <w:rsid w:val="44110F59"/>
    <w:rsid w:val="44531571"/>
    <w:rsid w:val="44AD550C"/>
    <w:rsid w:val="44F3240C"/>
    <w:rsid w:val="44F468B0"/>
    <w:rsid w:val="44FA7C3F"/>
    <w:rsid w:val="44FC1498"/>
    <w:rsid w:val="457630C8"/>
    <w:rsid w:val="459040FF"/>
    <w:rsid w:val="45AF27D7"/>
    <w:rsid w:val="45E06E35"/>
    <w:rsid w:val="463B406B"/>
    <w:rsid w:val="464E0242"/>
    <w:rsid w:val="46A00372"/>
    <w:rsid w:val="46DA1AD6"/>
    <w:rsid w:val="46E75FA1"/>
    <w:rsid w:val="4744600C"/>
    <w:rsid w:val="47615D53"/>
    <w:rsid w:val="477E6905"/>
    <w:rsid w:val="47BC7B11"/>
    <w:rsid w:val="47CD2AF7"/>
    <w:rsid w:val="48065A3F"/>
    <w:rsid w:val="485E04E5"/>
    <w:rsid w:val="486378A9"/>
    <w:rsid w:val="488E0DCA"/>
    <w:rsid w:val="48AF2AEE"/>
    <w:rsid w:val="48B30830"/>
    <w:rsid w:val="48BC2D06"/>
    <w:rsid w:val="48BF71D5"/>
    <w:rsid w:val="48E44E8E"/>
    <w:rsid w:val="49137521"/>
    <w:rsid w:val="492D2391"/>
    <w:rsid w:val="493E2177"/>
    <w:rsid w:val="49AD5280"/>
    <w:rsid w:val="49B74350"/>
    <w:rsid w:val="49BE748D"/>
    <w:rsid w:val="49C8030C"/>
    <w:rsid w:val="49C90EB2"/>
    <w:rsid w:val="49D7054F"/>
    <w:rsid w:val="4A0C644A"/>
    <w:rsid w:val="4A672677"/>
    <w:rsid w:val="4A673681"/>
    <w:rsid w:val="4A7C3D6C"/>
    <w:rsid w:val="4A9E2E1A"/>
    <w:rsid w:val="4AC565F9"/>
    <w:rsid w:val="4AE03433"/>
    <w:rsid w:val="4AFB026D"/>
    <w:rsid w:val="4B182BCD"/>
    <w:rsid w:val="4B4B2FA2"/>
    <w:rsid w:val="4B663938"/>
    <w:rsid w:val="4BA97CC9"/>
    <w:rsid w:val="4C304C0E"/>
    <w:rsid w:val="4C4A5008"/>
    <w:rsid w:val="4C545E87"/>
    <w:rsid w:val="4C5D11DF"/>
    <w:rsid w:val="4C6B1537"/>
    <w:rsid w:val="4C772894"/>
    <w:rsid w:val="4C83051A"/>
    <w:rsid w:val="4C8A5D4C"/>
    <w:rsid w:val="4CD86981"/>
    <w:rsid w:val="4CF04DAE"/>
    <w:rsid w:val="4D2C0BB1"/>
    <w:rsid w:val="4D357A66"/>
    <w:rsid w:val="4D573E80"/>
    <w:rsid w:val="4D7B7443"/>
    <w:rsid w:val="4E0D453F"/>
    <w:rsid w:val="4E197388"/>
    <w:rsid w:val="4E6A04C9"/>
    <w:rsid w:val="4E6B74B7"/>
    <w:rsid w:val="4E813FBD"/>
    <w:rsid w:val="4EA74993"/>
    <w:rsid w:val="4EB470B0"/>
    <w:rsid w:val="4F0E056F"/>
    <w:rsid w:val="4F4E6AA3"/>
    <w:rsid w:val="4F7B197C"/>
    <w:rsid w:val="4FD54B0F"/>
    <w:rsid w:val="4FFE2387"/>
    <w:rsid w:val="4FFF2583"/>
    <w:rsid w:val="50395ABF"/>
    <w:rsid w:val="50504BB7"/>
    <w:rsid w:val="50F1639A"/>
    <w:rsid w:val="50FB2D75"/>
    <w:rsid w:val="513D513B"/>
    <w:rsid w:val="5164091A"/>
    <w:rsid w:val="51A52CE0"/>
    <w:rsid w:val="51C13FBE"/>
    <w:rsid w:val="52117720"/>
    <w:rsid w:val="5215352B"/>
    <w:rsid w:val="52285DEB"/>
    <w:rsid w:val="52331DF6"/>
    <w:rsid w:val="524424F9"/>
    <w:rsid w:val="525E35BB"/>
    <w:rsid w:val="52750905"/>
    <w:rsid w:val="528F544B"/>
    <w:rsid w:val="52990A97"/>
    <w:rsid w:val="52B21B59"/>
    <w:rsid w:val="52BD77B8"/>
    <w:rsid w:val="52D01FDF"/>
    <w:rsid w:val="53015EF8"/>
    <w:rsid w:val="530A54F1"/>
    <w:rsid w:val="536A5F90"/>
    <w:rsid w:val="53A9212E"/>
    <w:rsid w:val="53C13BC2"/>
    <w:rsid w:val="53C47D96"/>
    <w:rsid w:val="53D55AFF"/>
    <w:rsid w:val="54176CCD"/>
    <w:rsid w:val="542C2941"/>
    <w:rsid w:val="54370568"/>
    <w:rsid w:val="54444A33"/>
    <w:rsid w:val="54534C76"/>
    <w:rsid w:val="54EF0E42"/>
    <w:rsid w:val="54F92DAB"/>
    <w:rsid w:val="55092496"/>
    <w:rsid w:val="552D54C7"/>
    <w:rsid w:val="55313209"/>
    <w:rsid w:val="556233C2"/>
    <w:rsid w:val="55EC7130"/>
    <w:rsid w:val="55FF50B5"/>
    <w:rsid w:val="563E29F7"/>
    <w:rsid w:val="56CB30E0"/>
    <w:rsid w:val="56E11251"/>
    <w:rsid w:val="574216FD"/>
    <w:rsid w:val="57550491"/>
    <w:rsid w:val="57855BEF"/>
    <w:rsid w:val="578D7694"/>
    <w:rsid w:val="579A0178"/>
    <w:rsid w:val="57BB500C"/>
    <w:rsid w:val="57C87729"/>
    <w:rsid w:val="57E8207B"/>
    <w:rsid w:val="57EA3B43"/>
    <w:rsid w:val="57FC4BA5"/>
    <w:rsid w:val="58020E8D"/>
    <w:rsid w:val="580B5F93"/>
    <w:rsid w:val="58737694"/>
    <w:rsid w:val="5878286A"/>
    <w:rsid w:val="58D04AE7"/>
    <w:rsid w:val="58EB7B73"/>
    <w:rsid w:val="58F24A5D"/>
    <w:rsid w:val="58FC58DC"/>
    <w:rsid w:val="59246BE1"/>
    <w:rsid w:val="592F7A5F"/>
    <w:rsid w:val="59301A29"/>
    <w:rsid w:val="593A6404"/>
    <w:rsid w:val="59526FF3"/>
    <w:rsid w:val="596D4A2C"/>
    <w:rsid w:val="597731B4"/>
    <w:rsid w:val="59AA17DC"/>
    <w:rsid w:val="59E00232"/>
    <w:rsid w:val="5A1D3D5C"/>
    <w:rsid w:val="5A217462"/>
    <w:rsid w:val="5A2E7D17"/>
    <w:rsid w:val="5A513A05"/>
    <w:rsid w:val="5B433C96"/>
    <w:rsid w:val="5BAF4E87"/>
    <w:rsid w:val="5BBE156E"/>
    <w:rsid w:val="5C074CC3"/>
    <w:rsid w:val="5C441A74"/>
    <w:rsid w:val="5C503C69"/>
    <w:rsid w:val="5C7659A5"/>
    <w:rsid w:val="5CDC7EFE"/>
    <w:rsid w:val="5D070B0E"/>
    <w:rsid w:val="5D1458EA"/>
    <w:rsid w:val="5D303DA6"/>
    <w:rsid w:val="5D431D2B"/>
    <w:rsid w:val="5D465377"/>
    <w:rsid w:val="5D522C41"/>
    <w:rsid w:val="5D6B35DA"/>
    <w:rsid w:val="5D8B36D2"/>
    <w:rsid w:val="5DB7112B"/>
    <w:rsid w:val="5DBE5856"/>
    <w:rsid w:val="5DE30E18"/>
    <w:rsid w:val="5DF50B4C"/>
    <w:rsid w:val="5DFD637E"/>
    <w:rsid w:val="5E2404B9"/>
    <w:rsid w:val="5E6D4B86"/>
    <w:rsid w:val="5E8E6CC9"/>
    <w:rsid w:val="5EB32EE1"/>
    <w:rsid w:val="5EEC1F4F"/>
    <w:rsid w:val="5EED5FDE"/>
    <w:rsid w:val="5F2C67EF"/>
    <w:rsid w:val="5F434264"/>
    <w:rsid w:val="5F435A75"/>
    <w:rsid w:val="5F526256"/>
    <w:rsid w:val="5F6E5059"/>
    <w:rsid w:val="5F7558A0"/>
    <w:rsid w:val="5FBE7D8F"/>
    <w:rsid w:val="5FF0098C"/>
    <w:rsid w:val="60193217"/>
    <w:rsid w:val="60736A8B"/>
    <w:rsid w:val="60BB42CE"/>
    <w:rsid w:val="60FB0B6F"/>
    <w:rsid w:val="6131633F"/>
    <w:rsid w:val="61736957"/>
    <w:rsid w:val="61B34FA6"/>
    <w:rsid w:val="61C947C9"/>
    <w:rsid w:val="61E055B5"/>
    <w:rsid w:val="61E810F3"/>
    <w:rsid w:val="61ED495B"/>
    <w:rsid w:val="627B1F67"/>
    <w:rsid w:val="62913539"/>
    <w:rsid w:val="62AA45FB"/>
    <w:rsid w:val="62D936BA"/>
    <w:rsid w:val="630E1322"/>
    <w:rsid w:val="636522D0"/>
    <w:rsid w:val="63854815"/>
    <w:rsid w:val="63974B7F"/>
    <w:rsid w:val="639F1C85"/>
    <w:rsid w:val="63B850C8"/>
    <w:rsid w:val="64076A34"/>
    <w:rsid w:val="64226357"/>
    <w:rsid w:val="649B244D"/>
    <w:rsid w:val="64DB4F3F"/>
    <w:rsid w:val="64FE564E"/>
    <w:rsid w:val="65077AE2"/>
    <w:rsid w:val="654E6526"/>
    <w:rsid w:val="654F3237"/>
    <w:rsid w:val="65EB1DFA"/>
    <w:rsid w:val="65ED6CD8"/>
    <w:rsid w:val="664B32C7"/>
    <w:rsid w:val="66521231"/>
    <w:rsid w:val="666D1BC7"/>
    <w:rsid w:val="66BA2932"/>
    <w:rsid w:val="67302922"/>
    <w:rsid w:val="678B49FB"/>
    <w:rsid w:val="6793580C"/>
    <w:rsid w:val="67F105D6"/>
    <w:rsid w:val="67F307F2"/>
    <w:rsid w:val="68210EBB"/>
    <w:rsid w:val="68385629"/>
    <w:rsid w:val="6886495E"/>
    <w:rsid w:val="688B27D8"/>
    <w:rsid w:val="68A72550"/>
    <w:rsid w:val="68E32614"/>
    <w:rsid w:val="692A1FF1"/>
    <w:rsid w:val="692E7D33"/>
    <w:rsid w:val="6962250E"/>
    <w:rsid w:val="69B41D9F"/>
    <w:rsid w:val="69D34437"/>
    <w:rsid w:val="69E228CC"/>
    <w:rsid w:val="6A024D1C"/>
    <w:rsid w:val="6A202C21"/>
    <w:rsid w:val="6A6652AB"/>
    <w:rsid w:val="6A7F011B"/>
    <w:rsid w:val="6ACD532A"/>
    <w:rsid w:val="6AF34E4B"/>
    <w:rsid w:val="6B052CFA"/>
    <w:rsid w:val="6B967F4C"/>
    <w:rsid w:val="6BA40E88"/>
    <w:rsid w:val="6BF863D7"/>
    <w:rsid w:val="6C0F54CE"/>
    <w:rsid w:val="6C861C34"/>
    <w:rsid w:val="6C9500C9"/>
    <w:rsid w:val="6CA55DDC"/>
    <w:rsid w:val="6CB467A2"/>
    <w:rsid w:val="6CBF655D"/>
    <w:rsid w:val="6D050DAB"/>
    <w:rsid w:val="6D463172"/>
    <w:rsid w:val="6D527D69"/>
    <w:rsid w:val="6D543AE1"/>
    <w:rsid w:val="6D761CA9"/>
    <w:rsid w:val="6D943EDD"/>
    <w:rsid w:val="6DAC0AED"/>
    <w:rsid w:val="6E05302D"/>
    <w:rsid w:val="6E602ABA"/>
    <w:rsid w:val="6EC425A0"/>
    <w:rsid w:val="6EEC05C4"/>
    <w:rsid w:val="6EF56BFD"/>
    <w:rsid w:val="6F4436E1"/>
    <w:rsid w:val="6F4F27B2"/>
    <w:rsid w:val="6F547DC8"/>
    <w:rsid w:val="6F80296B"/>
    <w:rsid w:val="6FCC5F74"/>
    <w:rsid w:val="6FCF744E"/>
    <w:rsid w:val="701B2694"/>
    <w:rsid w:val="703419A7"/>
    <w:rsid w:val="703758F1"/>
    <w:rsid w:val="703A5210"/>
    <w:rsid w:val="703D1014"/>
    <w:rsid w:val="703E6382"/>
    <w:rsid w:val="70D45302"/>
    <w:rsid w:val="70F171B0"/>
    <w:rsid w:val="712B4B58"/>
    <w:rsid w:val="717F6C52"/>
    <w:rsid w:val="71892278"/>
    <w:rsid w:val="71932FE7"/>
    <w:rsid w:val="719F313D"/>
    <w:rsid w:val="71A861A9"/>
    <w:rsid w:val="71D074AE"/>
    <w:rsid w:val="71D64AC4"/>
    <w:rsid w:val="71E60A7F"/>
    <w:rsid w:val="72022B3B"/>
    <w:rsid w:val="72345C8F"/>
    <w:rsid w:val="72604CD6"/>
    <w:rsid w:val="727350C6"/>
    <w:rsid w:val="727442DD"/>
    <w:rsid w:val="72800ED4"/>
    <w:rsid w:val="72F666E9"/>
    <w:rsid w:val="7315786E"/>
    <w:rsid w:val="732650EF"/>
    <w:rsid w:val="73927111"/>
    <w:rsid w:val="73A62BBC"/>
    <w:rsid w:val="73F25E01"/>
    <w:rsid w:val="74281823"/>
    <w:rsid w:val="746A5998"/>
    <w:rsid w:val="74B25CE4"/>
    <w:rsid w:val="74C23A26"/>
    <w:rsid w:val="753C7334"/>
    <w:rsid w:val="75976C60"/>
    <w:rsid w:val="75DC4673"/>
    <w:rsid w:val="75DE03EB"/>
    <w:rsid w:val="75E874BC"/>
    <w:rsid w:val="75F2503C"/>
    <w:rsid w:val="760135A8"/>
    <w:rsid w:val="760E53A2"/>
    <w:rsid w:val="762322A2"/>
    <w:rsid w:val="76404397"/>
    <w:rsid w:val="76617F46"/>
    <w:rsid w:val="768371E5"/>
    <w:rsid w:val="76B565BF"/>
    <w:rsid w:val="76B63116"/>
    <w:rsid w:val="76B80C3C"/>
    <w:rsid w:val="76C35E68"/>
    <w:rsid w:val="76C43A85"/>
    <w:rsid w:val="77336396"/>
    <w:rsid w:val="773D55E5"/>
    <w:rsid w:val="774B7D02"/>
    <w:rsid w:val="7763329E"/>
    <w:rsid w:val="776B3F01"/>
    <w:rsid w:val="7782124A"/>
    <w:rsid w:val="77821DB2"/>
    <w:rsid w:val="77AB6D38"/>
    <w:rsid w:val="781268C8"/>
    <w:rsid w:val="7815379B"/>
    <w:rsid w:val="781B5927"/>
    <w:rsid w:val="78B638A1"/>
    <w:rsid w:val="78B65390"/>
    <w:rsid w:val="78BC36F1"/>
    <w:rsid w:val="78D43D28"/>
    <w:rsid w:val="78DD614B"/>
    <w:rsid w:val="78F9553C"/>
    <w:rsid w:val="797C1BC4"/>
    <w:rsid w:val="797F1EE5"/>
    <w:rsid w:val="79D264B9"/>
    <w:rsid w:val="79E15599"/>
    <w:rsid w:val="79F4528B"/>
    <w:rsid w:val="79F65ECE"/>
    <w:rsid w:val="7A2D36EF"/>
    <w:rsid w:val="7A2F56B9"/>
    <w:rsid w:val="7A680BCB"/>
    <w:rsid w:val="7A6D7F90"/>
    <w:rsid w:val="7A796935"/>
    <w:rsid w:val="7AAC4F5C"/>
    <w:rsid w:val="7AD1051F"/>
    <w:rsid w:val="7AE069B4"/>
    <w:rsid w:val="7AF05EF1"/>
    <w:rsid w:val="7B43598C"/>
    <w:rsid w:val="7B553884"/>
    <w:rsid w:val="7B8B2DC3"/>
    <w:rsid w:val="7B8B6ECF"/>
    <w:rsid w:val="7BB8348D"/>
    <w:rsid w:val="7C321491"/>
    <w:rsid w:val="7C741BDC"/>
    <w:rsid w:val="7CCD18CC"/>
    <w:rsid w:val="7CDD764F"/>
    <w:rsid w:val="7D821FA4"/>
    <w:rsid w:val="7DA0242A"/>
    <w:rsid w:val="7DE14F1D"/>
    <w:rsid w:val="7E24557B"/>
    <w:rsid w:val="7E2B263C"/>
    <w:rsid w:val="7E357016"/>
    <w:rsid w:val="7EB50157"/>
    <w:rsid w:val="7ECB797B"/>
    <w:rsid w:val="7ED24865"/>
    <w:rsid w:val="7EE527EB"/>
    <w:rsid w:val="7F0013D2"/>
    <w:rsid w:val="7F004672"/>
    <w:rsid w:val="7F197C0F"/>
    <w:rsid w:val="7F480FCB"/>
    <w:rsid w:val="7F5A58A7"/>
    <w:rsid w:val="7F6E0A32"/>
    <w:rsid w:val="7F7E15BE"/>
    <w:rsid w:val="7FDF36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styleId="8">
    <w:name w:val="FollowedHyperlink"/>
    <w:basedOn w:val="6"/>
    <w:uiPriority w:val="0"/>
    <w:rPr>
      <w:color w:val="333333"/>
      <w:u w:val="none"/>
    </w:rPr>
  </w:style>
  <w:style w:type="character" w:styleId="9">
    <w:name w:val="Emphasis"/>
    <w:basedOn w:val="6"/>
    <w:uiPriority w:val="0"/>
  </w:style>
  <w:style w:type="character" w:styleId="10">
    <w:name w:val="HTML Definition"/>
    <w:basedOn w:val="6"/>
    <w:uiPriority w:val="0"/>
  </w:style>
  <w:style w:type="character" w:styleId="11">
    <w:name w:val="HTML Variable"/>
    <w:basedOn w:val="6"/>
    <w:uiPriority w:val="0"/>
  </w:style>
  <w:style w:type="character" w:styleId="12">
    <w:name w:val="Hyperlink"/>
    <w:basedOn w:val="6"/>
    <w:uiPriority w:val="0"/>
    <w:rPr>
      <w:color w:val="333333"/>
      <w:u w:val="none"/>
    </w:rPr>
  </w:style>
  <w:style w:type="character" w:styleId="13">
    <w:name w:val="HTML Code"/>
    <w:basedOn w:val="6"/>
    <w:uiPriority w:val="0"/>
    <w:rPr>
      <w:rFonts w:ascii="Courier New" w:hAnsi="Courier New"/>
      <w:sz w:val="20"/>
    </w:rPr>
  </w:style>
  <w:style w:type="character" w:styleId="14">
    <w:name w:val="HTML Cite"/>
    <w:basedOn w:val="6"/>
    <w:uiPriority w:val="0"/>
  </w:style>
  <w:style w:type="character" w:customStyle="1" w:styleId="15">
    <w:name w:val="wx-space"/>
    <w:basedOn w:val="6"/>
    <w:uiPriority w:val="0"/>
  </w:style>
  <w:style w:type="character" w:customStyle="1" w:styleId="16">
    <w:name w:val="wx-space1"/>
    <w:basedOn w:val="6"/>
    <w:uiPriority w:val="0"/>
  </w:style>
  <w:style w:type="character" w:customStyle="1" w:styleId="17">
    <w:name w:val="hover4"/>
    <w:basedOn w:val="6"/>
    <w:uiPriority w:val="0"/>
  </w:style>
  <w:style w:type="character" w:customStyle="1" w:styleId="18">
    <w:name w:val="hover5"/>
    <w:basedOn w:val="6"/>
    <w:uiPriority w:val="0"/>
    <w:rPr>
      <w:color w:val="00000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落雪梨花</Company>
  <Pages>8</Pages>
  <Words>3300</Words>
  <Characters>4292</Characters>
  <Lines>31</Lines>
  <Paragraphs>8</Paragraphs>
  <TotalTime>26</TotalTime>
  <ScaleCrop>false</ScaleCrop>
  <LinksUpToDate>false</LinksUpToDate>
  <CharactersWithSpaces>4303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2017-02-20T03:42:00Z</dcterms:created>
  <dc:creator>admin</dc:creator>
  <cp:lastModifiedBy>Administrator</cp:lastModifiedBy>
  <cp:lastPrinted>2025-07-16T08:57:00Z</cp:lastPrinted>
  <dcterms:modified xsi:type="dcterms:W3CDTF">2026-08-21T08:56:03Z</dcterms:modified>
  <dc:title>新晃侗族自治县2016年国民经济和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C10C25A4DF93483AA4B21CE9E35A3723_13</vt:lpwstr>
  </property>
  <property fmtid="{D5CDD505-2E9C-101B-9397-08002B2CF9AE}" pid="4" name="KSOTemplateDocerSaveRecord">
    <vt:lpwstr>eyJoZGlkIjoiODQyZTM3MDI5MDY1NTgyNzk4Y2FkZDZlMjRlMGZjMjYiLCJ1c2VySWQiOiIxOTg3MTgyNjEifQ==</vt:lpwstr>
  </property>
</Properties>
</file>