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新保障机制校舍维修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新保障机制校舍维修用于学校的日常运转工作支出。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通过项目实施，维修学校面积6000平方米，改善学校教育教学条件，提升学校教育教学质量。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新保障机制校舍维修项目2024年预算安排33万元。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根据局内预算指标可知，新保障机制校舍维修项目到位资金为为33万元，预算资金到位率为100%。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截至2024年12月31日，新保障机制校舍维修项目实际支出金额为33万元，预算执行率为100%。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维修学校面积6000平方米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通过新保障机制校舍维修，</w:t>
      </w:r>
      <w:r>
        <w:rPr>
          <w:rFonts w:hint="eastAsia"/>
          <w:lang w:val="en-US" w:eastAsia="zh-CN"/>
        </w:rPr>
        <w:t>改善学校教育教学条件，提升学校教育教学质量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0D5314E3"/>
    <w:rsid w:val="3AFF47D4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2025-04-08T06:39:12Z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