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员额制教师工资、一次性奖金及基础绩效奖金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员额制教师工资、一次性奖金及基础绩效奖金用于编制内、编制外教师的人员经费支出（包括工资、绩效、奖金等）。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通过项目实施，对员额制教师500人发放工资及奖金，保障员额制教师工资待遇，提升教学水平。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员额制教师工资、一次性奖金及基础绩效奖金项目2024年预算安排1031.7万元。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根据局内预算指标可知，员额制教师工资、一次性奖金及基础绩效奖金项目到位资金为为1031.7万元，预算资金到位率为100%。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截至2024年12月31日，员额制教师工资、一次性奖金及基础绩效奖金项目实际支出金额为1031.7万元，预算执行率为100%。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对员额制教师500人发放工资及奖金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</w:t>
      </w:r>
      <w:r>
        <w:rPr>
          <w:rFonts w:hint="eastAsia"/>
          <w:lang w:val="en-US" w:eastAsia="zh-CN"/>
        </w:rPr>
        <w:t>保障员额制教师工资待遇，提升教学水平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通过员额制教师工资、一次性奖金及基础绩效奖金，</w:t>
      </w:r>
      <w:r>
        <w:rPr>
          <w:rFonts w:hint="eastAsia"/>
          <w:lang w:val="en-US" w:eastAsia="zh-CN"/>
        </w:rPr>
        <w:t>保障员额制教师工资待遇，提升教学水平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18685829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2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