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BD9144">
      <w:pPr>
        <w:spacing w:line="620" w:lineRule="exact"/>
        <w:jc w:val="left"/>
        <w:rPr>
          <w:rFonts w:ascii="Times New Roman" w:hAnsi="Times New Roman" w:eastAsia="仿宋_GB2312"/>
          <w:sz w:val="32"/>
          <w:szCs w:val="32"/>
        </w:rPr>
      </w:pPr>
      <w:bookmarkStart w:id="2" w:name="_GoBack"/>
      <w:bookmarkEnd w:id="2"/>
      <w:r>
        <w:rPr>
          <w:rFonts w:ascii="Times New Roman" w:hAnsi="Times New Roman" w:eastAsia="仿宋_GB2312"/>
          <w:color w:val="000000"/>
          <w:sz w:val="32"/>
          <w:szCs w:val="32"/>
        </w:rPr>
        <mc:AlternateContent>
          <mc:Choice Requires="wps">
            <w:drawing>
              <wp:anchor distT="0" distB="0" distL="114300" distR="114300" simplePos="0" relativeHeight="251671552" behindDoc="0" locked="0" layoutInCell="1" allowOverlap="1">
                <wp:simplePos x="0" y="0"/>
                <wp:positionH relativeFrom="column">
                  <wp:posOffset>-10160</wp:posOffset>
                </wp:positionH>
                <wp:positionV relativeFrom="paragraph">
                  <wp:posOffset>-373380</wp:posOffset>
                </wp:positionV>
                <wp:extent cx="1727200" cy="396240"/>
                <wp:effectExtent l="0" t="0" r="0" b="10160"/>
                <wp:wrapNone/>
                <wp:docPr id="19" name="文本框 19"/>
                <wp:cNvGraphicFramePr/>
                <a:graphic xmlns:a="http://schemas.openxmlformats.org/drawingml/2006/main">
                  <a:graphicData uri="http://schemas.microsoft.com/office/word/2010/wordprocessingShape">
                    <wps:wsp>
                      <wps:cNvSpPr txBox="1"/>
                      <wps:spPr>
                        <a:xfrm>
                          <a:off x="0" y="0"/>
                          <a:ext cx="1727200" cy="396240"/>
                        </a:xfrm>
                        <a:prstGeom prst="rect">
                          <a:avLst/>
                        </a:prstGeom>
                        <a:solidFill>
                          <a:srgbClr val="FFFFFF"/>
                        </a:solidFill>
                        <a:ln>
                          <a:noFill/>
                        </a:ln>
                      </wps:spPr>
                      <wps:txbx>
                        <w:txbxContent>
                          <w:p w14:paraId="03A6B34B">
                            <w:pPr>
                              <w:rPr>
                                <w:rFonts w:hint="default" w:ascii="黑体" w:eastAsia="黑体"/>
                                <w:spacing w:val="-10"/>
                                <w:sz w:val="32"/>
                                <w:szCs w:val="32"/>
                                <w:lang w:val="en-US" w:eastAsia="zh-CN"/>
                              </w:rPr>
                            </w:pPr>
                            <w:r>
                              <w:rPr>
                                <w:rFonts w:hint="eastAsia" w:ascii="黑体" w:eastAsia="黑体"/>
                                <w:spacing w:val="-10"/>
                                <w:sz w:val="32"/>
                                <w:szCs w:val="32"/>
                                <w:lang w:val="en-US" w:eastAsia="zh-CN"/>
                              </w:rPr>
                              <w:t>XHDR-2026-00003</w:t>
                            </w:r>
                          </w:p>
                          <w:p w14:paraId="68428C55">
                            <w:pPr>
                              <w:rPr>
                                <w:rFonts w:ascii="黑体" w:eastAsia="黑体"/>
                                <w:spacing w:val="-10"/>
                                <w:sz w:val="32"/>
                                <w:szCs w:val="32"/>
                              </w:rPr>
                            </w:pPr>
                          </w:p>
                        </w:txbxContent>
                      </wps:txbx>
                      <wps:bodyPr upright="1"/>
                    </wps:wsp>
                  </a:graphicData>
                </a:graphic>
              </wp:anchor>
            </w:drawing>
          </mc:Choice>
          <mc:Fallback>
            <w:pict>
              <v:shape id="_x0000_s1026" o:spid="_x0000_s1026" o:spt="202" type="#_x0000_t202" style="position:absolute;left:0pt;margin-left:-0.8pt;margin-top:-29.4pt;height:31.2pt;width:136pt;z-index:251671552;mso-width-relative:page;mso-height-relative:page;" fillcolor="#FFFFFF" filled="t" stroked="f" coordsize="21600,21600" o:gfxdata="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otyRtcAAAAIAQAADwAAAAAAAAABACAAAAAiAAAAZHJzL2Rvd25yZXYu&#10;eG1sUEsBAhQAFAAAAAgAh07iQJUoUPXDAQAAeQMAAA4AAAAAAAAAAQAgAAAAJgEAAGRycy9lMm9E&#10;b2MueG1sUEsFBgAAAAAGAAYAWQEAAFsFAAAAAA==&#10;">
                <v:fill on="t" focussize="0,0"/>
                <v:stroke on="f"/>
                <v:imagedata o:title=""/>
                <o:lock v:ext="edit" aspectratio="f"/>
                <v:textbox>
                  <w:txbxContent>
                    <w:p w14:paraId="03A6B34B">
                      <w:pPr>
                        <w:rPr>
                          <w:rFonts w:hint="default" w:ascii="黑体" w:eastAsia="黑体"/>
                          <w:spacing w:val="-10"/>
                          <w:sz w:val="32"/>
                          <w:szCs w:val="32"/>
                          <w:lang w:val="en-US" w:eastAsia="zh-CN"/>
                        </w:rPr>
                      </w:pPr>
                      <w:r>
                        <w:rPr>
                          <w:rFonts w:hint="eastAsia" w:ascii="黑体" w:eastAsia="黑体"/>
                          <w:spacing w:val="-10"/>
                          <w:sz w:val="32"/>
                          <w:szCs w:val="32"/>
                          <w:lang w:val="en-US" w:eastAsia="zh-CN"/>
                        </w:rPr>
                        <w:t>XHDR-2026-00003</w:t>
                      </w:r>
                    </w:p>
                    <w:p w14:paraId="68428C55">
                      <w:pPr>
                        <w:rPr>
                          <w:rFonts w:ascii="黑体" w:eastAsia="黑体"/>
                          <w:spacing w:val="-10"/>
                          <w:sz w:val="32"/>
                          <w:szCs w:val="32"/>
                        </w:rPr>
                      </w:pPr>
                    </w:p>
                  </w:txbxContent>
                </v:textbox>
              </v:shape>
            </w:pict>
          </mc:Fallback>
        </mc:AlternateContent>
      </w:r>
    </w:p>
    <w:p w14:paraId="55BC51A1">
      <w:pPr>
        <w:spacing w:line="620" w:lineRule="exact"/>
        <w:jc w:val="left"/>
        <w:rPr>
          <w:rFonts w:ascii="Times New Roman" w:hAnsi="Times New Roman" w:eastAsia="仿宋_GB2312"/>
          <w:sz w:val="32"/>
          <w:szCs w:val="32"/>
        </w:rPr>
      </w:pPr>
      <w:r>
        <w:rPr>
          <w:rFonts w:ascii="Times New Roman" w:hAnsi="Times New Roman" w:eastAsia="仿宋_GB2312"/>
          <w:sz w:val="32"/>
          <w:szCs w:val="32"/>
        </w:rPr>
        <w:t xml:space="preserve"> </w:t>
      </w:r>
    </w:p>
    <w:p w14:paraId="7D404B4D">
      <w:pPr>
        <w:spacing w:line="620" w:lineRule="exact"/>
        <w:jc w:val="left"/>
        <w:rPr>
          <w:rFonts w:ascii="Times New Roman" w:hAnsi="Times New Roman" w:eastAsia="仿宋_GB2312"/>
          <w:sz w:val="32"/>
          <w:szCs w:val="32"/>
        </w:rPr>
      </w:pPr>
      <w:r>
        <w:rPr>
          <w:rFonts w:ascii="Times New Roman" w:hAnsi="Times New Roman" w:eastAsia="仿宋_GB2312"/>
          <w:sz w:val="32"/>
          <w:szCs w:val="32"/>
        </w:rPr>
        <w:t xml:space="preserve"> </w:t>
      </w:r>
    </w:p>
    <w:p w14:paraId="57D04141">
      <w:pPr>
        <w:spacing w:line="620" w:lineRule="exact"/>
        <w:jc w:val="left"/>
        <w:rPr>
          <w:rFonts w:ascii="Times New Roman" w:hAnsi="Times New Roman" w:eastAsia="仿宋_GB2312"/>
          <w:sz w:val="32"/>
          <w:szCs w:val="32"/>
        </w:rPr>
      </w:pPr>
      <w:r>
        <w:rPr>
          <w:rFonts w:ascii="Times New Roman" w:hAnsi="Times New Roman" w:eastAsia="仿宋_GB2312"/>
          <w:sz w:val="32"/>
          <w:szCs w:val="32"/>
        </w:rPr>
        <w:t xml:space="preserve"> </w:t>
      </w:r>
    </w:p>
    <w:p w14:paraId="3E19016E">
      <w:pPr>
        <w:spacing w:line="620" w:lineRule="exact"/>
        <w:jc w:val="left"/>
        <w:rPr>
          <w:rFonts w:ascii="Times New Roman" w:hAnsi="Times New Roman" w:eastAsia="仿宋_GB2312"/>
          <w:sz w:val="32"/>
          <w:szCs w:val="32"/>
        </w:rPr>
      </w:pPr>
      <w:r>
        <w:rPr>
          <w:rFonts w:ascii="Times New Roman" w:hAnsi="Times New Roman" w:eastAsia="仿宋_GB2312"/>
          <w:sz w:val="32"/>
          <w:szCs w:val="32"/>
        </w:rPr>
        <w:t xml:space="preserve"> </w:t>
      </w:r>
    </w:p>
    <w:p w14:paraId="4080DEBD">
      <w:pPr>
        <w:spacing w:line="620" w:lineRule="exact"/>
        <w:jc w:val="left"/>
        <w:rPr>
          <w:rFonts w:ascii="Times New Roman" w:hAnsi="Times New Roman" w:eastAsia="仿宋_GB2312"/>
          <w:sz w:val="32"/>
          <w:szCs w:val="32"/>
        </w:rPr>
      </w:pPr>
      <w:r>
        <w:rPr>
          <w:rFonts w:ascii="Times New Roman" w:hAnsi="Times New Roman" w:eastAsia="仿宋_GB2312"/>
          <w:sz w:val="32"/>
          <w:szCs w:val="32"/>
        </w:rPr>
        <w:t xml:space="preserve"> </w:t>
      </w:r>
    </w:p>
    <w:p w14:paraId="57BEEA4D">
      <w:pPr>
        <w:spacing w:line="620" w:lineRule="exact"/>
        <w:jc w:val="left"/>
        <w:rPr>
          <w:rFonts w:ascii="Times New Roman" w:hAnsi="Times New Roman" w:eastAsia="仿宋_GB2312"/>
          <w:sz w:val="32"/>
          <w:szCs w:val="32"/>
        </w:rPr>
      </w:pPr>
      <w:r>
        <w:rPr>
          <w:rFonts w:ascii="Times New Roman" w:hAnsi="Times New Roman" w:eastAsia="仿宋_GB2312"/>
          <w:sz w:val="32"/>
          <w:szCs w:val="32"/>
        </w:rPr>
        <w:t xml:space="preserve"> </w:t>
      </w:r>
    </w:p>
    <w:p w14:paraId="7B55D89C">
      <w:pPr>
        <w:spacing w:before="312" w:beforeLines="100" w:line="560" w:lineRule="exact"/>
        <w:jc w:val="center"/>
        <w:rPr>
          <w:rFonts w:ascii="Times New Roman" w:hAnsi="Times New Roman" w:eastAsia="仿宋_GB2312"/>
          <w:sz w:val="32"/>
          <w:szCs w:val="32"/>
        </w:rPr>
      </w:pPr>
      <w:r>
        <w:rPr>
          <w:rFonts w:ascii="Times New Roman" w:hAnsi="Times New Roman" w:eastAsia="仿宋_GB2312"/>
          <w:sz w:val="32"/>
          <w:szCs w:val="32"/>
        </w:rPr>
        <w:t>晃政发〔</w:t>
      </w:r>
      <w:r>
        <w:rPr>
          <w:rFonts w:hint="eastAsia" w:ascii="Times New Roman" w:hAnsi="Times New Roman" w:eastAsia="仿宋_GB2312"/>
          <w:sz w:val="32"/>
          <w:szCs w:val="32"/>
          <w:lang w:val="en-US" w:eastAsia="zh-CN"/>
        </w:rPr>
        <w:t>2026</w:t>
      </w:r>
      <w:r>
        <w:rPr>
          <w:rFonts w:ascii="Times New Roman" w:hAnsi="Times New Roman" w:eastAsia="仿宋_GB2312"/>
          <w:sz w:val="32"/>
          <w:szCs w:val="32"/>
        </w:rPr>
        <w:t>〕</w:t>
      </w:r>
      <w:r>
        <w:rPr>
          <w:rFonts w:hint="eastAsia" w:ascii="Times New Roman" w:hAnsi="Times New Roman" w:eastAsia="仿宋_GB2312"/>
          <w:sz w:val="32"/>
          <w:szCs w:val="32"/>
          <w:lang w:val="en-US" w:eastAsia="zh-CN"/>
        </w:rPr>
        <w:t>6</w:t>
      </w:r>
      <w:r>
        <w:rPr>
          <w:rFonts w:ascii="Times New Roman" w:hAnsi="Times New Roman" w:eastAsia="仿宋_GB2312"/>
          <w:sz w:val="32"/>
          <w:szCs w:val="32"/>
        </w:rPr>
        <w:t>号</w:t>
      </w:r>
    </w:p>
    <w:p w14:paraId="2963C0D2">
      <w:pPr>
        <w:spacing w:line="620" w:lineRule="exact"/>
        <w:ind w:firstLine="640" w:firstLineChars="200"/>
        <w:rPr>
          <w:rFonts w:ascii="Times New Roman" w:hAnsi="Times New Roman"/>
        </w:rPr>
      </w:pPr>
      <w:r>
        <w:rPr>
          <w:rFonts w:ascii="Times New Roman" w:hAnsi="Times New Roman" w:eastAsia="仿宋_GB2312"/>
          <w:sz w:val="32"/>
          <w:szCs w:val="32"/>
        </w:rPr>
        <w:t xml:space="preserve"> </w:t>
      </w:r>
    </w:p>
    <w:p w14:paraId="79ED24F8">
      <w:pPr>
        <w:keepNext w:val="0"/>
        <w:keepLines w:val="0"/>
        <w:pageBreakBefore w:val="0"/>
        <w:widowControl w:val="0"/>
        <w:kinsoku/>
        <w:overflowPunct w:val="0"/>
        <w:topLinePunct w:val="0"/>
        <w:autoSpaceDE w:val="0"/>
        <w:autoSpaceDN/>
        <w:bidi w:val="0"/>
        <w:adjustRightInd/>
        <w:snapToGrid/>
        <w:spacing w:line="620" w:lineRule="exact"/>
        <w:jc w:val="center"/>
        <w:textAlignment w:val="auto"/>
        <w:rPr>
          <w:rFonts w:hint="default" w:ascii="Times New Roman" w:hAnsi="Times New Roman" w:eastAsia="方正小标宋简体" w:cs="Times New Roman"/>
          <w:color w:val="auto"/>
          <w:sz w:val="44"/>
          <w:szCs w:val="44"/>
          <w:highlight w:val="none"/>
        </w:rPr>
      </w:pPr>
      <w:r>
        <w:rPr>
          <w:rFonts w:hint="default" w:ascii="Times New Roman" w:hAnsi="Times New Roman" w:eastAsia="方正小标宋简体" w:cs="Times New Roman"/>
          <w:color w:val="auto"/>
          <w:sz w:val="44"/>
          <w:szCs w:val="44"/>
          <w:highlight w:val="none"/>
          <w:lang w:eastAsia="zh-CN"/>
        </w:rPr>
        <w:t>新晃侗族自治县</w:t>
      </w:r>
      <w:r>
        <w:rPr>
          <w:rFonts w:hint="default" w:ascii="Times New Roman" w:hAnsi="Times New Roman" w:eastAsia="方正小标宋简体" w:cs="Times New Roman"/>
          <w:color w:val="auto"/>
          <w:sz w:val="44"/>
          <w:szCs w:val="44"/>
          <w:highlight w:val="none"/>
        </w:rPr>
        <w:t>人民政府</w:t>
      </w:r>
    </w:p>
    <w:p w14:paraId="35FA01EC">
      <w:pPr>
        <w:keepNext w:val="0"/>
        <w:keepLines w:val="0"/>
        <w:pageBreakBefore w:val="0"/>
        <w:widowControl w:val="0"/>
        <w:kinsoku/>
        <w:topLinePunct w:val="0"/>
        <w:autoSpaceDN/>
        <w:bidi w:val="0"/>
        <w:adjustRightInd/>
        <w:snapToGrid/>
        <w:spacing w:line="620" w:lineRule="exact"/>
        <w:jc w:val="center"/>
        <w:textAlignment w:val="auto"/>
        <w:rPr>
          <w:rFonts w:hint="default" w:ascii="Times New Roman" w:hAnsi="Times New Roman" w:eastAsia="方正小标宋简体" w:cs="Times New Roman"/>
          <w:color w:val="auto"/>
          <w:sz w:val="44"/>
          <w:szCs w:val="44"/>
          <w:highlight w:val="none"/>
        </w:rPr>
      </w:pPr>
      <w:r>
        <w:rPr>
          <w:rFonts w:hint="default" w:ascii="Times New Roman" w:hAnsi="Times New Roman" w:eastAsia="方正小标宋简体" w:cs="Times New Roman"/>
          <w:color w:val="auto"/>
          <w:sz w:val="44"/>
          <w:szCs w:val="44"/>
          <w:highlight w:val="none"/>
        </w:rPr>
        <w:t>关于印发《</w:t>
      </w:r>
      <w:r>
        <w:rPr>
          <w:rFonts w:hint="default" w:ascii="Times New Roman" w:hAnsi="Times New Roman" w:eastAsia="方正小标宋简体" w:cs="Times New Roman"/>
          <w:bCs/>
          <w:sz w:val="44"/>
          <w:szCs w:val="44"/>
        </w:rPr>
        <w:t>新晃侗族自治县集体土地与房屋征收补偿安置</w:t>
      </w:r>
      <w:r>
        <w:rPr>
          <w:rFonts w:hint="default" w:ascii="Times New Roman" w:hAnsi="Times New Roman" w:eastAsia="方正小标宋简体" w:cs="Times New Roman"/>
          <w:bCs/>
          <w:sz w:val="44"/>
          <w:szCs w:val="44"/>
          <w:lang w:val="en-US" w:eastAsia="zh-CN"/>
        </w:rPr>
        <w:t>实施</w:t>
      </w:r>
      <w:r>
        <w:rPr>
          <w:rFonts w:hint="default" w:ascii="Times New Roman" w:hAnsi="Times New Roman" w:eastAsia="方正小标宋简体" w:cs="Times New Roman"/>
          <w:bCs/>
          <w:sz w:val="44"/>
          <w:szCs w:val="44"/>
        </w:rPr>
        <w:t>细则</w:t>
      </w:r>
      <w:r>
        <w:rPr>
          <w:rFonts w:hint="default" w:ascii="Times New Roman" w:hAnsi="Times New Roman" w:eastAsia="方正小标宋简体" w:cs="Times New Roman"/>
          <w:color w:val="auto"/>
          <w:sz w:val="44"/>
          <w:szCs w:val="44"/>
          <w:highlight w:val="none"/>
        </w:rPr>
        <w:t>》的通知</w:t>
      </w:r>
    </w:p>
    <w:p w14:paraId="5D640912">
      <w:pPr>
        <w:keepNext w:val="0"/>
        <w:keepLines w:val="0"/>
        <w:pageBreakBefore w:val="0"/>
        <w:widowControl w:val="0"/>
        <w:kinsoku/>
        <w:topLinePunct w:val="0"/>
        <w:autoSpaceDN/>
        <w:bidi w:val="0"/>
        <w:adjustRightInd/>
        <w:snapToGrid/>
        <w:spacing w:line="620" w:lineRule="exact"/>
        <w:textAlignment w:val="auto"/>
        <w:rPr>
          <w:rFonts w:hint="default" w:ascii="Times New Roman" w:hAnsi="Times New Roman" w:cs="Times New Roman"/>
        </w:rPr>
      </w:pPr>
    </w:p>
    <w:p w14:paraId="64E9EAA5">
      <w:pPr>
        <w:keepNext w:val="0"/>
        <w:keepLines w:val="0"/>
        <w:pageBreakBefore w:val="0"/>
        <w:widowControl w:val="0"/>
        <w:kinsoku/>
        <w:topLinePunct w:val="0"/>
        <w:autoSpaceDN/>
        <w:bidi w:val="0"/>
        <w:adjustRightInd/>
        <w:snapToGrid/>
        <w:spacing w:line="620"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各乡（镇）人民政府，县直机关各单位：</w:t>
      </w:r>
    </w:p>
    <w:p w14:paraId="5C617868">
      <w:pPr>
        <w:keepNext w:val="0"/>
        <w:keepLines w:val="0"/>
        <w:pageBreakBefore w:val="0"/>
        <w:widowControl w:val="0"/>
        <w:kinsoku/>
        <w:topLinePunct w:val="0"/>
        <w:autoSpaceDN/>
        <w:bidi w:val="0"/>
        <w:adjustRightInd/>
        <w:snapToGrid/>
        <w:spacing w:line="62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《新晃侗族自治县集体土地与房屋征收补偿安置</w:t>
      </w:r>
      <w:r>
        <w:rPr>
          <w:rFonts w:hint="default" w:ascii="Times New Roman" w:hAnsi="Times New Roman" w:eastAsia="仿宋_GB2312" w:cs="Times New Roman"/>
          <w:sz w:val="32"/>
          <w:szCs w:val="32"/>
          <w:lang w:val="en-US" w:eastAsia="zh-CN"/>
        </w:rPr>
        <w:t>实施</w:t>
      </w:r>
      <w:r>
        <w:rPr>
          <w:rFonts w:hint="default" w:ascii="Times New Roman" w:hAnsi="Times New Roman" w:eastAsia="仿宋_GB2312" w:cs="Times New Roman"/>
          <w:sz w:val="32"/>
          <w:szCs w:val="32"/>
        </w:rPr>
        <w:t>细则》已经2026年9月20日第十八届县人民政府2026年第11次常务会议审议通过，现予印发。</w:t>
      </w:r>
    </w:p>
    <w:p w14:paraId="47540DB0">
      <w:pPr>
        <w:keepNext w:val="0"/>
        <w:keepLines w:val="0"/>
        <w:pageBreakBefore w:val="0"/>
        <w:widowControl w:val="0"/>
        <w:kinsoku/>
        <w:overflowPunct w:val="0"/>
        <w:topLinePunct w:val="0"/>
        <w:autoSpaceDE w:val="0"/>
        <w:autoSpaceDN/>
        <w:bidi w:val="0"/>
        <w:adjustRightInd/>
        <w:snapToGrid/>
        <w:spacing w:line="620" w:lineRule="exact"/>
        <w:ind w:firstLine="640" w:firstLineChars="200"/>
        <w:textAlignment w:val="auto"/>
        <w:rPr>
          <w:rFonts w:hint="default" w:ascii="Times New Roman" w:hAnsi="Times New Roman" w:eastAsia="仿宋_GB2312" w:cs="Times New Roman"/>
          <w:color w:val="auto"/>
          <w:sz w:val="32"/>
          <w:szCs w:val="32"/>
          <w:highlight w:val="none"/>
        </w:rPr>
      </w:pPr>
    </w:p>
    <w:p w14:paraId="33351E4E">
      <w:pPr>
        <w:keepNext w:val="0"/>
        <w:keepLines w:val="0"/>
        <w:pageBreakBefore w:val="0"/>
        <w:widowControl w:val="0"/>
        <w:kinsoku/>
        <w:wordWrap w:val="0"/>
        <w:overflowPunct w:val="0"/>
        <w:topLinePunct w:val="0"/>
        <w:autoSpaceDE w:val="0"/>
        <w:autoSpaceDN/>
        <w:bidi w:val="0"/>
        <w:adjustRightInd/>
        <w:snapToGrid/>
        <w:spacing w:line="620" w:lineRule="exact"/>
        <w:jc w:val="both"/>
        <w:textAlignment w:val="auto"/>
        <w:rPr>
          <w:rFonts w:hint="default" w:ascii="Times New Roman" w:hAnsi="Times New Roman" w:eastAsia="仿宋_GB2312" w:cs="Times New Roman"/>
          <w:color w:val="auto"/>
          <w:spacing w:val="-4"/>
          <w:sz w:val="32"/>
          <w:szCs w:val="32"/>
          <w:highlight w:val="none"/>
          <w:lang w:eastAsia="zh-CN"/>
        </w:rPr>
      </w:pPr>
    </w:p>
    <w:p w14:paraId="42EEB6F5">
      <w:pPr>
        <w:keepNext w:val="0"/>
        <w:keepLines w:val="0"/>
        <w:pageBreakBefore w:val="0"/>
        <w:widowControl w:val="0"/>
        <w:kinsoku/>
        <w:wordWrap w:val="0"/>
        <w:overflowPunct w:val="0"/>
        <w:topLinePunct w:val="0"/>
        <w:autoSpaceDE w:val="0"/>
        <w:autoSpaceDN/>
        <w:bidi w:val="0"/>
        <w:adjustRightInd/>
        <w:snapToGrid/>
        <w:spacing w:line="620" w:lineRule="exact"/>
        <w:ind w:left="3780" w:leftChars="0" w:firstLine="420" w:firstLineChars="0"/>
        <w:jc w:val="center"/>
        <w:textAlignment w:val="auto"/>
        <w:rPr>
          <w:rFonts w:hint="default" w:ascii="Times New Roman" w:hAnsi="Times New Roman" w:eastAsia="仿宋_GB2312" w:cs="Times New Roman"/>
          <w:color w:val="auto"/>
          <w:spacing w:val="-4"/>
          <w:sz w:val="32"/>
          <w:szCs w:val="32"/>
          <w:highlight w:val="none"/>
        </w:rPr>
      </w:pPr>
      <w:r>
        <w:rPr>
          <w:rFonts w:hint="default" w:ascii="Times New Roman" w:hAnsi="Times New Roman" w:eastAsia="仿宋_GB2312" w:cs="Times New Roman"/>
          <w:color w:val="auto"/>
          <w:spacing w:val="-4"/>
          <w:sz w:val="32"/>
          <w:szCs w:val="32"/>
          <w:highlight w:val="none"/>
          <w:lang w:eastAsia="zh-CN"/>
        </w:rPr>
        <w:t>新晃侗族自治县</w:t>
      </w:r>
      <w:r>
        <w:rPr>
          <w:rFonts w:hint="default" w:ascii="Times New Roman" w:hAnsi="Times New Roman" w:eastAsia="仿宋_GB2312" w:cs="Times New Roman"/>
          <w:color w:val="auto"/>
          <w:spacing w:val="-4"/>
          <w:sz w:val="32"/>
          <w:szCs w:val="32"/>
          <w:highlight w:val="none"/>
        </w:rPr>
        <w:t>人民政府</w:t>
      </w:r>
    </w:p>
    <w:p w14:paraId="3A267955">
      <w:pPr>
        <w:keepNext w:val="0"/>
        <w:keepLines w:val="0"/>
        <w:pageBreakBefore w:val="0"/>
        <w:widowControl w:val="0"/>
        <w:kinsoku/>
        <w:topLinePunct w:val="0"/>
        <w:autoSpaceDN/>
        <w:bidi w:val="0"/>
        <w:adjustRightInd/>
        <w:snapToGrid/>
        <w:spacing w:line="620" w:lineRule="exact"/>
        <w:ind w:left="3780" w:leftChars="0" w:firstLine="420" w:firstLineChars="0"/>
        <w:jc w:val="center"/>
        <w:textAlignment w:val="auto"/>
        <w:rPr>
          <w:rFonts w:ascii="Times New Roman" w:hAnsi="Times New Roman" w:cs="Times New Roman"/>
          <w:color w:val="auto"/>
          <w:highlight w:val="none"/>
        </w:rPr>
      </w:pPr>
      <w:r>
        <w:rPr>
          <w:rFonts w:hint="default" w:ascii="Times New Roman" w:hAnsi="Times New Roman" w:eastAsia="仿宋_GB2312" w:cs="Times New Roman"/>
          <w:color w:val="auto"/>
          <w:spacing w:val="-4"/>
          <w:sz w:val="32"/>
          <w:szCs w:val="32"/>
          <w:highlight w:val="none"/>
        </w:rPr>
        <w:t>2026年</w:t>
      </w:r>
      <w:r>
        <w:rPr>
          <w:rFonts w:hint="default" w:ascii="Times New Roman" w:hAnsi="Times New Roman" w:eastAsia="仿宋_GB2312" w:cs="Times New Roman"/>
          <w:color w:val="auto"/>
          <w:spacing w:val="-4"/>
          <w:sz w:val="32"/>
          <w:szCs w:val="32"/>
          <w:highlight w:val="none"/>
          <w:lang w:val="en-US" w:eastAsia="zh-CN"/>
        </w:rPr>
        <w:t>10</w:t>
      </w:r>
      <w:r>
        <w:rPr>
          <w:rFonts w:hint="default" w:ascii="Times New Roman" w:hAnsi="Times New Roman" w:eastAsia="仿宋_GB2312" w:cs="Times New Roman"/>
          <w:color w:val="auto"/>
          <w:spacing w:val="-4"/>
          <w:sz w:val="32"/>
          <w:szCs w:val="32"/>
          <w:highlight w:val="none"/>
        </w:rPr>
        <w:t>月</w:t>
      </w:r>
      <w:r>
        <w:rPr>
          <w:rFonts w:hint="default" w:ascii="Times New Roman" w:hAnsi="Times New Roman" w:eastAsia="仿宋_GB2312" w:cs="Times New Roman"/>
          <w:color w:val="auto"/>
          <w:spacing w:val="-4"/>
          <w:sz w:val="32"/>
          <w:szCs w:val="32"/>
          <w:highlight w:val="none"/>
          <w:lang w:val="en-US" w:eastAsia="zh-CN"/>
        </w:rPr>
        <w:t>10</w:t>
      </w:r>
      <w:r>
        <w:rPr>
          <w:rFonts w:hint="default" w:ascii="Times New Roman" w:hAnsi="Times New Roman" w:eastAsia="仿宋_GB2312" w:cs="Times New Roman"/>
          <w:color w:val="auto"/>
          <w:spacing w:val="-4"/>
          <w:sz w:val="32"/>
          <w:szCs w:val="32"/>
          <w:highlight w:val="none"/>
        </w:rPr>
        <w:t>日</w:t>
      </w:r>
    </w:p>
    <w:p w14:paraId="7349CF94">
      <w:pPr>
        <w:rPr>
          <w:rFonts w:ascii="Times New Roman" w:hAnsi="Times New Roman" w:cs="Times New Roman"/>
        </w:rPr>
      </w:pPr>
      <w:r>
        <w:rPr>
          <w:rFonts w:ascii="Times New Roman" w:hAnsi="Times New Roman" w:cs="Times New Roman"/>
        </w:rPr>
        <w:br w:type="page"/>
      </w:r>
    </w:p>
    <w:p w14:paraId="3B0FC078">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bCs/>
          <w:sz w:val="44"/>
          <w:szCs w:val="44"/>
        </w:rPr>
      </w:pPr>
      <w:r>
        <w:rPr>
          <w:rFonts w:hint="eastAsia" w:ascii="方正小标宋简体" w:hAnsi="方正小标宋简体" w:eastAsia="方正小标宋简体" w:cs="方正小标宋简体"/>
          <w:bCs/>
          <w:sz w:val="44"/>
          <w:szCs w:val="44"/>
        </w:rPr>
        <w:t>新</w:t>
      </w:r>
      <w:r>
        <w:rPr>
          <w:rFonts w:hint="default" w:ascii="Times New Roman" w:hAnsi="Times New Roman" w:eastAsia="方正小标宋简体" w:cs="Times New Roman"/>
          <w:bCs/>
          <w:sz w:val="44"/>
          <w:szCs w:val="44"/>
        </w:rPr>
        <w:t>晃侗族自治县集体土地与房屋征收补偿安置</w:t>
      </w:r>
      <w:r>
        <w:rPr>
          <w:rFonts w:hint="default" w:ascii="Times New Roman" w:hAnsi="Times New Roman" w:eastAsia="方正小标宋简体" w:cs="Times New Roman"/>
          <w:bCs/>
          <w:sz w:val="44"/>
          <w:szCs w:val="44"/>
          <w:lang w:val="en-US" w:eastAsia="zh-CN"/>
        </w:rPr>
        <w:t xml:space="preserve">实 施 </w:t>
      </w:r>
      <w:r>
        <w:rPr>
          <w:rFonts w:hint="default" w:ascii="Times New Roman" w:hAnsi="Times New Roman" w:eastAsia="方正小标宋简体" w:cs="Times New Roman"/>
          <w:bCs/>
          <w:sz w:val="44"/>
          <w:szCs w:val="44"/>
        </w:rPr>
        <w:t>细</w:t>
      </w:r>
      <w:r>
        <w:rPr>
          <w:rFonts w:hint="default" w:ascii="Times New Roman" w:hAnsi="Times New Roman" w:eastAsia="方正小标宋简体" w:cs="Times New Roman"/>
          <w:bCs/>
          <w:sz w:val="44"/>
          <w:szCs w:val="44"/>
          <w:lang w:val="en-US" w:eastAsia="zh-CN"/>
        </w:rPr>
        <w:t xml:space="preserve"> </w:t>
      </w:r>
      <w:r>
        <w:rPr>
          <w:rFonts w:hint="default" w:ascii="Times New Roman" w:hAnsi="Times New Roman" w:eastAsia="方正小标宋简体" w:cs="Times New Roman"/>
          <w:bCs/>
          <w:sz w:val="44"/>
          <w:szCs w:val="44"/>
        </w:rPr>
        <w:t>则</w:t>
      </w:r>
    </w:p>
    <w:p w14:paraId="141F9210">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国标仿宋" w:cs="Times New Roman"/>
          <w:bCs/>
          <w:sz w:val="44"/>
          <w:szCs w:val="44"/>
        </w:rPr>
      </w:pPr>
    </w:p>
    <w:p w14:paraId="1A6E3A9F">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国标仿宋" w:cs="Times New Roman"/>
          <w:b/>
          <w:bCs/>
          <w:sz w:val="32"/>
          <w:szCs w:val="32"/>
        </w:rPr>
      </w:pPr>
      <w:r>
        <w:rPr>
          <w:rFonts w:hint="default" w:ascii="Times New Roman" w:hAnsi="Times New Roman" w:eastAsia="黑体" w:cs="Times New Roman"/>
          <w:b w:val="0"/>
          <w:bCs w:val="0"/>
          <w:sz w:val="32"/>
          <w:szCs w:val="32"/>
        </w:rPr>
        <w:t>第一章  总则</w:t>
      </w:r>
    </w:p>
    <w:p w14:paraId="0FAF75BD">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sz w:val="32"/>
          <w:szCs w:val="32"/>
          <w:lang w:val="zh-CN"/>
        </w:rPr>
      </w:pPr>
      <w:r>
        <w:rPr>
          <w:rFonts w:hint="default" w:ascii="Times New Roman" w:hAnsi="Times New Roman" w:eastAsia="仿宋_GB2312" w:cs="Times New Roman"/>
          <w:b/>
          <w:bCs/>
          <w:sz w:val="32"/>
          <w:szCs w:val="32"/>
        </w:rPr>
        <w:t xml:space="preserve">第一条  </w:t>
      </w:r>
      <w:r>
        <w:rPr>
          <w:rFonts w:hint="default" w:ascii="Times New Roman" w:hAnsi="Times New Roman" w:eastAsia="仿宋_GB2312" w:cs="Times New Roman"/>
          <w:sz w:val="32"/>
          <w:szCs w:val="32"/>
          <w:lang w:val="zh-CN"/>
        </w:rPr>
        <w:t>为</w:t>
      </w:r>
      <w:r>
        <w:rPr>
          <w:rFonts w:hint="default" w:ascii="Times New Roman" w:hAnsi="Times New Roman" w:eastAsia="仿宋_GB2312" w:cs="Times New Roman"/>
          <w:sz w:val="32"/>
          <w:szCs w:val="32"/>
        </w:rPr>
        <w:t>规范新晃侗族自治县</w:t>
      </w:r>
      <w:r>
        <w:rPr>
          <w:rFonts w:hint="default" w:ascii="Times New Roman" w:hAnsi="Times New Roman" w:eastAsia="仿宋_GB2312" w:cs="Times New Roman"/>
          <w:sz w:val="32"/>
          <w:szCs w:val="32"/>
          <w:lang w:val="zh-CN"/>
        </w:rPr>
        <w:t>集体土地</w:t>
      </w:r>
      <w:r>
        <w:rPr>
          <w:rFonts w:hint="default" w:ascii="Times New Roman" w:hAnsi="Times New Roman" w:eastAsia="仿宋_GB2312" w:cs="Times New Roman"/>
          <w:sz w:val="32"/>
          <w:szCs w:val="32"/>
        </w:rPr>
        <w:t>与房屋</w:t>
      </w:r>
      <w:r>
        <w:rPr>
          <w:rFonts w:hint="default" w:ascii="Times New Roman" w:hAnsi="Times New Roman" w:eastAsia="仿宋_GB2312" w:cs="Times New Roman"/>
          <w:sz w:val="32"/>
          <w:szCs w:val="32"/>
          <w:lang w:val="zh-CN"/>
        </w:rPr>
        <w:t>征收</w:t>
      </w:r>
      <w:r>
        <w:rPr>
          <w:rFonts w:hint="default" w:ascii="Times New Roman" w:hAnsi="Times New Roman" w:eastAsia="仿宋_GB2312" w:cs="Times New Roman"/>
          <w:sz w:val="32"/>
          <w:szCs w:val="32"/>
        </w:rPr>
        <w:t>补偿</w:t>
      </w:r>
      <w:r>
        <w:rPr>
          <w:rFonts w:hint="default" w:ascii="Times New Roman" w:hAnsi="Times New Roman" w:eastAsia="仿宋_GB2312" w:cs="Times New Roman"/>
          <w:sz w:val="32"/>
          <w:szCs w:val="32"/>
          <w:lang w:val="zh-CN"/>
        </w:rPr>
        <w:t>安置</w:t>
      </w:r>
      <w:r>
        <w:rPr>
          <w:rFonts w:hint="default" w:ascii="Times New Roman" w:hAnsi="Times New Roman" w:eastAsia="仿宋_GB2312" w:cs="Times New Roman"/>
          <w:sz w:val="32"/>
          <w:szCs w:val="32"/>
        </w:rPr>
        <w:t>工作</w:t>
      </w:r>
      <w:r>
        <w:rPr>
          <w:rFonts w:hint="default" w:ascii="Times New Roman" w:hAnsi="Times New Roman" w:eastAsia="仿宋_GB2312" w:cs="Times New Roman"/>
          <w:sz w:val="32"/>
          <w:szCs w:val="32"/>
          <w:lang w:val="zh-CN"/>
        </w:rPr>
        <w:t>，</w:t>
      </w:r>
      <w:r>
        <w:rPr>
          <w:rFonts w:hint="default" w:ascii="Times New Roman" w:hAnsi="Times New Roman" w:eastAsia="仿宋_GB2312" w:cs="Times New Roman"/>
          <w:sz w:val="32"/>
          <w:szCs w:val="32"/>
        </w:rPr>
        <w:t>维护被征收人的合法权益，根据</w:t>
      </w:r>
      <w:r>
        <w:rPr>
          <w:rFonts w:hint="default" w:ascii="Times New Roman" w:hAnsi="Times New Roman" w:eastAsia="仿宋_GB2312" w:cs="Times New Roman"/>
          <w:sz w:val="32"/>
          <w:szCs w:val="32"/>
          <w:lang w:val="zh-CN"/>
        </w:rPr>
        <w:t>《中华人民共和国土地管理法》《中华人民共和国土地管理法实施条例》《湖南省实施</w:t>
      </w:r>
      <w:r>
        <w:rPr>
          <w:rFonts w:hint="default" w:ascii="Times New Roman" w:hAnsi="Times New Roman" w:eastAsia="仿宋_GB2312" w:cs="Times New Roman"/>
          <w:spacing w:val="-6"/>
          <w:sz w:val="32"/>
          <w:szCs w:val="32"/>
        </w:rPr>
        <w:t>〈</w:t>
      </w:r>
      <w:r>
        <w:rPr>
          <w:rFonts w:hint="default" w:ascii="Times New Roman" w:hAnsi="Times New Roman" w:eastAsia="仿宋_GB2312" w:cs="Times New Roman"/>
          <w:sz w:val="32"/>
          <w:szCs w:val="32"/>
        </w:rPr>
        <w:t>中华人民共和国土地管理法</w:t>
      </w:r>
      <w:r>
        <w:rPr>
          <w:rFonts w:hint="default" w:ascii="Times New Roman" w:hAnsi="Times New Roman" w:eastAsia="仿宋_GB2312" w:cs="Times New Roman"/>
          <w:spacing w:val="-6"/>
          <w:sz w:val="32"/>
          <w:szCs w:val="32"/>
        </w:rPr>
        <w:t>〉</w:t>
      </w:r>
      <w:r>
        <w:rPr>
          <w:rFonts w:hint="default" w:ascii="Times New Roman" w:hAnsi="Times New Roman" w:eastAsia="仿宋_GB2312" w:cs="Times New Roman"/>
          <w:sz w:val="32"/>
          <w:szCs w:val="32"/>
        </w:rPr>
        <w:t>办法</w:t>
      </w:r>
      <w:r>
        <w:rPr>
          <w:rFonts w:hint="default" w:ascii="Times New Roman" w:hAnsi="Times New Roman" w:eastAsia="仿宋_GB2312" w:cs="Times New Roman"/>
          <w:sz w:val="32"/>
          <w:szCs w:val="32"/>
          <w:lang w:val="zh-CN"/>
        </w:rPr>
        <w:t>》《怀化市集体土地与房屋征收补偿安置办法》（</w:t>
      </w:r>
      <w:r>
        <w:rPr>
          <w:rFonts w:hint="default" w:ascii="Times New Roman" w:hAnsi="Times New Roman" w:eastAsia="仿宋_GB2312" w:cs="Times New Roman"/>
          <w:sz w:val="32"/>
          <w:szCs w:val="32"/>
          <w:vertAlign w:val="baseline"/>
          <w:lang w:val="en-US" w:eastAsia="zh-CN"/>
        </w:rPr>
        <w:t>怀政发〔2022〕6号）</w:t>
      </w:r>
      <w:r>
        <w:rPr>
          <w:rFonts w:hint="default" w:ascii="Times New Roman" w:hAnsi="Times New Roman" w:eastAsia="仿宋_GB2312" w:cs="Times New Roman"/>
          <w:sz w:val="32"/>
          <w:szCs w:val="32"/>
          <w:lang w:val="zh-CN"/>
        </w:rPr>
        <w:t>等有关规定，</w:t>
      </w:r>
      <w:r>
        <w:rPr>
          <w:rFonts w:hint="default" w:ascii="Times New Roman" w:hAnsi="Times New Roman" w:eastAsia="仿宋_GB2312" w:cs="Times New Roman"/>
          <w:sz w:val="32"/>
          <w:szCs w:val="32"/>
        </w:rPr>
        <w:t>结合</w:t>
      </w:r>
      <w:r>
        <w:rPr>
          <w:rFonts w:hint="default" w:ascii="Times New Roman" w:hAnsi="Times New Roman" w:eastAsia="仿宋_GB2312" w:cs="Times New Roman"/>
          <w:sz w:val="32"/>
          <w:szCs w:val="32"/>
          <w:lang w:val="en-US" w:eastAsia="zh-CN"/>
        </w:rPr>
        <w:t>我</w:t>
      </w:r>
      <w:r>
        <w:rPr>
          <w:rFonts w:hint="default" w:ascii="Times New Roman" w:hAnsi="Times New Roman" w:eastAsia="仿宋_GB2312" w:cs="Times New Roman"/>
          <w:sz w:val="32"/>
          <w:szCs w:val="32"/>
        </w:rPr>
        <w:t>县实际，</w:t>
      </w:r>
      <w:r>
        <w:rPr>
          <w:rFonts w:hint="default" w:ascii="Times New Roman" w:hAnsi="Times New Roman" w:eastAsia="仿宋_GB2312" w:cs="Times New Roman"/>
          <w:sz w:val="32"/>
          <w:szCs w:val="32"/>
          <w:lang w:val="zh-CN"/>
        </w:rPr>
        <w:t>制定本实施细则。</w:t>
      </w:r>
    </w:p>
    <w:p w14:paraId="15E57030">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 xml:space="preserve">第二条 </w:t>
      </w:r>
      <w:r>
        <w:rPr>
          <w:rFonts w:hint="default" w:ascii="Times New Roman" w:hAnsi="Times New Roman" w:eastAsia="仿宋_GB2312" w:cs="Times New Roman"/>
          <w:sz w:val="32"/>
          <w:szCs w:val="32"/>
        </w:rPr>
        <w:t xml:space="preserve"> 本县行政区域内征收集体土地与房屋的</w:t>
      </w:r>
      <w:r>
        <w:rPr>
          <w:rFonts w:hint="default" w:ascii="Times New Roman" w:hAnsi="Times New Roman" w:eastAsia="仿宋_GB2312" w:cs="Times New Roman"/>
          <w:sz w:val="32"/>
          <w:szCs w:val="32"/>
          <w:lang w:eastAsia="zh-CN"/>
        </w:rPr>
        <w:t>补偿</w:t>
      </w:r>
      <w:r>
        <w:rPr>
          <w:rFonts w:hint="default" w:ascii="Times New Roman" w:hAnsi="Times New Roman" w:eastAsia="仿宋_GB2312" w:cs="Times New Roman"/>
          <w:sz w:val="32"/>
          <w:szCs w:val="32"/>
        </w:rPr>
        <w:t>安置，适用本细则。</w:t>
      </w:r>
    </w:p>
    <w:p w14:paraId="66574F28">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因非农建设需要使用国有农林牧渔场等土地的，参照本细则规定的补偿标准执行。</w:t>
      </w:r>
    </w:p>
    <w:p w14:paraId="73B31674">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sz w:val="32"/>
          <w:szCs w:val="32"/>
          <w:lang w:val="zh-CN"/>
        </w:rPr>
      </w:pPr>
      <w:r>
        <w:rPr>
          <w:rFonts w:hint="default" w:ascii="Times New Roman" w:hAnsi="Times New Roman" w:eastAsia="仿宋_GB2312" w:cs="Times New Roman"/>
          <w:b/>
          <w:bCs/>
          <w:sz w:val="32"/>
          <w:szCs w:val="32"/>
        </w:rPr>
        <w:t xml:space="preserve">第三条 </w:t>
      </w:r>
      <w:r>
        <w:rPr>
          <w:rFonts w:hint="default" w:ascii="Times New Roman" w:hAnsi="Times New Roman" w:eastAsia="仿宋_GB2312" w:cs="Times New Roman"/>
          <w:sz w:val="32"/>
          <w:szCs w:val="32"/>
        </w:rPr>
        <w:t xml:space="preserve"> 集体土地与房屋征收补偿安置应当</w:t>
      </w:r>
      <w:r>
        <w:rPr>
          <w:rFonts w:hint="default" w:ascii="Times New Roman" w:hAnsi="Times New Roman" w:eastAsia="仿宋_GB2312" w:cs="Times New Roman"/>
          <w:sz w:val="32"/>
          <w:szCs w:val="32"/>
          <w:lang w:val="zh-CN"/>
        </w:rPr>
        <w:t>遵循合法、公平、公正、公开的原则。</w:t>
      </w:r>
    </w:p>
    <w:p w14:paraId="7964156A">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 xml:space="preserve">第四条  </w:t>
      </w:r>
      <w:r>
        <w:rPr>
          <w:rFonts w:hint="default" w:ascii="Times New Roman" w:hAnsi="Times New Roman" w:eastAsia="仿宋_GB2312" w:cs="Times New Roman"/>
          <w:sz w:val="32"/>
          <w:szCs w:val="32"/>
        </w:rPr>
        <w:t>县人民政府负责本行政区域</w:t>
      </w:r>
      <w:r>
        <w:rPr>
          <w:rFonts w:hint="default" w:ascii="Times New Roman" w:hAnsi="Times New Roman" w:eastAsia="仿宋_GB2312" w:cs="Times New Roman"/>
          <w:sz w:val="32"/>
          <w:szCs w:val="32"/>
          <w:lang w:eastAsia="zh-CN"/>
        </w:rPr>
        <w:t>内集体土地与房屋</w:t>
      </w:r>
      <w:r>
        <w:rPr>
          <w:rFonts w:hint="default" w:ascii="Times New Roman" w:hAnsi="Times New Roman" w:eastAsia="仿宋_GB2312" w:cs="Times New Roman"/>
          <w:sz w:val="32"/>
          <w:szCs w:val="32"/>
        </w:rPr>
        <w:t>征收补偿安置工作。</w:t>
      </w:r>
      <w:r>
        <w:rPr>
          <w:rFonts w:hint="default" w:ascii="Times New Roman" w:hAnsi="Times New Roman" w:eastAsia="仿宋_GB2312" w:cs="Times New Roman"/>
          <w:sz w:val="32"/>
          <w:szCs w:val="32"/>
          <w:lang w:eastAsia="zh-CN"/>
        </w:rPr>
        <w:t>县自然资源局为县集体土地与房屋征收部门；</w:t>
      </w:r>
      <w:r>
        <w:rPr>
          <w:rFonts w:hint="default" w:ascii="Times New Roman" w:hAnsi="Times New Roman" w:eastAsia="仿宋_GB2312" w:cs="Times New Roman"/>
          <w:sz w:val="32"/>
          <w:szCs w:val="32"/>
        </w:rPr>
        <w:t>县征收安置事务中心</w:t>
      </w:r>
      <w:r>
        <w:rPr>
          <w:rFonts w:hint="default" w:ascii="Times New Roman" w:hAnsi="Times New Roman" w:eastAsia="仿宋_GB2312" w:cs="Times New Roman"/>
          <w:sz w:val="32"/>
          <w:szCs w:val="32"/>
          <w:lang w:eastAsia="zh-CN"/>
        </w:rPr>
        <w:t>作为土地征收实施机构，</w:t>
      </w:r>
      <w:r>
        <w:rPr>
          <w:rFonts w:hint="default" w:ascii="Times New Roman" w:hAnsi="Times New Roman" w:eastAsia="仿宋_GB2312" w:cs="Times New Roman"/>
          <w:sz w:val="32"/>
          <w:szCs w:val="32"/>
        </w:rPr>
        <w:t>具体负责做好征收补偿安置</w:t>
      </w:r>
      <w:r>
        <w:rPr>
          <w:rFonts w:hint="default" w:ascii="Times New Roman" w:hAnsi="Times New Roman" w:eastAsia="仿宋_GB2312" w:cs="Times New Roman"/>
          <w:sz w:val="32"/>
          <w:szCs w:val="32"/>
          <w:lang w:eastAsia="zh-CN"/>
        </w:rPr>
        <w:t>相关</w:t>
      </w:r>
      <w:r>
        <w:rPr>
          <w:rFonts w:hint="default" w:ascii="Times New Roman" w:hAnsi="Times New Roman" w:eastAsia="仿宋_GB2312" w:cs="Times New Roman"/>
          <w:sz w:val="32"/>
          <w:szCs w:val="32"/>
        </w:rPr>
        <w:t>工作。</w:t>
      </w:r>
    </w:p>
    <w:p w14:paraId="781CC79E">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rPr>
        <w:t>县</w:t>
      </w:r>
      <w:r>
        <w:rPr>
          <w:rFonts w:hint="default" w:ascii="Times New Roman" w:hAnsi="Times New Roman" w:eastAsia="仿宋_GB2312" w:cs="Times New Roman"/>
          <w:sz w:val="32"/>
          <w:szCs w:val="32"/>
          <w:lang w:val="zh-CN"/>
        </w:rPr>
        <w:t>发展</w:t>
      </w:r>
      <w:r>
        <w:rPr>
          <w:rFonts w:hint="default" w:ascii="Times New Roman" w:hAnsi="Times New Roman" w:eastAsia="仿宋_GB2312" w:cs="Times New Roman"/>
          <w:sz w:val="32"/>
          <w:szCs w:val="32"/>
        </w:rPr>
        <w:t>和</w:t>
      </w:r>
      <w:r>
        <w:rPr>
          <w:rFonts w:hint="default" w:ascii="Times New Roman" w:hAnsi="Times New Roman" w:eastAsia="仿宋_GB2312" w:cs="Times New Roman"/>
          <w:sz w:val="32"/>
          <w:szCs w:val="32"/>
          <w:lang w:val="zh-CN"/>
        </w:rPr>
        <w:t>改革、财政、司法、</w:t>
      </w:r>
      <w:r>
        <w:rPr>
          <w:rFonts w:hint="default" w:ascii="Times New Roman" w:hAnsi="Times New Roman" w:eastAsia="仿宋_GB2312" w:cs="Times New Roman"/>
          <w:sz w:val="32"/>
          <w:szCs w:val="32"/>
        </w:rPr>
        <w:t>农业农村、民政、</w:t>
      </w:r>
      <w:r>
        <w:rPr>
          <w:rFonts w:hint="default" w:ascii="Times New Roman" w:hAnsi="Times New Roman" w:eastAsia="仿宋_GB2312" w:cs="Times New Roman"/>
          <w:sz w:val="32"/>
          <w:szCs w:val="32"/>
          <w:lang w:val="zh-CN"/>
        </w:rPr>
        <w:t>人力资源和社会保障、住房和城乡建设、</w:t>
      </w:r>
      <w:r>
        <w:rPr>
          <w:rFonts w:hint="default" w:ascii="Times New Roman" w:hAnsi="Times New Roman" w:eastAsia="仿宋_GB2312" w:cs="Times New Roman"/>
          <w:sz w:val="32"/>
          <w:szCs w:val="32"/>
        </w:rPr>
        <w:t>城市管理和综合执法、</w:t>
      </w:r>
      <w:r>
        <w:rPr>
          <w:rFonts w:hint="default" w:ascii="Times New Roman" w:hAnsi="Times New Roman" w:eastAsia="仿宋_GB2312" w:cs="Times New Roman"/>
          <w:sz w:val="32"/>
          <w:szCs w:val="32"/>
          <w:lang w:val="zh-CN"/>
        </w:rPr>
        <w:t>公安、</w:t>
      </w:r>
      <w:r>
        <w:rPr>
          <w:rFonts w:hint="default" w:ascii="Times New Roman" w:hAnsi="Times New Roman" w:eastAsia="仿宋_GB2312" w:cs="Times New Roman"/>
          <w:sz w:val="32"/>
          <w:szCs w:val="32"/>
        </w:rPr>
        <w:t>市场监督管理、</w:t>
      </w:r>
      <w:r>
        <w:rPr>
          <w:rFonts w:hint="default" w:ascii="Times New Roman" w:hAnsi="Times New Roman" w:eastAsia="仿宋_GB2312" w:cs="Times New Roman"/>
          <w:sz w:val="32"/>
          <w:szCs w:val="32"/>
          <w:lang w:val="zh-CN"/>
        </w:rPr>
        <w:t>统计、税务、审计、林业等</w:t>
      </w:r>
      <w:r>
        <w:rPr>
          <w:rFonts w:hint="default" w:ascii="Times New Roman" w:hAnsi="Times New Roman" w:eastAsia="仿宋_GB2312" w:cs="Times New Roman"/>
          <w:sz w:val="32"/>
          <w:szCs w:val="32"/>
        </w:rPr>
        <w:t>有关</w:t>
      </w:r>
      <w:r>
        <w:rPr>
          <w:rFonts w:hint="default" w:ascii="Times New Roman" w:hAnsi="Times New Roman" w:eastAsia="仿宋_GB2312" w:cs="Times New Roman"/>
          <w:sz w:val="32"/>
          <w:szCs w:val="32"/>
          <w:lang w:val="zh-CN"/>
        </w:rPr>
        <w:t>单位</w:t>
      </w:r>
      <w:r>
        <w:rPr>
          <w:rFonts w:hint="default" w:ascii="Times New Roman" w:hAnsi="Times New Roman" w:eastAsia="仿宋_GB2312" w:cs="Times New Roman"/>
          <w:sz w:val="32"/>
          <w:szCs w:val="32"/>
          <w:lang w:val="en-US" w:eastAsia="zh-CN"/>
        </w:rPr>
        <w:t>及各</w:t>
      </w:r>
      <w:r>
        <w:rPr>
          <w:rFonts w:hint="default" w:ascii="Times New Roman" w:hAnsi="Times New Roman" w:eastAsia="仿宋_GB2312" w:cs="Times New Roman"/>
          <w:sz w:val="32"/>
          <w:szCs w:val="32"/>
        </w:rPr>
        <w:t>乡镇人民政府</w:t>
      </w:r>
      <w:r>
        <w:rPr>
          <w:rFonts w:hint="default" w:ascii="Times New Roman" w:hAnsi="Times New Roman" w:eastAsia="仿宋_GB2312" w:cs="Times New Roman"/>
          <w:sz w:val="32"/>
          <w:szCs w:val="32"/>
          <w:lang w:val="zh-CN"/>
        </w:rPr>
        <w:t>应当按照各自职责做好集体土地与房屋</w:t>
      </w:r>
      <w:r>
        <w:rPr>
          <w:rFonts w:hint="default" w:ascii="Times New Roman" w:hAnsi="Times New Roman" w:eastAsia="仿宋_GB2312" w:cs="Times New Roman"/>
          <w:sz w:val="32"/>
          <w:szCs w:val="32"/>
        </w:rPr>
        <w:t>征收补偿安置相关</w:t>
      </w:r>
      <w:r>
        <w:rPr>
          <w:rFonts w:hint="default" w:ascii="Times New Roman" w:hAnsi="Times New Roman" w:eastAsia="仿宋_GB2312" w:cs="Times New Roman"/>
          <w:sz w:val="32"/>
          <w:szCs w:val="32"/>
          <w:lang w:val="zh-CN"/>
        </w:rPr>
        <w:t>工作。</w:t>
      </w:r>
    </w:p>
    <w:p w14:paraId="55E442A9">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sz w:val="32"/>
          <w:szCs w:val="32"/>
          <w:lang w:val="zh-CN"/>
        </w:rPr>
      </w:pPr>
    </w:p>
    <w:p w14:paraId="6867F07A">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国标仿宋" w:cs="Times New Roman"/>
          <w:b/>
          <w:bCs/>
          <w:sz w:val="32"/>
          <w:szCs w:val="32"/>
        </w:rPr>
      </w:pPr>
      <w:r>
        <w:rPr>
          <w:rFonts w:hint="default" w:ascii="Times New Roman" w:hAnsi="Times New Roman" w:eastAsia="黑体" w:cs="Times New Roman"/>
          <w:b w:val="0"/>
          <w:bCs w:val="0"/>
          <w:sz w:val="32"/>
          <w:szCs w:val="32"/>
        </w:rPr>
        <w:t>第二章  征收程序</w:t>
      </w:r>
    </w:p>
    <w:p w14:paraId="0C01FE64">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color w:val="auto"/>
          <w:sz w:val="32"/>
          <w:szCs w:val="32"/>
          <w:u w:val="none"/>
          <w:lang w:val="zh-CN"/>
        </w:rPr>
      </w:pPr>
      <w:r>
        <w:rPr>
          <w:rFonts w:hint="default" w:ascii="Times New Roman" w:hAnsi="Times New Roman" w:eastAsia="仿宋_GB2312" w:cs="Times New Roman"/>
          <w:b/>
          <w:bCs/>
          <w:color w:val="auto"/>
          <w:sz w:val="32"/>
          <w:szCs w:val="32"/>
          <w:u w:val="none"/>
        </w:rPr>
        <w:t>第五条</w:t>
      </w:r>
      <w:r>
        <w:rPr>
          <w:rFonts w:hint="default" w:ascii="Times New Roman" w:hAnsi="Times New Roman" w:eastAsia="仿宋_GB2312" w:cs="Times New Roman"/>
          <w:b/>
          <w:bCs/>
          <w:sz w:val="32"/>
          <w:szCs w:val="32"/>
        </w:rPr>
        <w:t xml:space="preserve"> </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color w:val="auto"/>
          <w:sz w:val="32"/>
          <w:szCs w:val="32"/>
          <w:u w:val="none"/>
        </w:rPr>
        <w:t>县人民政府将征收土地方案依法报有批准权的人民政府批准前，</w:t>
      </w:r>
      <w:r>
        <w:rPr>
          <w:rFonts w:hint="default" w:ascii="Times New Roman" w:hAnsi="Times New Roman" w:eastAsia="仿宋_GB2312" w:cs="Times New Roman"/>
          <w:color w:val="auto"/>
          <w:sz w:val="32"/>
          <w:szCs w:val="32"/>
          <w:u w:val="none"/>
          <w:lang w:val="en-US" w:eastAsia="zh-CN"/>
        </w:rPr>
        <w:t>应</w:t>
      </w:r>
      <w:r>
        <w:rPr>
          <w:rFonts w:hint="default" w:ascii="Times New Roman" w:hAnsi="Times New Roman" w:eastAsia="仿宋_GB2312" w:cs="Times New Roman"/>
          <w:color w:val="auto"/>
          <w:sz w:val="32"/>
          <w:szCs w:val="32"/>
          <w:u w:val="none"/>
          <w:lang w:eastAsia="zh-CN"/>
        </w:rPr>
        <w:t>依法</w:t>
      </w:r>
      <w:r>
        <w:rPr>
          <w:rFonts w:hint="default" w:ascii="Times New Roman" w:hAnsi="Times New Roman" w:eastAsia="仿宋_GB2312" w:cs="Times New Roman"/>
          <w:color w:val="auto"/>
          <w:sz w:val="32"/>
          <w:szCs w:val="32"/>
          <w:u w:val="none"/>
          <w:lang w:val="zh-CN"/>
        </w:rPr>
        <w:t>发布征收土地预公告，并开展拟征收土地现状调查和社会稳定风险评估。</w:t>
      </w:r>
    </w:p>
    <w:p w14:paraId="710D2DF3">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color w:val="auto"/>
          <w:sz w:val="32"/>
          <w:szCs w:val="32"/>
          <w:u w:val="none"/>
          <w:lang w:val="zh-CN"/>
        </w:rPr>
      </w:pPr>
      <w:r>
        <w:rPr>
          <w:rFonts w:hint="default" w:ascii="Times New Roman" w:hAnsi="Times New Roman" w:eastAsia="仿宋_GB2312" w:cs="Times New Roman"/>
          <w:b/>
          <w:bCs/>
          <w:color w:val="auto"/>
          <w:sz w:val="32"/>
          <w:szCs w:val="32"/>
          <w:u w:val="none"/>
        </w:rPr>
        <w:t>第六条</w:t>
      </w:r>
      <w:r>
        <w:rPr>
          <w:rFonts w:hint="default" w:ascii="Times New Roman" w:hAnsi="Times New Roman" w:eastAsia="仿宋_GB2312" w:cs="Times New Roman"/>
          <w:b/>
          <w:bCs/>
          <w:sz w:val="32"/>
          <w:szCs w:val="32"/>
        </w:rPr>
        <w:t xml:space="preserve"> </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color w:val="auto"/>
          <w:sz w:val="32"/>
          <w:szCs w:val="32"/>
          <w:u w:val="none"/>
          <w:lang w:val="zh-CN"/>
        </w:rPr>
        <w:t>征收土地预公告应当包括征收范围（</w:t>
      </w:r>
      <w:r>
        <w:rPr>
          <w:rFonts w:hint="default" w:ascii="Times New Roman" w:hAnsi="Times New Roman" w:eastAsia="仿宋_GB2312" w:cs="Times New Roman"/>
          <w:color w:val="auto"/>
          <w:sz w:val="32"/>
          <w:szCs w:val="32"/>
          <w:u w:val="none"/>
        </w:rPr>
        <w:t>附图并张贴</w:t>
      </w:r>
      <w:r>
        <w:rPr>
          <w:rFonts w:hint="default" w:ascii="Times New Roman" w:hAnsi="Times New Roman" w:eastAsia="仿宋_GB2312" w:cs="Times New Roman"/>
          <w:color w:val="auto"/>
          <w:sz w:val="32"/>
          <w:szCs w:val="32"/>
          <w:u w:val="none"/>
          <w:lang w:val="zh-CN"/>
        </w:rPr>
        <w:t>）、征收目的、开展土地现状调查的安排等内容，征收土地预公告应当采用有利于社会公众知晓的方式，在拟征收土地所在的乡镇人民政府</w:t>
      </w:r>
      <w:r>
        <w:rPr>
          <w:rFonts w:hint="default" w:ascii="Times New Roman" w:hAnsi="Times New Roman" w:eastAsia="仿宋_GB2312" w:cs="Times New Roman"/>
          <w:color w:val="auto"/>
          <w:sz w:val="32"/>
          <w:szCs w:val="32"/>
          <w:u w:val="none"/>
        </w:rPr>
        <w:t>政务公开栏</w:t>
      </w:r>
      <w:r>
        <w:rPr>
          <w:rFonts w:hint="default" w:ascii="Times New Roman" w:hAnsi="Times New Roman" w:eastAsia="仿宋_GB2312" w:cs="Times New Roman"/>
          <w:color w:val="auto"/>
          <w:sz w:val="32"/>
          <w:szCs w:val="32"/>
          <w:u w:val="none"/>
          <w:lang w:val="zh-CN"/>
        </w:rPr>
        <w:t>和村（</w:t>
      </w:r>
      <w:r>
        <w:rPr>
          <w:rFonts w:hint="default" w:ascii="Times New Roman" w:hAnsi="Times New Roman" w:eastAsia="仿宋_GB2312" w:cs="Times New Roman"/>
          <w:color w:val="auto"/>
          <w:sz w:val="32"/>
          <w:szCs w:val="32"/>
          <w:u w:val="none"/>
        </w:rPr>
        <w:t>社区）公务公开栏及</w:t>
      </w:r>
      <w:r>
        <w:rPr>
          <w:rFonts w:hint="default" w:ascii="Times New Roman" w:hAnsi="Times New Roman" w:eastAsia="仿宋_GB2312" w:cs="Times New Roman"/>
          <w:color w:val="auto"/>
          <w:sz w:val="32"/>
          <w:szCs w:val="32"/>
          <w:u w:val="none"/>
          <w:lang w:val="zh-CN"/>
        </w:rPr>
        <w:t>村民小组范围内</w:t>
      </w:r>
      <w:r>
        <w:rPr>
          <w:rFonts w:hint="default" w:ascii="Times New Roman" w:hAnsi="Times New Roman" w:eastAsia="仿宋_GB2312" w:cs="Times New Roman"/>
          <w:color w:val="auto"/>
          <w:sz w:val="32"/>
          <w:szCs w:val="32"/>
          <w:u w:val="none"/>
        </w:rPr>
        <w:t>显著位置公开。</w:t>
      </w:r>
      <w:r>
        <w:rPr>
          <w:rFonts w:hint="default" w:ascii="Times New Roman" w:hAnsi="Times New Roman" w:eastAsia="仿宋_GB2312" w:cs="Times New Roman"/>
          <w:color w:val="auto"/>
          <w:sz w:val="32"/>
          <w:szCs w:val="32"/>
          <w:u w:val="none"/>
          <w:lang w:val="zh-CN"/>
        </w:rPr>
        <w:t>预公告时间不少于</w:t>
      </w:r>
      <w:r>
        <w:rPr>
          <w:rFonts w:hint="default" w:ascii="Times New Roman" w:hAnsi="Times New Roman" w:eastAsia="仿宋_GB2312" w:cs="Times New Roman"/>
          <w:sz w:val="32"/>
          <w:szCs w:val="32"/>
          <w:vertAlign w:val="baseline"/>
          <w:lang w:val="zh-CN" w:eastAsia="zh-CN"/>
        </w:rPr>
        <w:t>10</w:t>
      </w:r>
      <w:r>
        <w:rPr>
          <w:rFonts w:hint="default" w:ascii="Times New Roman" w:hAnsi="Times New Roman" w:eastAsia="仿宋_GB2312" w:cs="Times New Roman"/>
          <w:color w:val="auto"/>
          <w:sz w:val="32"/>
          <w:szCs w:val="32"/>
          <w:u w:val="none"/>
          <w:lang w:val="zh-CN"/>
        </w:rPr>
        <w:t>个工作日。</w:t>
      </w:r>
    </w:p>
    <w:p w14:paraId="1BDCB207">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u w:val="none"/>
          <w:lang w:val="zh-CN"/>
        </w:rPr>
      </w:pPr>
      <w:r>
        <w:rPr>
          <w:rFonts w:hint="default" w:ascii="Times New Roman" w:hAnsi="Times New Roman" w:eastAsia="仿宋_GB2312" w:cs="Times New Roman"/>
          <w:color w:val="auto"/>
          <w:sz w:val="32"/>
          <w:szCs w:val="32"/>
          <w:u w:val="none"/>
        </w:rPr>
        <w:t>征收土地预公告张贴发布由征收实施机构负责，</w:t>
      </w:r>
      <w:r>
        <w:rPr>
          <w:rFonts w:hint="default" w:ascii="Times New Roman" w:hAnsi="Times New Roman" w:eastAsia="仿宋_GB2312" w:cs="Times New Roman"/>
          <w:color w:val="auto"/>
          <w:sz w:val="32"/>
          <w:szCs w:val="32"/>
          <w:u w:val="none"/>
          <w:lang w:val="zh-CN"/>
        </w:rPr>
        <w:t>应当于张贴当日</w:t>
      </w:r>
      <w:r>
        <w:rPr>
          <w:rFonts w:hint="default" w:ascii="Times New Roman" w:hAnsi="Times New Roman" w:eastAsia="仿宋_GB2312" w:cs="Times New Roman"/>
          <w:color w:val="auto"/>
          <w:sz w:val="32"/>
          <w:szCs w:val="32"/>
          <w:u w:val="none"/>
        </w:rPr>
        <w:t>对</w:t>
      </w:r>
      <w:r>
        <w:rPr>
          <w:rFonts w:hint="default" w:ascii="Times New Roman" w:hAnsi="Times New Roman" w:eastAsia="仿宋_GB2312" w:cs="Times New Roman"/>
          <w:color w:val="auto"/>
          <w:sz w:val="32"/>
          <w:szCs w:val="32"/>
          <w:u w:val="none"/>
          <w:lang w:val="zh-CN"/>
        </w:rPr>
        <w:t>张贴情况</w:t>
      </w:r>
      <w:r>
        <w:rPr>
          <w:rFonts w:hint="default" w:ascii="Times New Roman" w:hAnsi="Times New Roman" w:eastAsia="仿宋_GB2312" w:cs="Times New Roman"/>
          <w:color w:val="auto"/>
          <w:sz w:val="32"/>
          <w:szCs w:val="32"/>
          <w:u w:val="none"/>
        </w:rPr>
        <w:t>采取</w:t>
      </w:r>
      <w:r>
        <w:rPr>
          <w:rFonts w:hint="eastAsia" w:ascii="Times New Roman" w:hAnsi="Times New Roman" w:eastAsia="仿宋_GB2312" w:cs="Times New Roman"/>
          <w:color w:val="auto"/>
          <w:sz w:val="32"/>
          <w:szCs w:val="32"/>
          <w:u w:val="none"/>
          <w:lang w:eastAsia="zh-CN"/>
        </w:rPr>
        <w:t>录</w:t>
      </w:r>
      <w:r>
        <w:rPr>
          <w:rFonts w:hint="default" w:ascii="Times New Roman" w:hAnsi="Times New Roman" w:eastAsia="仿宋_GB2312" w:cs="Times New Roman"/>
          <w:color w:val="auto"/>
          <w:sz w:val="32"/>
          <w:szCs w:val="32"/>
          <w:u w:val="none"/>
        </w:rPr>
        <w:t>影</w:t>
      </w:r>
      <w:r>
        <w:rPr>
          <w:rFonts w:hint="default" w:ascii="Times New Roman" w:hAnsi="Times New Roman" w:eastAsia="仿宋_GB2312" w:cs="Times New Roman"/>
          <w:color w:val="auto"/>
          <w:sz w:val="32"/>
          <w:szCs w:val="32"/>
          <w:u w:val="none"/>
          <w:lang w:val="zh-CN"/>
        </w:rPr>
        <w:t>、</w:t>
      </w:r>
      <w:r>
        <w:rPr>
          <w:rFonts w:hint="eastAsia" w:ascii="Times New Roman" w:hAnsi="Times New Roman" w:eastAsia="仿宋_GB2312" w:cs="Times New Roman"/>
          <w:color w:val="auto"/>
          <w:sz w:val="32"/>
          <w:szCs w:val="32"/>
          <w:u w:val="none"/>
          <w:lang w:eastAsia="zh-CN"/>
        </w:rPr>
        <w:t>拍照</w:t>
      </w:r>
      <w:r>
        <w:rPr>
          <w:rFonts w:hint="default" w:ascii="Times New Roman" w:hAnsi="Times New Roman" w:eastAsia="仿宋_GB2312" w:cs="Times New Roman"/>
          <w:color w:val="auto"/>
          <w:sz w:val="32"/>
          <w:szCs w:val="32"/>
          <w:u w:val="none"/>
        </w:rPr>
        <w:t>等方式固定相关证据</w:t>
      </w:r>
      <w:r>
        <w:rPr>
          <w:rFonts w:hint="default" w:ascii="Times New Roman" w:hAnsi="Times New Roman" w:eastAsia="仿宋_GB2312" w:cs="Times New Roman"/>
          <w:color w:val="auto"/>
          <w:sz w:val="32"/>
          <w:szCs w:val="32"/>
          <w:u w:val="none"/>
          <w:lang w:val="zh-CN"/>
        </w:rPr>
        <w:t>。</w:t>
      </w:r>
    </w:p>
    <w:p w14:paraId="43FADC5E">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color w:val="auto"/>
          <w:sz w:val="32"/>
          <w:szCs w:val="32"/>
          <w:u w:val="none"/>
          <w:lang w:val="zh-CN"/>
        </w:rPr>
      </w:pPr>
      <w:r>
        <w:rPr>
          <w:rFonts w:hint="default" w:ascii="Times New Roman" w:hAnsi="Times New Roman" w:eastAsia="仿宋_GB2312" w:cs="Times New Roman"/>
          <w:b/>
          <w:bCs/>
          <w:color w:val="auto"/>
          <w:sz w:val="32"/>
          <w:szCs w:val="32"/>
          <w:u w:val="none"/>
        </w:rPr>
        <w:t>第七条</w:t>
      </w:r>
      <w:r>
        <w:rPr>
          <w:rFonts w:hint="default" w:ascii="Times New Roman" w:hAnsi="Times New Roman" w:eastAsia="仿宋_GB2312" w:cs="Times New Roman"/>
          <w:b/>
          <w:bCs/>
          <w:sz w:val="32"/>
          <w:szCs w:val="32"/>
        </w:rPr>
        <w:t xml:space="preserve"> </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color w:val="auto"/>
          <w:sz w:val="32"/>
          <w:szCs w:val="32"/>
          <w:u w:val="none"/>
        </w:rPr>
        <w:t>自征收土地预公告发布之日起一年内，</w:t>
      </w:r>
      <w:r>
        <w:rPr>
          <w:rFonts w:hint="default" w:ascii="Times New Roman" w:hAnsi="Times New Roman" w:eastAsia="仿宋_GB2312" w:cs="Times New Roman"/>
          <w:color w:val="auto"/>
          <w:sz w:val="32"/>
          <w:szCs w:val="32"/>
          <w:u w:val="none"/>
          <w:lang w:eastAsia="zh-CN"/>
        </w:rPr>
        <w:t>相关单位、人员、组织</w:t>
      </w:r>
      <w:r>
        <w:rPr>
          <w:rFonts w:hint="default" w:ascii="Times New Roman" w:hAnsi="Times New Roman" w:eastAsia="仿宋_GB2312" w:cs="Times New Roman"/>
          <w:color w:val="auto"/>
          <w:sz w:val="32"/>
          <w:szCs w:val="32"/>
          <w:u w:val="none"/>
        </w:rPr>
        <w:t>在</w:t>
      </w:r>
      <w:r>
        <w:rPr>
          <w:rFonts w:hint="default" w:ascii="Times New Roman" w:hAnsi="Times New Roman" w:eastAsia="仿宋_GB2312" w:cs="Times New Roman"/>
          <w:color w:val="auto"/>
          <w:sz w:val="32"/>
          <w:szCs w:val="32"/>
          <w:u w:val="none"/>
          <w:lang w:val="zh-CN"/>
        </w:rPr>
        <w:t>拟征地范围内不得</w:t>
      </w:r>
      <w:r>
        <w:rPr>
          <w:rFonts w:hint="default" w:ascii="Times New Roman" w:hAnsi="Times New Roman" w:eastAsia="仿宋_GB2312" w:cs="Times New Roman"/>
          <w:color w:val="auto"/>
          <w:sz w:val="32"/>
          <w:szCs w:val="32"/>
          <w:u w:val="none"/>
        </w:rPr>
        <w:t>实施</w:t>
      </w:r>
      <w:r>
        <w:rPr>
          <w:rFonts w:hint="default" w:ascii="Times New Roman" w:hAnsi="Times New Roman" w:eastAsia="仿宋_GB2312" w:cs="Times New Roman"/>
          <w:color w:val="auto"/>
          <w:sz w:val="32"/>
          <w:szCs w:val="32"/>
          <w:u w:val="none"/>
          <w:lang w:val="zh-CN"/>
        </w:rPr>
        <w:t>下列行为：</w:t>
      </w:r>
    </w:p>
    <w:p w14:paraId="6FF05035">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u w:val="none"/>
          <w:lang w:val="zh-CN"/>
        </w:rPr>
      </w:pPr>
      <w:r>
        <w:rPr>
          <w:rFonts w:hint="default" w:ascii="Times New Roman" w:hAnsi="Times New Roman" w:eastAsia="仿宋_GB2312" w:cs="Times New Roman"/>
          <w:color w:val="auto"/>
          <w:sz w:val="32"/>
          <w:szCs w:val="32"/>
          <w:u w:val="none"/>
          <w:lang w:val="zh-CN"/>
        </w:rPr>
        <w:t>（</w:t>
      </w:r>
      <w:r>
        <w:rPr>
          <w:rFonts w:hint="default" w:ascii="Times New Roman" w:hAnsi="Times New Roman" w:eastAsia="仿宋_GB2312" w:cs="Times New Roman"/>
          <w:color w:val="auto"/>
          <w:sz w:val="32"/>
          <w:szCs w:val="32"/>
          <w:u w:val="none"/>
        </w:rPr>
        <w:t>一</w:t>
      </w:r>
      <w:r>
        <w:rPr>
          <w:rFonts w:hint="default" w:ascii="Times New Roman" w:hAnsi="Times New Roman" w:eastAsia="仿宋_GB2312" w:cs="Times New Roman"/>
          <w:color w:val="auto"/>
          <w:sz w:val="32"/>
          <w:szCs w:val="32"/>
          <w:u w:val="none"/>
          <w:lang w:val="zh-CN"/>
        </w:rPr>
        <w:t>）新批宅基地或其他集体建设用地；</w:t>
      </w:r>
    </w:p>
    <w:p w14:paraId="70B597E1">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u w:val="none"/>
          <w:lang w:val="zh-CN"/>
        </w:rPr>
      </w:pPr>
      <w:r>
        <w:rPr>
          <w:rFonts w:hint="default" w:ascii="Times New Roman" w:hAnsi="Times New Roman" w:eastAsia="仿宋_GB2312" w:cs="Times New Roman"/>
          <w:color w:val="auto"/>
          <w:sz w:val="32"/>
          <w:szCs w:val="32"/>
          <w:u w:val="none"/>
          <w:lang w:val="zh-CN"/>
        </w:rPr>
        <w:t>（</w:t>
      </w:r>
      <w:r>
        <w:rPr>
          <w:rFonts w:hint="default" w:ascii="Times New Roman" w:hAnsi="Times New Roman" w:eastAsia="仿宋_GB2312" w:cs="Times New Roman"/>
          <w:color w:val="auto"/>
          <w:sz w:val="32"/>
          <w:szCs w:val="32"/>
          <w:u w:val="none"/>
        </w:rPr>
        <w:t>二</w:t>
      </w:r>
      <w:r>
        <w:rPr>
          <w:rFonts w:hint="default" w:ascii="Times New Roman" w:hAnsi="Times New Roman" w:eastAsia="仿宋_GB2312" w:cs="Times New Roman"/>
          <w:color w:val="auto"/>
          <w:sz w:val="32"/>
          <w:szCs w:val="32"/>
          <w:u w:val="none"/>
          <w:lang w:val="zh-CN"/>
        </w:rPr>
        <w:t>）审批或延续登记改变土地、房屋性质和用途；</w:t>
      </w:r>
    </w:p>
    <w:p w14:paraId="6DB8BDEB">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u w:val="none"/>
          <w:lang w:val="zh-CN"/>
        </w:rPr>
      </w:pPr>
      <w:r>
        <w:rPr>
          <w:rFonts w:hint="default" w:ascii="Times New Roman" w:hAnsi="Times New Roman" w:eastAsia="仿宋_GB2312" w:cs="Times New Roman"/>
          <w:color w:val="auto"/>
          <w:sz w:val="32"/>
          <w:szCs w:val="32"/>
          <w:u w:val="none"/>
          <w:lang w:val="zh-CN"/>
        </w:rPr>
        <w:t>（</w:t>
      </w:r>
      <w:r>
        <w:rPr>
          <w:rFonts w:hint="default" w:ascii="Times New Roman" w:hAnsi="Times New Roman" w:eastAsia="仿宋_GB2312" w:cs="Times New Roman"/>
          <w:color w:val="auto"/>
          <w:sz w:val="32"/>
          <w:szCs w:val="32"/>
          <w:u w:val="none"/>
        </w:rPr>
        <w:t>三</w:t>
      </w:r>
      <w:r>
        <w:rPr>
          <w:rFonts w:hint="default" w:ascii="Times New Roman" w:hAnsi="Times New Roman" w:eastAsia="仿宋_GB2312" w:cs="Times New Roman"/>
          <w:color w:val="auto"/>
          <w:sz w:val="32"/>
          <w:szCs w:val="32"/>
          <w:u w:val="none"/>
          <w:lang w:val="zh-CN"/>
        </w:rPr>
        <w:t>）新建、改建、扩建房屋或其他建（构）筑物，办理房屋或土地流转，核发房屋或土地权属证书；</w:t>
      </w:r>
    </w:p>
    <w:p w14:paraId="3D3CE1B2">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u w:val="none"/>
          <w:lang w:val="zh-CN"/>
        </w:rPr>
      </w:pPr>
      <w:r>
        <w:rPr>
          <w:rFonts w:hint="default" w:ascii="Times New Roman" w:hAnsi="Times New Roman" w:eastAsia="仿宋_GB2312" w:cs="Times New Roman"/>
          <w:color w:val="auto"/>
          <w:sz w:val="32"/>
          <w:szCs w:val="32"/>
          <w:u w:val="none"/>
          <w:lang w:val="zh-CN"/>
        </w:rPr>
        <w:t>（</w:t>
      </w:r>
      <w:r>
        <w:rPr>
          <w:rFonts w:hint="default" w:ascii="Times New Roman" w:hAnsi="Times New Roman" w:eastAsia="仿宋_GB2312" w:cs="Times New Roman"/>
          <w:color w:val="auto"/>
          <w:sz w:val="32"/>
          <w:szCs w:val="32"/>
          <w:u w:val="none"/>
        </w:rPr>
        <w:t>四</w:t>
      </w:r>
      <w:r>
        <w:rPr>
          <w:rFonts w:hint="default" w:ascii="Times New Roman" w:hAnsi="Times New Roman" w:eastAsia="仿宋_GB2312" w:cs="Times New Roman"/>
          <w:color w:val="auto"/>
          <w:sz w:val="32"/>
          <w:szCs w:val="32"/>
          <w:u w:val="none"/>
          <w:lang w:val="zh-CN"/>
        </w:rPr>
        <w:t>）突击进行室内室外装修（饰）等；</w:t>
      </w:r>
    </w:p>
    <w:p w14:paraId="72B2DEA9">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u w:val="none"/>
          <w:lang w:val="zh-CN"/>
        </w:rPr>
      </w:pPr>
      <w:r>
        <w:rPr>
          <w:rFonts w:hint="default" w:ascii="Times New Roman" w:hAnsi="Times New Roman" w:eastAsia="仿宋_GB2312" w:cs="Times New Roman"/>
          <w:color w:val="auto"/>
          <w:sz w:val="32"/>
          <w:szCs w:val="32"/>
          <w:u w:val="none"/>
          <w:lang w:val="zh-CN"/>
        </w:rPr>
        <w:t>（</w:t>
      </w:r>
      <w:r>
        <w:rPr>
          <w:rFonts w:hint="default" w:ascii="Times New Roman" w:hAnsi="Times New Roman" w:eastAsia="仿宋_GB2312" w:cs="Times New Roman"/>
          <w:color w:val="auto"/>
          <w:sz w:val="32"/>
          <w:szCs w:val="32"/>
          <w:u w:val="none"/>
        </w:rPr>
        <w:t>五</w:t>
      </w:r>
      <w:r>
        <w:rPr>
          <w:rFonts w:hint="default" w:ascii="Times New Roman" w:hAnsi="Times New Roman" w:eastAsia="仿宋_GB2312" w:cs="Times New Roman"/>
          <w:color w:val="auto"/>
          <w:sz w:val="32"/>
          <w:szCs w:val="32"/>
          <w:u w:val="none"/>
          <w:lang w:val="zh-CN"/>
        </w:rPr>
        <w:t>）办理生态农业、畜牧水产养殖、</w:t>
      </w:r>
      <w:r>
        <w:rPr>
          <w:rFonts w:hint="default" w:ascii="Times New Roman" w:hAnsi="Times New Roman" w:eastAsia="仿宋_GB2312" w:cs="Times New Roman"/>
          <w:color w:val="auto"/>
          <w:sz w:val="32"/>
          <w:szCs w:val="32"/>
          <w:u w:val="none"/>
        </w:rPr>
        <w:t>休闲娱乐</w:t>
      </w:r>
      <w:r>
        <w:rPr>
          <w:rFonts w:hint="default" w:ascii="Times New Roman" w:hAnsi="Times New Roman" w:eastAsia="仿宋_GB2312" w:cs="Times New Roman"/>
          <w:color w:val="auto"/>
          <w:sz w:val="32"/>
          <w:szCs w:val="32"/>
          <w:u w:val="none"/>
          <w:lang w:val="zh-CN"/>
        </w:rPr>
        <w:t>等经营性手续；</w:t>
      </w:r>
    </w:p>
    <w:p w14:paraId="53574DAC">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u w:val="none"/>
          <w:lang w:val="zh-CN"/>
        </w:rPr>
      </w:pPr>
      <w:r>
        <w:rPr>
          <w:rFonts w:hint="default" w:ascii="Times New Roman" w:hAnsi="Times New Roman" w:eastAsia="仿宋_GB2312" w:cs="Times New Roman"/>
          <w:color w:val="auto"/>
          <w:sz w:val="32"/>
          <w:szCs w:val="32"/>
          <w:u w:val="none"/>
          <w:lang w:val="zh-CN"/>
        </w:rPr>
        <w:t>（</w:t>
      </w:r>
      <w:r>
        <w:rPr>
          <w:rFonts w:hint="default" w:ascii="Times New Roman" w:hAnsi="Times New Roman" w:eastAsia="仿宋_GB2312" w:cs="Times New Roman"/>
          <w:color w:val="auto"/>
          <w:sz w:val="32"/>
          <w:szCs w:val="32"/>
          <w:u w:val="none"/>
        </w:rPr>
        <w:t>六</w:t>
      </w:r>
      <w:r>
        <w:rPr>
          <w:rFonts w:hint="default" w:ascii="Times New Roman" w:hAnsi="Times New Roman" w:eastAsia="仿宋_GB2312" w:cs="Times New Roman"/>
          <w:color w:val="auto"/>
          <w:sz w:val="32"/>
          <w:szCs w:val="32"/>
          <w:u w:val="none"/>
          <w:lang w:val="zh-CN"/>
        </w:rPr>
        <w:t>）以拟征收房屋为经营场所办理</w:t>
      </w:r>
      <w:r>
        <w:rPr>
          <w:rFonts w:hint="default" w:ascii="Times New Roman" w:hAnsi="Times New Roman" w:eastAsia="仿宋_GB2312" w:cs="Times New Roman"/>
          <w:color w:val="auto"/>
          <w:sz w:val="32"/>
          <w:szCs w:val="32"/>
          <w:u w:val="none"/>
        </w:rPr>
        <w:t>市场</w:t>
      </w:r>
      <w:r>
        <w:rPr>
          <w:rFonts w:hint="default" w:ascii="Times New Roman" w:hAnsi="Times New Roman" w:eastAsia="仿宋_GB2312" w:cs="Times New Roman"/>
          <w:color w:val="auto"/>
          <w:sz w:val="32"/>
          <w:szCs w:val="32"/>
          <w:u w:val="none"/>
          <w:lang w:val="zh-CN"/>
        </w:rPr>
        <w:t>、税务或其他注册登记手续；</w:t>
      </w:r>
    </w:p>
    <w:p w14:paraId="6CBE1B66">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u w:val="none"/>
          <w:lang w:val="zh-CN"/>
        </w:rPr>
      </w:pPr>
      <w:r>
        <w:rPr>
          <w:rFonts w:hint="default" w:ascii="Times New Roman" w:hAnsi="Times New Roman" w:eastAsia="仿宋_GB2312" w:cs="Times New Roman"/>
          <w:color w:val="auto"/>
          <w:sz w:val="32"/>
          <w:szCs w:val="32"/>
          <w:u w:val="none"/>
          <w:lang w:val="zh-CN"/>
        </w:rPr>
        <w:t>（</w:t>
      </w:r>
      <w:r>
        <w:rPr>
          <w:rFonts w:hint="default" w:ascii="Times New Roman" w:hAnsi="Times New Roman" w:eastAsia="仿宋_GB2312" w:cs="Times New Roman"/>
          <w:color w:val="auto"/>
          <w:sz w:val="32"/>
          <w:szCs w:val="32"/>
          <w:u w:val="none"/>
        </w:rPr>
        <w:t>七</w:t>
      </w:r>
      <w:r>
        <w:rPr>
          <w:rFonts w:hint="default" w:ascii="Times New Roman" w:hAnsi="Times New Roman" w:eastAsia="仿宋_GB2312" w:cs="Times New Roman"/>
          <w:color w:val="auto"/>
          <w:sz w:val="32"/>
          <w:szCs w:val="32"/>
          <w:u w:val="none"/>
          <w:lang w:val="zh-CN"/>
        </w:rPr>
        <w:t>）抢栽抢种花卉、苗木、中药材或超正常密度补植及葬坟、修坟等；</w:t>
      </w:r>
    </w:p>
    <w:p w14:paraId="4E6AA38A">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u w:val="none"/>
          <w:lang w:val="zh-CN"/>
        </w:rPr>
      </w:pPr>
      <w:r>
        <w:rPr>
          <w:rFonts w:hint="default" w:ascii="Times New Roman" w:hAnsi="Times New Roman" w:eastAsia="仿宋_GB2312" w:cs="Times New Roman"/>
          <w:color w:val="auto"/>
          <w:sz w:val="32"/>
          <w:szCs w:val="32"/>
          <w:u w:val="none"/>
          <w:lang w:val="zh-CN"/>
        </w:rPr>
        <w:t>（</w:t>
      </w:r>
      <w:r>
        <w:rPr>
          <w:rFonts w:hint="default" w:ascii="Times New Roman" w:hAnsi="Times New Roman" w:eastAsia="仿宋_GB2312" w:cs="Times New Roman"/>
          <w:color w:val="auto"/>
          <w:sz w:val="32"/>
          <w:szCs w:val="32"/>
          <w:u w:val="none"/>
        </w:rPr>
        <w:t>八</w:t>
      </w:r>
      <w:r>
        <w:rPr>
          <w:rFonts w:hint="default" w:ascii="Times New Roman" w:hAnsi="Times New Roman" w:eastAsia="仿宋_GB2312" w:cs="Times New Roman"/>
          <w:color w:val="auto"/>
          <w:sz w:val="32"/>
          <w:szCs w:val="32"/>
          <w:u w:val="none"/>
          <w:lang w:val="zh-CN"/>
        </w:rPr>
        <w:t>）其他不当增加</w:t>
      </w:r>
      <w:r>
        <w:rPr>
          <w:rFonts w:hint="default" w:ascii="Times New Roman" w:hAnsi="Times New Roman" w:eastAsia="仿宋_GB2312" w:cs="Times New Roman"/>
          <w:color w:val="auto"/>
          <w:sz w:val="32"/>
          <w:szCs w:val="32"/>
          <w:u w:val="none"/>
        </w:rPr>
        <w:t>征收</w:t>
      </w:r>
      <w:r>
        <w:rPr>
          <w:rFonts w:hint="default" w:ascii="Times New Roman" w:hAnsi="Times New Roman" w:eastAsia="仿宋_GB2312" w:cs="Times New Roman"/>
          <w:color w:val="auto"/>
          <w:sz w:val="32"/>
          <w:szCs w:val="32"/>
          <w:u w:val="none"/>
          <w:lang w:val="zh-CN"/>
        </w:rPr>
        <w:t>补偿</w:t>
      </w:r>
      <w:r>
        <w:rPr>
          <w:rFonts w:hint="default" w:ascii="Times New Roman" w:hAnsi="Times New Roman" w:eastAsia="仿宋_GB2312" w:cs="Times New Roman"/>
          <w:color w:val="auto"/>
          <w:sz w:val="32"/>
          <w:szCs w:val="32"/>
          <w:u w:val="none"/>
        </w:rPr>
        <w:t>安置</w:t>
      </w:r>
      <w:r>
        <w:rPr>
          <w:rFonts w:hint="default" w:ascii="Times New Roman" w:hAnsi="Times New Roman" w:eastAsia="仿宋_GB2312" w:cs="Times New Roman"/>
          <w:color w:val="auto"/>
          <w:sz w:val="32"/>
          <w:szCs w:val="32"/>
          <w:u w:val="none"/>
          <w:lang w:val="zh-CN"/>
        </w:rPr>
        <w:t>费用的行为。</w:t>
      </w:r>
    </w:p>
    <w:p w14:paraId="1399B84C">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u w:val="none"/>
          <w:lang w:val="zh-CN"/>
        </w:rPr>
      </w:pPr>
      <w:r>
        <w:rPr>
          <w:rFonts w:hint="default" w:ascii="Times New Roman" w:hAnsi="Times New Roman" w:eastAsia="仿宋_GB2312" w:cs="Times New Roman"/>
          <w:color w:val="auto"/>
          <w:sz w:val="32"/>
          <w:szCs w:val="32"/>
          <w:u w:val="none"/>
        </w:rPr>
        <w:t>有上述情形的，</w:t>
      </w:r>
      <w:r>
        <w:rPr>
          <w:rFonts w:hint="default" w:ascii="Times New Roman" w:hAnsi="Times New Roman" w:eastAsia="仿宋_GB2312" w:cs="Times New Roman"/>
          <w:color w:val="auto"/>
          <w:sz w:val="32"/>
          <w:szCs w:val="32"/>
          <w:u w:val="none"/>
          <w:lang w:val="zh-CN"/>
        </w:rPr>
        <w:t>不作为补偿安置的依据。</w:t>
      </w:r>
    </w:p>
    <w:p w14:paraId="0F8B7268">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b/>
          <w:bCs/>
          <w:color w:val="auto"/>
          <w:sz w:val="32"/>
          <w:szCs w:val="32"/>
          <w:u w:val="none"/>
        </w:rPr>
        <w:t>第八条</w:t>
      </w:r>
      <w:r>
        <w:rPr>
          <w:rFonts w:hint="default" w:ascii="Times New Roman" w:hAnsi="Times New Roman" w:eastAsia="仿宋_GB2312" w:cs="Times New Roman"/>
          <w:b/>
          <w:bCs/>
          <w:sz w:val="32"/>
          <w:szCs w:val="32"/>
        </w:rPr>
        <w:t xml:space="preserve"> </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color w:val="auto"/>
          <w:sz w:val="32"/>
          <w:szCs w:val="32"/>
          <w:u w:val="none"/>
          <w:lang w:val="zh-CN"/>
        </w:rPr>
        <w:t>征收土地预公告</w:t>
      </w:r>
      <w:r>
        <w:rPr>
          <w:rFonts w:hint="default" w:ascii="Times New Roman" w:hAnsi="Times New Roman" w:eastAsia="仿宋_GB2312" w:cs="Times New Roman"/>
          <w:color w:val="auto"/>
          <w:sz w:val="32"/>
          <w:szCs w:val="32"/>
          <w:u w:val="none"/>
        </w:rPr>
        <w:t>发布后，应当进行土地现状调查。</w:t>
      </w:r>
    </w:p>
    <w:p w14:paraId="5B49689D">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u w:val="none"/>
          <w:lang w:val="zh-CN"/>
        </w:rPr>
      </w:pPr>
      <w:r>
        <w:rPr>
          <w:rFonts w:hint="default" w:ascii="Times New Roman" w:hAnsi="Times New Roman" w:eastAsia="仿宋_GB2312" w:cs="Times New Roman"/>
          <w:color w:val="auto"/>
          <w:sz w:val="32"/>
          <w:szCs w:val="32"/>
          <w:u w:val="none"/>
          <w:lang w:val="zh-CN"/>
        </w:rPr>
        <w:t>土地现状调查</w:t>
      </w:r>
      <w:r>
        <w:rPr>
          <w:rFonts w:hint="default" w:ascii="Times New Roman" w:hAnsi="Times New Roman" w:eastAsia="仿宋_GB2312" w:cs="Times New Roman"/>
          <w:color w:val="auto"/>
          <w:sz w:val="32"/>
          <w:szCs w:val="32"/>
          <w:u w:val="none"/>
        </w:rPr>
        <w:t>由征收实施机构负责</w:t>
      </w:r>
      <w:r>
        <w:rPr>
          <w:rFonts w:hint="default" w:ascii="Times New Roman" w:hAnsi="Times New Roman" w:eastAsia="仿宋_GB2312" w:cs="Times New Roman"/>
          <w:color w:val="auto"/>
          <w:sz w:val="32"/>
          <w:szCs w:val="32"/>
          <w:u w:val="none"/>
          <w:lang w:eastAsia="zh-CN"/>
        </w:rPr>
        <w:t>组织</w:t>
      </w:r>
      <w:r>
        <w:rPr>
          <w:rFonts w:hint="default" w:ascii="Times New Roman" w:hAnsi="Times New Roman" w:eastAsia="仿宋_GB2312" w:cs="Times New Roman"/>
          <w:color w:val="auto"/>
          <w:sz w:val="32"/>
          <w:szCs w:val="32"/>
          <w:u w:val="none"/>
        </w:rPr>
        <w:t>实施，</w:t>
      </w:r>
      <w:r>
        <w:rPr>
          <w:rFonts w:hint="default" w:ascii="Times New Roman" w:hAnsi="Times New Roman" w:eastAsia="仿宋_GB2312" w:cs="Times New Roman"/>
          <w:color w:val="auto"/>
          <w:sz w:val="32"/>
          <w:szCs w:val="32"/>
          <w:u w:val="none"/>
          <w:lang w:val="zh-CN"/>
        </w:rPr>
        <w:t>应当查明土地的位置、权属、地类、面积，以及农村村民住宅、其他地上附着物和青苗等的权属、种类、数量等情况。</w:t>
      </w:r>
      <w:bookmarkStart w:id="0" w:name="No105_Z4J3T26K4"/>
      <w:bookmarkEnd w:id="0"/>
    </w:p>
    <w:p w14:paraId="3DD9C06F">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u w:val="none"/>
          <w:lang w:val="zh-CN" w:eastAsia="zh-CN"/>
        </w:rPr>
      </w:pPr>
      <w:r>
        <w:rPr>
          <w:rFonts w:hint="default" w:ascii="Times New Roman" w:hAnsi="Times New Roman" w:eastAsia="仿宋_GB2312" w:cs="Times New Roman"/>
          <w:color w:val="auto"/>
          <w:sz w:val="32"/>
          <w:szCs w:val="32"/>
          <w:u w:val="none"/>
          <w:lang w:val="zh-CN"/>
        </w:rPr>
        <w:t>土地所有权调查结果</w:t>
      </w:r>
      <w:r>
        <w:rPr>
          <w:rFonts w:hint="default" w:ascii="Times New Roman" w:hAnsi="Times New Roman" w:eastAsia="仿宋_GB2312" w:cs="Times New Roman"/>
          <w:color w:val="auto"/>
          <w:sz w:val="32"/>
          <w:szCs w:val="32"/>
          <w:u w:val="none"/>
        </w:rPr>
        <w:t>由</w:t>
      </w:r>
      <w:r>
        <w:rPr>
          <w:rFonts w:hint="default" w:ascii="Times New Roman" w:hAnsi="Times New Roman" w:eastAsia="仿宋_GB2312" w:cs="Times New Roman"/>
          <w:color w:val="auto"/>
          <w:sz w:val="32"/>
          <w:szCs w:val="32"/>
          <w:u w:val="none"/>
          <w:lang w:val="zh-CN"/>
        </w:rPr>
        <w:t>被征收土地所有权人盖章确认，并由不少于</w:t>
      </w:r>
      <w:r>
        <w:rPr>
          <w:rFonts w:hint="default" w:ascii="Times New Roman" w:hAnsi="Times New Roman" w:eastAsia="仿宋_GB2312" w:cs="Times New Roman"/>
          <w:color w:val="auto"/>
          <w:sz w:val="32"/>
          <w:szCs w:val="32"/>
          <w:u w:val="none"/>
          <w:lang w:val="zh-CN" w:eastAsia="zh-CN"/>
        </w:rPr>
        <w:t>3</w:t>
      </w:r>
      <w:r>
        <w:rPr>
          <w:rFonts w:hint="default" w:ascii="Times New Roman" w:hAnsi="Times New Roman" w:eastAsia="仿宋_GB2312" w:cs="Times New Roman"/>
          <w:color w:val="auto"/>
          <w:sz w:val="32"/>
          <w:szCs w:val="32"/>
          <w:u w:val="none"/>
          <w:lang w:val="zh-CN"/>
        </w:rPr>
        <w:t>名被征地农民签字见证，</w:t>
      </w:r>
      <w:r>
        <w:rPr>
          <w:rFonts w:hint="default" w:ascii="Times New Roman" w:hAnsi="Times New Roman" w:eastAsia="仿宋_GB2312" w:cs="Times New Roman"/>
          <w:color w:val="auto"/>
          <w:sz w:val="32"/>
          <w:szCs w:val="32"/>
          <w:u w:val="none"/>
        </w:rPr>
        <w:t>并附签字见证农民身份证复印件和联系电话</w:t>
      </w:r>
      <w:r>
        <w:rPr>
          <w:rFonts w:hint="default" w:ascii="Times New Roman" w:hAnsi="Times New Roman" w:eastAsia="仿宋_GB2312" w:cs="Times New Roman"/>
          <w:color w:val="auto"/>
          <w:sz w:val="32"/>
          <w:szCs w:val="32"/>
          <w:u w:val="none"/>
          <w:lang w:eastAsia="zh-CN"/>
        </w:rPr>
        <w:t>。土地使用权调查结果由被征收土地使用权人签字确认。</w:t>
      </w:r>
    </w:p>
    <w:p w14:paraId="4A560481">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仿宋_GB2312" w:cs="Times New Roman"/>
          <w:color w:val="auto"/>
          <w:sz w:val="32"/>
          <w:szCs w:val="32"/>
          <w:u w:val="none"/>
          <w:lang w:val="zh-CN"/>
        </w:rPr>
      </w:pPr>
      <w:r>
        <w:rPr>
          <w:rFonts w:hint="default" w:ascii="Times New Roman" w:hAnsi="Times New Roman" w:eastAsia="仿宋_GB2312" w:cs="Times New Roman"/>
          <w:color w:val="auto"/>
          <w:sz w:val="32"/>
          <w:szCs w:val="32"/>
          <w:u w:val="none"/>
          <w:lang w:val="zh-CN"/>
        </w:rPr>
        <w:t>拟征收土地上农村住宅、青苗和其他地上附着物调查结果由附着物所有权人签字确认；拒不签字或者因客观原因无法签字的，应当采取公</w:t>
      </w:r>
      <w:r>
        <w:rPr>
          <w:rFonts w:hint="eastAsia" w:ascii="Times New Roman" w:hAnsi="Times New Roman" w:eastAsia="仿宋_GB2312" w:cs="Times New Roman"/>
          <w:color w:val="auto"/>
          <w:sz w:val="32"/>
          <w:szCs w:val="32"/>
          <w:u w:val="none"/>
          <w:lang w:val="zh-CN"/>
        </w:rPr>
        <w:t>证</w:t>
      </w:r>
      <w:r>
        <w:rPr>
          <w:rFonts w:hint="default" w:ascii="Times New Roman" w:hAnsi="Times New Roman" w:eastAsia="仿宋_GB2312" w:cs="Times New Roman"/>
          <w:color w:val="auto"/>
          <w:sz w:val="32"/>
          <w:szCs w:val="32"/>
          <w:u w:val="none"/>
          <w:lang w:val="zh-CN"/>
        </w:rPr>
        <w:t>机构公</w:t>
      </w:r>
      <w:r>
        <w:rPr>
          <w:rFonts w:hint="eastAsia" w:ascii="Times New Roman" w:hAnsi="Times New Roman" w:eastAsia="仿宋_GB2312" w:cs="Times New Roman"/>
          <w:color w:val="auto"/>
          <w:sz w:val="32"/>
          <w:szCs w:val="32"/>
          <w:u w:val="none"/>
          <w:lang w:val="zh-CN"/>
        </w:rPr>
        <w:t>证</w:t>
      </w:r>
      <w:r>
        <w:rPr>
          <w:rFonts w:hint="default" w:ascii="Times New Roman" w:hAnsi="Times New Roman" w:eastAsia="仿宋_GB2312" w:cs="Times New Roman"/>
          <w:color w:val="auto"/>
          <w:sz w:val="32"/>
          <w:szCs w:val="32"/>
          <w:u w:val="none"/>
          <w:lang w:val="zh-CN"/>
        </w:rPr>
        <w:t>、录影、拍照等方式予以固定。</w:t>
      </w:r>
    </w:p>
    <w:p w14:paraId="07B89457">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u w:val="none"/>
          <w:lang w:val="zh-CN"/>
        </w:rPr>
      </w:pPr>
      <w:r>
        <w:rPr>
          <w:rFonts w:hint="default" w:ascii="Times New Roman" w:hAnsi="Times New Roman" w:eastAsia="仿宋_GB2312" w:cs="Times New Roman"/>
          <w:color w:val="auto"/>
          <w:sz w:val="32"/>
          <w:szCs w:val="32"/>
          <w:u w:val="none"/>
          <w:lang w:val="zh-CN"/>
        </w:rPr>
        <w:t>拟征收土地现状调查结果公示应当不少于</w:t>
      </w:r>
      <w:r>
        <w:rPr>
          <w:rFonts w:hint="default" w:ascii="Times New Roman" w:hAnsi="Times New Roman" w:eastAsia="仿宋_GB2312" w:cs="Times New Roman"/>
          <w:sz w:val="32"/>
          <w:szCs w:val="32"/>
          <w:vertAlign w:val="baseline"/>
          <w:lang w:val="zh-CN" w:eastAsia="zh-CN"/>
        </w:rPr>
        <w:t>5</w:t>
      </w:r>
      <w:r>
        <w:rPr>
          <w:rFonts w:hint="default" w:ascii="Times New Roman" w:hAnsi="Times New Roman" w:eastAsia="仿宋_GB2312" w:cs="Times New Roman"/>
          <w:color w:val="auto"/>
          <w:sz w:val="32"/>
          <w:szCs w:val="32"/>
          <w:u w:val="none"/>
          <w:lang w:val="zh-CN"/>
        </w:rPr>
        <w:t>个工作日。</w:t>
      </w:r>
    </w:p>
    <w:p w14:paraId="5C2CCF30">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color w:val="auto"/>
          <w:sz w:val="32"/>
          <w:szCs w:val="32"/>
          <w:u w:val="none"/>
          <w:lang w:val="zh-CN"/>
        </w:rPr>
      </w:pPr>
      <w:r>
        <w:rPr>
          <w:rFonts w:hint="default" w:ascii="Times New Roman" w:hAnsi="Times New Roman" w:eastAsia="仿宋_GB2312" w:cs="Times New Roman"/>
          <w:b/>
          <w:bCs/>
          <w:color w:val="auto"/>
          <w:sz w:val="32"/>
          <w:szCs w:val="32"/>
          <w:u w:val="none"/>
        </w:rPr>
        <w:t>第九条</w:t>
      </w:r>
      <w:r>
        <w:rPr>
          <w:rFonts w:hint="default" w:ascii="Times New Roman" w:hAnsi="Times New Roman" w:eastAsia="仿宋_GB2312" w:cs="Times New Roman"/>
          <w:b/>
          <w:bCs/>
          <w:sz w:val="32"/>
          <w:szCs w:val="32"/>
        </w:rPr>
        <w:t xml:space="preserve"> </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color w:val="auto"/>
          <w:sz w:val="32"/>
          <w:szCs w:val="32"/>
          <w:u w:val="none"/>
          <w:lang w:val="zh-CN"/>
        </w:rPr>
        <w:t>社会稳定风险评估</w:t>
      </w:r>
      <w:r>
        <w:rPr>
          <w:rFonts w:hint="default" w:ascii="Times New Roman" w:hAnsi="Times New Roman" w:eastAsia="仿宋_GB2312" w:cs="Times New Roman"/>
          <w:color w:val="auto"/>
          <w:sz w:val="32"/>
          <w:szCs w:val="32"/>
          <w:u w:val="none"/>
        </w:rPr>
        <w:t>由征收实施机构负责组织</w:t>
      </w:r>
      <w:r>
        <w:rPr>
          <w:rFonts w:hint="default" w:ascii="Times New Roman" w:hAnsi="Times New Roman" w:eastAsia="仿宋_GB2312" w:cs="Times New Roman"/>
          <w:color w:val="auto"/>
          <w:sz w:val="32"/>
          <w:szCs w:val="32"/>
          <w:u w:val="none"/>
          <w:lang w:eastAsia="zh-CN"/>
        </w:rPr>
        <w:t>实施</w:t>
      </w:r>
      <w:r>
        <w:rPr>
          <w:rFonts w:hint="default" w:ascii="Times New Roman" w:hAnsi="Times New Roman" w:eastAsia="仿宋_GB2312" w:cs="Times New Roman"/>
          <w:color w:val="auto"/>
          <w:sz w:val="32"/>
          <w:szCs w:val="32"/>
          <w:u w:val="none"/>
        </w:rPr>
        <w:t>，</w:t>
      </w:r>
      <w:r>
        <w:rPr>
          <w:rFonts w:hint="default" w:ascii="Times New Roman" w:hAnsi="Times New Roman" w:eastAsia="仿宋_GB2312" w:cs="Times New Roman"/>
          <w:color w:val="auto"/>
          <w:sz w:val="32"/>
          <w:szCs w:val="32"/>
          <w:u w:val="none"/>
          <w:lang w:val="zh-CN"/>
        </w:rPr>
        <w:t>应当对征收土地的社会稳定风险状况进行综合研判，确定风险点</w:t>
      </w:r>
      <w:r>
        <w:rPr>
          <w:rFonts w:hint="default" w:ascii="Times New Roman" w:hAnsi="Times New Roman" w:eastAsia="仿宋_GB2312" w:cs="Times New Roman"/>
          <w:color w:val="auto"/>
          <w:sz w:val="32"/>
          <w:szCs w:val="32"/>
          <w:u w:val="none"/>
        </w:rPr>
        <w:t>和风险等级</w:t>
      </w:r>
      <w:r>
        <w:rPr>
          <w:rFonts w:hint="default" w:ascii="Times New Roman" w:hAnsi="Times New Roman" w:eastAsia="仿宋_GB2312" w:cs="Times New Roman"/>
          <w:color w:val="auto"/>
          <w:sz w:val="32"/>
          <w:szCs w:val="32"/>
          <w:u w:val="none"/>
          <w:lang w:val="zh-CN"/>
        </w:rPr>
        <w:t>，提出风险防范措施和处置预案。社会稳定风险评估应当有被征地农村集体经济组织及其成员、村民委员会和其他利害关系人参加，评估结果是申请征收土地的重要依据。</w:t>
      </w:r>
    </w:p>
    <w:p w14:paraId="626D9C54">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color w:val="auto"/>
          <w:sz w:val="32"/>
          <w:szCs w:val="32"/>
          <w:u w:val="none"/>
          <w:lang w:val="zh-CN"/>
        </w:rPr>
      </w:pPr>
      <w:r>
        <w:rPr>
          <w:rFonts w:hint="default" w:ascii="Times New Roman" w:hAnsi="Times New Roman" w:eastAsia="仿宋_GB2312" w:cs="Times New Roman"/>
          <w:b/>
          <w:bCs/>
          <w:color w:val="auto"/>
          <w:sz w:val="32"/>
          <w:szCs w:val="32"/>
          <w:u w:val="none"/>
        </w:rPr>
        <w:t>第十条</w:t>
      </w:r>
      <w:r>
        <w:rPr>
          <w:rFonts w:hint="default" w:ascii="Times New Roman" w:hAnsi="Times New Roman" w:eastAsia="仿宋_GB2312" w:cs="Times New Roman"/>
          <w:b/>
          <w:bCs/>
          <w:sz w:val="32"/>
          <w:szCs w:val="32"/>
        </w:rPr>
        <w:t xml:space="preserve"> </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color w:val="auto"/>
          <w:sz w:val="32"/>
          <w:szCs w:val="32"/>
          <w:u w:val="none"/>
        </w:rPr>
        <w:t>根据社会稳定风险评估，结合土地现状调查情况，县人民政府组织自然资源、财政、农业农村、人力资源和社会保障等部门</w:t>
      </w:r>
      <w:r>
        <w:rPr>
          <w:rFonts w:hint="default" w:ascii="Times New Roman" w:hAnsi="Times New Roman" w:eastAsia="仿宋_GB2312" w:cs="Times New Roman"/>
          <w:b w:val="0"/>
          <w:bCs w:val="0"/>
          <w:color w:val="auto"/>
          <w:sz w:val="32"/>
          <w:szCs w:val="32"/>
          <w:u w:val="none"/>
          <w:lang w:val="zh-CN"/>
        </w:rPr>
        <w:t>拟定</w:t>
      </w:r>
      <w:r>
        <w:rPr>
          <w:rFonts w:hint="default" w:ascii="Times New Roman" w:hAnsi="Times New Roman" w:eastAsia="仿宋_GB2312" w:cs="Times New Roman"/>
          <w:color w:val="auto"/>
          <w:sz w:val="32"/>
          <w:szCs w:val="32"/>
          <w:u w:val="none"/>
          <w:lang w:val="zh-CN"/>
        </w:rPr>
        <w:t>征地补偿安置方案。征地补偿安置方案应当包括征收范围、土地现状、征收目的、补偿方式和标准、安置对象、安置方式、社会保障等内容。</w:t>
      </w:r>
    </w:p>
    <w:p w14:paraId="50DB9025">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u w:val="none"/>
          <w:lang w:val="zh-CN"/>
        </w:rPr>
      </w:pPr>
      <w:r>
        <w:rPr>
          <w:rFonts w:hint="default" w:ascii="Times New Roman" w:hAnsi="Times New Roman" w:eastAsia="仿宋_GB2312" w:cs="Times New Roman"/>
          <w:color w:val="auto"/>
          <w:sz w:val="32"/>
          <w:szCs w:val="32"/>
          <w:u w:val="none"/>
          <w:lang w:val="zh-CN"/>
        </w:rPr>
        <w:t>征地补偿安置方案</w:t>
      </w:r>
      <w:r>
        <w:rPr>
          <w:rFonts w:hint="default" w:ascii="Times New Roman" w:hAnsi="Times New Roman" w:eastAsia="仿宋_GB2312" w:cs="Times New Roman"/>
          <w:color w:val="auto"/>
          <w:sz w:val="32"/>
          <w:szCs w:val="32"/>
          <w:u w:val="none"/>
        </w:rPr>
        <w:t>拟定后，</w:t>
      </w:r>
      <w:r>
        <w:rPr>
          <w:rFonts w:hint="default" w:ascii="Times New Roman" w:hAnsi="Times New Roman" w:eastAsia="仿宋_GB2312" w:cs="Times New Roman"/>
          <w:color w:val="auto"/>
          <w:sz w:val="32"/>
          <w:szCs w:val="32"/>
          <w:u w:val="none"/>
          <w:lang w:val="zh-CN"/>
        </w:rPr>
        <w:t>应当在拟征收土地所在的乡镇人民政府政务公开栏和村（</w:t>
      </w:r>
      <w:r>
        <w:rPr>
          <w:rFonts w:hint="default" w:ascii="Times New Roman" w:hAnsi="Times New Roman" w:eastAsia="仿宋_GB2312" w:cs="Times New Roman"/>
          <w:color w:val="auto"/>
          <w:sz w:val="32"/>
          <w:szCs w:val="32"/>
          <w:u w:val="none"/>
        </w:rPr>
        <w:t>社区）公务公开栏</w:t>
      </w:r>
      <w:r>
        <w:rPr>
          <w:rFonts w:hint="default" w:ascii="Times New Roman" w:hAnsi="Times New Roman" w:eastAsia="仿宋_GB2312" w:cs="Times New Roman"/>
          <w:color w:val="auto"/>
          <w:sz w:val="32"/>
          <w:szCs w:val="32"/>
          <w:u w:val="none"/>
          <w:lang w:val="zh-CN"/>
        </w:rPr>
        <w:t>及村民小组显著位置予以公告，公告时间不少于</w:t>
      </w:r>
      <w:r>
        <w:rPr>
          <w:rFonts w:hint="default" w:ascii="Times New Roman" w:hAnsi="Times New Roman" w:eastAsia="仿宋_GB2312" w:cs="Times New Roman"/>
          <w:sz w:val="32"/>
          <w:szCs w:val="32"/>
          <w:vertAlign w:val="baseline"/>
          <w:lang w:val="zh-CN" w:eastAsia="zh-CN"/>
        </w:rPr>
        <w:t>30</w:t>
      </w:r>
      <w:r>
        <w:rPr>
          <w:rFonts w:hint="default" w:ascii="Times New Roman" w:hAnsi="Times New Roman" w:eastAsia="仿宋_GB2312" w:cs="Times New Roman"/>
          <w:color w:val="auto"/>
          <w:sz w:val="32"/>
          <w:szCs w:val="32"/>
          <w:u w:val="none"/>
          <w:lang w:val="zh-CN"/>
        </w:rPr>
        <w:t>日。公告应当同时载明办理补偿登记的方式和期限、异议反馈渠道等内容。</w:t>
      </w:r>
    </w:p>
    <w:p w14:paraId="72DE772C">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rPr>
        <w:t>公告张贴由征收实施机构负责，并在张贴当日需对张贴情况采取</w:t>
      </w:r>
      <w:r>
        <w:rPr>
          <w:rFonts w:hint="default" w:ascii="Times New Roman" w:hAnsi="Times New Roman" w:eastAsia="仿宋_GB2312" w:cs="Times New Roman"/>
          <w:color w:val="auto"/>
          <w:sz w:val="32"/>
          <w:szCs w:val="32"/>
          <w:u w:val="none"/>
          <w:lang w:eastAsia="zh-CN"/>
        </w:rPr>
        <w:t>录影、拍照</w:t>
      </w:r>
      <w:r>
        <w:rPr>
          <w:rFonts w:hint="default" w:ascii="Times New Roman" w:hAnsi="Times New Roman" w:eastAsia="仿宋_GB2312" w:cs="Times New Roman"/>
          <w:color w:val="auto"/>
          <w:sz w:val="32"/>
          <w:szCs w:val="32"/>
          <w:u w:val="none"/>
        </w:rPr>
        <w:t>等方式固定相关证据。</w:t>
      </w:r>
    </w:p>
    <w:p w14:paraId="17BA91FF">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b/>
          <w:bCs/>
          <w:color w:val="auto"/>
          <w:sz w:val="32"/>
          <w:szCs w:val="32"/>
          <w:u w:val="none"/>
        </w:rPr>
        <w:t>第十一条</w:t>
      </w:r>
      <w:r>
        <w:rPr>
          <w:rFonts w:hint="default" w:ascii="Times New Roman" w:hAnsi="Times New Roman" w:eastAsia="仿宋_GB2312" w:cs="Times New Roman"/>
          <w:b/>
          <w:bCs/>
          <w:sz w:val="32"/>
          <w:szCs w:val="32"/>
        </w:rPr>
        <w:t xml:space="preserve"> </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color w:val="auto"/>
          <w:sz w:val="32"/>
          <w:szCs w:val="32"/>
          <w:u w:val="none"/>
          <w:lang w:val="zh-CN"/>
        </w:rPr>
        <w:t>拟征收土地的所有权人、使用权人应当在</w:t>
      </w:r>
      <w:r>
        <w:rPr>
          <w:rFonts w:hint="default" w:ascii="Times New Roman" w:hAnsi="Times New Roman" w:eastAsia="仿宋_GB2312" w:cs="Times New Roman"/>
          <w:color w:val="auto"/>
          <w:sz w:val="32"/>
          <w:szCs w:val="32"/>
          <w:u w:val="none"/>
        </w:rPr>
        <w:t>征地补偿安置方案</w:t>
      </w:r>
      <w:r>
        <w:rPr>
          <w:rFonts w:hint="default" w:ascii="Times New Roman" w:hAnsi="Times New Roman" w:eastAsia="仿宋_GB2312" w:cs="Times New Roman"/>
          <w:color w:val="auto"/>
          <w:sz w:val="32"/>
          <w:szCs w:val="32"/>
          <w:u w:val="none"/>
          <w:lang w:val="zh-CN"/>
        </w:rPr>
        <w:t>公告规定</w:t>
      </w:r>
      <w:r>
        <w:rPr>
          <w:rFonts w:hint="default" w:ascii="Times New Roman" w:hAnsi="Times New Roman" w:eastAsia="仿宋_GB2312" w:cs="Times New Roman"/>
          <w:color w:val="auto"/>
          <w:sz w:val="32"/>
          <w:szCs w:val="32"/>
          <w:u w:val="none"/>
        </w:rPr>
        <w:t>的</w:t>
      </w:r>
      <w:r>
        <w:rPr>
          <w:rFonts w:hint="default" w:ascii="Times New Roman" w:hAnsi="Times New Roman" w:eastAsia="仿宋_GB2312" w:cs="Times New Roman"/>
          <w:color w:val="auto"/>
          <w:sz w:val="32"/>
          <w:szCs w:val="32"/>
          <w:u w:val="none"/>
          <w:lang w:val="zh-CN"/>
        </w:rPr>
        <w:t>期限内</w:t>
      </w:r>
      <w:r>
        <w:rPr>
          <w:rFonts w:hint="default" w:ascii="Times New Roman" w:hAnsi="Times New Roman" w:eastAsia="仿宋_GB2312" w:cs="Times New Roman"/>
          <w:color w:val="auto"/>
          <w:sz w:val="32"/>
          <w:szCs w:val="32"/>
          <w:u w:val="none"/>
        </w:rPr>
        <w:t>进行补偿登记。未在规定期限内登记的，以公示的土地现状调查结果作为征地补偿安置依据</w:t>
      </w:r>
      <w:r>
        <w:rPr>
          <w:rFonts w:hint="default" w:ascii="Times New Roman" w:hAnsi="Times New Roman" w:eastAsia="仿宋_GB2312" w:cs="Times New Roman"/>
          <w:color w:val="auto"/>
          <w:sz w:val="32"/>
          <w:szCs w:val="32"/>
          <w:u w:val="none"/>
          <w:lang w:val="zh-CN"/>
        </w:rPr>
        <w:t>。</w:t>
      </w:r>
    </w:p>
    <w:p w14:paraId="7884BC65">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u w:val="none"/>
          <w:lang w:val="zh-CN"/>
        </w:rPr>
      </w:pPr>
      <w:r>
        <w:rPr>
          <w:rFonts w:hint="default" w:ascii="Times New Roman" w:hAnsi="Times New Roman" w:eastAsia="仿宋_GB2312" w:cs="Times New Roman"/>
          <w:b w:val="0"/>
          <w:bCs w:val="0"/>
          <w:color w:val="auto"/>
          <w:sz w:val="32"/>
          <w:szCs w:val="32"/>
          <w:u w:val="none"/>
        </w:rPr>
        <w:t>在征地补偿安置方案公告期内，</w:t>
      </w:r>
      <w:r>
        <w:rPr>
          <w:rFonts w:hint="default" w:ascii="Times New Roman" w:hAnsi="Times New Roman" w:eastAsia="仿宋_GB2312" w:cs="Times New Roman"/>
          <w:color w:val="auto"/>
          <w:sz w:val="32"/>
          <w:szCs w:val="32"/>
          <w:u w:val="none"/>
        </w:rPr>
        <w:t>有下列情形之一的，县</w:t>
      </w:r>
      <w:r>
        <w:rPr>
          <w:rFonts w:hint="default" w:ascii="Times New Roman" w:hAnsi="Times New Roman" w:eastAsia="仿宋_GB2312" w:cs="Times New Roman"/>
          <w:color w:val="auto"/>
          <w:sz w:val="32"/>
          <w:szCs w:val="32"/>
          <w:u w:val="none"/>
          <w:lang w:val="zh-CN"/>
        </w:rPr>
        <w:t>人民政府应当</w:t>
      </w:r>
      <w:r>
        <w:rPr>
          <w:rFonts w:hint="default" w:ascii="Times New Roman" w:hAnsi="Times New Roman" w:eastAsia="仿宋_GB2312" w:cs="Times New Roman"/>
          <w:color w:val="auto"/>
          <w:sz w:val="32"/>
          <w:szCs w:val="32"/>
          <w:u w:val="none"/>
        </w:rPr>
        <w:t>在公告期满后</w:t>
      </w:r>
      <w:r>
        <w:rPr>
          <w:rFonts w:hint="default" w:ascii="Times New Roman" w:hAnsi="Times New Roman" w:eastAsia="仿宋_GB2312" w:cs="Times New Roman"/>
          <w:sz w:val="32"/>
          <w:szCs w:val="32"/>
          <w:vertAlign w:val="baseline"/>
          <w:lang w:val="zh-CN" w:eastAsia="zh-CN"/>
        </w:rPr>
        <w:t>15</w:t>
      </w:r>
      <w:r>
        <w:rPr>
          <w:rFonts w:hint="default" w:ascii="Times New Roman" w:hAnsi="Times New Roman" w:eastAsia="仿宋_GB2312" w:cs="Times New Roman"/>
          <w:color w:val="auto"/>
          <w:sz w:val="32"/>
          <w:szCs w:val="32"/>
          <w:u w:val="none"/>
        </w:rPr>
        <w:t>日内组织听证，</w:t>
      </w:r>
      <w:r>
        <w:rPr>
          <w:rFonts w:hint="default" w:ascii="Times New Roman" w:hAnsi="Times New Roman" w:eastAsia="仿宋_GB2312" w:cs="Times New Roman"/>
          <w:color w:val="auto"/>
          <w:sz w:val="32"/>
          <w:szCs w:val="32"/>
          <w:u w:val="none"/>
          <w:lang w:val="zh-CN"/>
        </w:rPr>
        <w:t>认为确需修改的，应当组织修改，并重新公布，公布时间不少于</w:t>
      </w:r>
      <w:r>
        <w:rPr>
          <w:rFonts w:hint="default" w:ascii="Times New Roman" w:hAnsi="Times New Roman" w:eastAsia="仿宋_GB2312" w:cs="Times New Roman"/>
          <w:sz w:val="32"/>
          <w:szCs w:val="32"/>
          <w:vertAlign w:val="baseline"/>
          <w:lang w:val="zh-CN" w:eastAsia="zh-CN"/>
        </w:rPr>
        <w:t>5</w:t>
      </w:r>
      <w:r>
        <w:rPr>
          <w:rFonts w:hint="default" w:ascii="Times New Roman" w:hAnsi="Times New Roman" w:eastAsia="仿宋_GB2312" w:cs="Times New Roman"/>
          <w:color w:val="auto"/>
          <w:sz w:val="32"/>
          <w:szCs w:val="32"/>
          <w:u w:val="none"/>
          <w:lang w:val="zh-CN"/>
        </w:rPr>
        <w:t>个工作日：</w:t>
      </w:r>
    </w:p>
    <w:p w14:paraId="139F5291">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u w:val="none"/>
          <w:lang w:val="zh-CN"/>
        </w:rPr>
      </w:pPr>
      <w:r>
        <w:rPr>
          <w:rFonts w:hint="default" w:ascii="Times New Roman" w:hAnsi="Times New Roman" w:eastAsia="仿宋_GB2312" w:cs="Times New Roman"/>
          <w:color w:val="auto"/>
          <w:sz w:val="32"/>
          <w:szCs w:val="32"/>
          <w:u w:val="none"/>
          <w:lang w:val="zh-CN"/>
        </w:rPr>
        <w:t>（</w:t>
      </w:r>
      <w:r>
        <w:rPr>
          <w:rFonts w:hint="default" w:ascii="Times New Roman" w:hAnsi="Times New Roman" w:eastAsia="仿宋_GB2312" w:cs="Times New Roman"/>
          <w:color w:val="auto"/>
          <w:sz w:val="32"/>
          <w:szCs w:val="32"/>
          <w:u w:val="none"/>
        </w:rPr>
        <w:t>一</w:t>
      </w:r>
      <w:r>
        <w:rPr>
          <w:rFonts w:hint="default" w:ascii="Times New Roman" w:hAnsi="Times New Roman" w:eastAsia="仿宋_GB2312" w:cs="Times New Roman"/>
          <w:color w:val="auto"/>
          <w:sz w:val="32"/>
          <w:szCs w:val="32"/>
          <w:u w:val="none"/>
          <w:lang w:val="zh-CN"/>
        </w:rPr>
        <w:t>）二分之一</w:t>
      </w:r>
      <w:r>
        <w:rPr>
          <w:rFonts w:hint="default" w:ascii="Times New Roman" w:hAnsi="Times New Roman" w:eastAsia="仿宋_GB2312" w:cs="Times New Roman"/>
          <w:color w:val="auto"/>
          <w:sz w:val="32"/>
          <w:szCs w:val="32"/>
          <w:u w:val="none"/>
        </w:rPr>
        <w:t>以上</w:t>
      </w:r>
      <w:r>
        <w:rPr>
          <w:rFonts w:hint="default" w:ascii="Times New Roman" w:hAnsi="Times New Roman" w:eastAsia="仿宋_GB2312" w:cs="Times New Roman"/>
          <w:color w:val="auto"/>
          <w:sz w:val="32"/>
          <w:szCs w:val="32"/>
          <w:u w:val="none"/>
          <w:lang w:val="zh-CN"/>
        </w:rPr>
        <w:t>被征地农村集体经济组织成员认为征地补偿安置方案不符合法律、法规规定的。</w:t>
      </w:r>
    </w:p>
    <w:p w14:paraId="4D0FDCD3">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lang w:val="zh-CN"/>
        </w:rPr>
        <w:t>（</w:t>
      </w:r>
      <w:r>
        <w:rPr>
          <w:rFonts w:hint="default" w:ascii="Times New Roman" w:hAnsi="Times New Roman" w:eastAsia="仿宋_GB2312" w:cs="Times New Roman"/>
          <w:color w:val="auto"/>
          <w:sz w:val="32"/>
          <w:szCs w:val="32"/>
          <w:u w:val="none"/>
        </w:rPr>
        <w:t>二</w:t>
      </w:r>
      <w:r>
        <w:rPr>
          <w:rFonts w:hint="default" w:ascii="Times New Roman" w:hAnsi="Times New Roman" w:eastAsia="仿宋_GB2312" w:cs="Times New Roman"/>
          <w:color w:val="auto"/>
          <w:sz w:val="32"/>
          <w:szCs w:val="32"/>
          <w:u w:val="none"/>
          <w:lang w:val="zh-CN"/>
        </w:rPr>
        <w:t>）被征地农村集体经济组织或者被征地农村集体经济组织成员或者利害关系人申请听证且符合听证规定的。</w:t>
      </w:r>
    </w:p>
    <w:p w14:paraId="5B0E2EE9">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color w:val="auto"/>
          <w:sz w:val="32"/>
          <w:szCs w:val="32"/>
          <w:u w:val="none"/>
          <w:lang w:val="zh-CN"/>
        </w:rPr>
      </w:pPr>
      <w:r>
        <w:rPr>
          <w:rFonts w:hint="default" w:ascii="Times New Roman" w:hAnsi="Times New Roman" w:eastAsia="仿宋_GB2312" w:cs="Times New Roman"/>
          <w:b/>
          <w:bCs/>
          <w:color w:val="auto"/>
          <w:sz w:val="32"/>
          <w:szCs w:val="32"/>
          <w:u w:val="none"/>
        </w:rPr>
        <w:t>第十二条</w:t>
      </w:r>
      <w:r>
        <w:rPr>
          <w:rFonts w:hint="default" w:ascii="Times New Roman" w:hAnsi="Times New Roman" w:eastAsia="仿宋_GB2312" w:cs="Times New Roman"/>
          <w:b/>
          <w:bCs/>
          <w:sz w:val="32"/>
          <w:szCs w:val="32"/>
        </w:rPr>
        <w:t xml:space="preserve"> </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color w:val="auto"/>
          <w:sz w:val="32"/>
          <w:szCs w:val="32"/>
          <w:u w:val="none"/>
          <w:lang w:val="zh-CN"/>
        </w:rPr>
        <w:t>征</w:t>
      </w:r>
      <w:r>
        <w:rPr>
          <w:rFonts w:hint="default" w:ascii="Times New Roman" w:hAnsi="Times New Roman" w:eastAsia="仿宋_GB2312" w:cs="Times New Roman"/>
          <w:color w:val="auto"/>
          <w:sz w:val="32"/>
          <w:szCs w:val="32"/>
          <w:u w:val="none"/>
        </w:rPr>
        <w:t>地</w:t>
      </w:r>
      <w:r>
        <w:rPr>
          <w:rFonts w:hint="default" w:ascii="Times New Roman" w:hAnsi="Times New Roman" w:eastAsia="仿宋_GB2312" w:cs="Times New Roman"/>
          <w:color w:val="auto"/>
          <w:sz w:val="32"/>
          <w:szCs w:val="32"/>
          <w:u w:val="none"/>
          <w:lang w:val="zh-CN"/>
        </w:rPr>
        <w:t>补偿安置方案</w:t>
      </w:r>
      <w:r>
        <w:rPr>
          <w:rFonts w:hint="default" w:ascii="Times New Roman" w:hAnsi="Times New Roman" w:eastAsia="仿宋_GB2312" w:cs="Times New Roman"/>
          <w:b w:val="0"/>
          <w:bCs w:val="0"/>
          <w:color w:val="auto"/>
          <w:sz w:val="32"/>
          <w:szCs w:val="32"/>
          <w:u w:val="none"/>
          <w:lang w:val="zh-CN"/>
        </w:rPr>
        <w:t>确定</w:t>
      </w:r>
      <w:r>
        <w:rPr>
          <w:rFonts w:hint="default" w:ascii="Times New Roman" w:hAnsi="Times New Roman" w:eastAsia="仿宋_GB2312" w:cs="Times New Roman"/>
          <w:color w:val="auto"/>
          <w:sz w:val="32"/>
          <w:szCs w:val="32"/>
          <w:u w:val="none"/>
          <w:lang w:val="zh-CN"/>
        </w:rPr>
        <w:t>后，</w:t>
      </w:r>
      <w:r>
        <w:rPr>
          <w:rFonts w:hint="default" w:ascii="Times New Roman" w:hAnsi="Times New Roman" w:eastAsia="仿宋_GB2312" w:cs="Times New Roman"/>
          <w:color w:val="auto"/>
          <w:sz w:val="32"/>
          <w:szCs w:val="32"/>
          <w:u w:val="none"/>
        </w:rPr>
        <w:t>由征收实施机构</w:t>
      </w:r>
      <w:r>
        <w:rPr>
          <w:rFonts w:hint="default" w:ascii="Times New Roman" w:hAnsi="Times New Roman" w:eastAsia="仿宋_GB2312" w:cs="Times New Roman"/>
          <w:color w:val="auto"/>
          <w:sz w:val="32"/>
          <w:szCs w:val="32"/>
          <w:u w:val="none"/>
          <w:lang w:val="zh-CN"/>
        </w:rPr>
        <w:t>与拟征收土地的所有权人、使用权人签订征</w:t>
      </w:r>
      <w:r>
        <w:rPr>
          <w:rFonts w:hint="default" w:ascii="Times New Roman" w:hAnsi="Times New Roman" w:eastAsia="仿宋_GB2312" w:cs="Times New Roman"/>
          <w:color w:val="auto"/>
          <w:sz w:val="32"/>
          <w:szCs w:val="32"/>
          <w:u w:val="none"/>
        </w:rPr>
        <w:t>地</w:t>
      </w:r>
      <w:r>
        <w:rPr>
          <w:rFonts w:hint="default" w:ascii="Times New Roman" w:hAnsi="Times New Roman" w:eastAsia="仿宋_GB2312" w:cs="Times New Roman"/>
          <w:color w:val="auto"/>
          <w:sz w:val="32"/>
          <w:szCs w:val="32"/>
          <w:u w:val="none"/>
          <w:lang w:val="zh-CN"/>
        </w:rPr>
        <w:t>补偿安置协议</w:t>
      </w:r>
      <w:bookmarkStart w:id="1" w:name="No115_Z4J3T29K2"/>
      <w:bookmarkEnd w:id="1"/>
      <w:r>
        <w:rPr>
          <w:rFonts w:hint="default" w:ascii="Times New Roman" w:hAnsi="Times New Roman" w:eastAsia="仿宋_GB2312" w:cs="Times New Roman"/>
          <w:color w:val="auto"/>
          <w:sz w:val="32"/>
          <w:szCs w:val="32"/>
          <w:u w:val="none"/>
          <w:lang w:val="zh-CN"/>
        </w:rPr>
        <w:t>。</w:t>
      </w:r>
    </w:p>
    <w:p w14:paraId="37B673AF">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u w:val="none"/>
          <w:lang w:val="zh-CN"/>
        </w:rPr>
      </w:pPr>
      <w:r>
        <w:rPr>
          <w:rFonts w:hint="default" w:ascii="Times New Roman" w:hAnsi="Times New Roman" w:eastAsia="仿宋_GB2312" w:cs="Times New Roman"/>
          <w:color w:val="auto"/>
          <w:sz w:val="32"/>
          <w:szCs w:val="32"/>
          <w:u w:val="none"/>
          <w:lang w:val="zh-CN"/>
        </w:rPr>
        <w:t>对个别确实难以达成征地补偿安置协议的，县人民政府在申请征收土地时应如实说明。</w:t>
      </w:r>
    </w:p>
    <w:p w14:paraId="121D1A12">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rPr>
        <w:t>征地</w:t>
      </w:r>
      <w:r>
        <w:rPr>
          <w:rFonts w:hint="default" w:ascii="Times New Roman" w:hAnsi="Times New Roman" w:eastAsia="仿宋_GB2312" w:cs="Times New Roman"/>
          <w:color w:val="auto"/>
          <w:sz w:val="32"/>
          <w:szCs w:val="32"/>
          <w:u w:val="none"/>
          <w:lang w:val="zh-CN"/>
        </w:rPr>
        <w:t>前期工作完成后，</w:t>
      </w:r>
      <w:r>
        <w:rPr>
          <w:rFonts w:hint="default" w:ascii="Times New Roman" w:hAnsi="Times New Roman" w:eastAsia="仿宋_GB2312" w:cs="Times New Roman"/>
          <w:color w:val="auto"/>
          <w:sz w:val="32"/>
          <w:szCs w:val="32"/>
          <w:u w:val="none"/>
        </w:rPr>
        <w:t>征收实施机构负责将征地前期资料提交给</w:t>
      </w:r>
      <w:r>
        <w:rPr>
          <w:rFonts w:hint="default" w:ascii="Times New Roman" w:hAnsi="Times New Roman" w:eastAsia="仿宋_GB2312" w:cs="Times New Roman"/>
          <w:color w:val="auto"/>
          <w:sz w:val="32"/>
          <w:szCs w:val="32"/>
          <w:u w:val="none"/>
          <w:lang w:eastAsia="zh-CN"/>
        </w:rPr>
        <w:t>县</w:t>
      </w:r>
      <w:r>
        <w:rPr>
          <w:rFonts w:hint="default" w:ascii="Times New Roman" w:hAnsi="Times New Roman" w:eastAsia="仿宋_GB2312" w:cs="Times New Roman"/>
          <w:color w:val="auto"/>
          <w:sz w:val="32"/>
          <w:szCs w:val="32"/>
          <w:u w:val="none"/>
        </w:rPr>
        <w:t>自然资源部门</w:t>
      </w:r>
      <w:r>
        <w:rPr>
          <w:rFonts w:hint="default" w:ascii="Times New Roman" w:hAnsi="Times New Roman" w:eastAsia="仿宋_GB2312" w:cs="Times New Roman"/>
          <w:color w:val="auto"/>
          <w:sz w:val="32"/>
          <w:szCs w:val="32"/>
          <w:u w:val="none"/>
          <w:lang w:eastAsia="zh-CN"/>
        </w:rPr>
        <w:t>，由其组织</w:t>
      </w:r>
      <w:r>
        <w:rPr>
          <w:rFonts w:hint="default" w:ascii="Times New Roman" w:hAnsi="Times New Roman" w:eastAsia="仿宋_GB2312" w:cs="Times New Roman"/>
          <w:color w:val="auto"/>
          <w:sz w:val="32"/>
          <w:szCs w:val="32"/>
          <w:u w:val="none"/>
        </w:rPr>
        <w:t>实施申请征收土地报批工作，</w:t>
      </w:r>
      <w:r>
        <w:rPr>
          <w:rFonts w:hint="default" w:ascii="Times New Roman" w:hAnsi="Times New Roman" w:eastAsia="仿宋_GB2312" w:cs="Times New Roman"/>
          <w:color w:val="auto"/>
          <w:sz w:val="32"/>
          <w:szCs w:val="32"/>
          <w:u w:val="none"/>
          <w:lang w:eastAsia="zh-CN"/>
        </w:rPr>
        <w:t>再</w:t>
      </w:r>
      <w:r>
        <w:rPr>
          <w:rFonts w:hint="default" w:ascii="Times New Roman" w:hAnsi="Times New Roman" w:eastAsia="仿宋_GB2312" w:cs="Times New Roman"/>
          <w:color w:val="auto"/>
          <w:sz w:val="32"/>
          <w:szCs w:val="32"/>
          <w:u w:val="none"/>
        </w:rPr>
        <w:t>由县</w:t>
      </w:r>
      <w:r>
        <w:rPr>
          <w:rFonts w:hint="default" w:ascii="Times New Roman" w:hAnsi="Times New Roman" w:eastAsia="仿宋_GB2312" w:cs="Times New Roman"/>
          <w:color w:val="auto"/>
          <w:sz w:val="32"/>
          <w:szCs w:val="32"/>
          <w:u w:val="none"/>
          <w:lang w:val="zh-CN"/>
        </w:rPr>
        <w:t>人民政府</w:t>
      </w:r>
      <w:r>
        <w:rPr>
          <w:rFonts w:hint="default" w:ascii="Times New Roman" w:hAnsi="Times New Roman" w:eastAsia="仿宋_GB2312" w:cs="Times New Roman"/>
          <w:color w:val="auto"/>
          <w:sz w:val="32"/>
          <w:szCs w:val="32"/>
          <w:u w:val="none"/>
        </w:rPr>
        <w:t>报有批准权的人民政府批准。</w:t>
      </w:r>
    </w:p>
    <w:p w14:paraId="25B92121">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color w:val="auto"/>
          <w:sz w:val="32"/>
          <w:szCs w:val="32"/>
          <w:u w:val="none"/>
          <w:lang w:val="zh-CN"/>
        </w:rPr>
      </w:pPr>
      <w:r>
        <w:rPr>
          <w:rFonts w:hint="default" w:ascii="Times New Roman" w:hAnsi="Times New Roman" w:eastAsia="仿宋_GB2312" w:cs="Times New Roman"/>
          <w:b/>
          <w:bCs/>
          <w:color w:val="auto"/>
          <w:sz w:val="32"/>
          <w:szCs w:val="32"/>
          <w:u w:val="none"/>
        </w:rPr>
        <w:t>第十三条</w:t>
      </w:r>
      <w:r>
        <w:rPr>
          <w:rFonts w:hint="default" w:ascii="Times New Roman" w:hAnsi="Times New Roman" w:eastAsia="仿宋_GB2312" w:cs="Times New Roman"/>
          <w:b/>
          <w:bCs/>
          <w:sz w:val="32"/>
          <w:szCs w:val="32"/>
        </w:rPr>
        <w:t xml:space="preserve"> </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color w:val="auto"/>
          <w:sz w:val="32"/>
          <w:szCs w:val="32"/>
          <w:u w:val="none"/>
          <w:lang w:val="zh-CN"/>
        </w:rPr>
        <w:t>征收土地申请经依法批准后，</w:t>
      </w:r>
      <w:r>
        <w:rPr>
          <w:rFonts w:hint="default" w:ascii="Times New Roman" w:hAnsi="Times New Roman" w:eastAsia="仿宋_GB2312" w:cs="Times New Roman"/>
          <w:color w:val="auto"/>
          <w:sz w:val="32"/>
          <w:szCs w:val="32"/>
          <w:u w:val="none"/>
        </w:rPr>
        <w:t>县</w:t>
      </w:r>
      <w:r>
        <w:rPr>
          <w:rFonts w:hint="default" w:ascii="Times New Roman" w:hAnsi="Times New Roman" w:eastAsia="仿宋_GB2312" w:cs="Times New Roman"/>
          <w:color w:val="auto"/>
          <w:sz w:val="32"/>
          <w:szCs w:val="32"/>
          <w:u w:val="none"/>
          <w:lang w:val="zh-CN"/>
        </w:rPr>
        <w:t>人民政府依法在收到批准文件之日起</w:t>
      </w:r>
      <w:r>
        <w:rPr>
          <w:rFonts w:hint="default" w:ascii="Times New Roman" w:hAnsi="Times New Roman" w:eastAsia="仿宋_GB2312" w:cs="Times New Roman"/>
          <w:sz w:val="32"/>
          <w:szCs w:val="32"/>
          <w:vertAlign w:val="baseline"/>
          <w:lang w:val="zh-CN" w:eastAsia="zh-CN"/>
        </w:rPr>
        <w:t>15</w:t>
      </w:r>
      <w:r>
        <w:rPr>
          <w:rFonts w:hint="default" w:ascii="Times New Roman" w:hAnsi="Times New Roman" w:eastAsia="仿宋_GB2312" w:cs="Times New Roman"/>
          <w:color w:val="auto"/>
          <w:sz w:val="32"/>
          <w:szCs w:val="32"/>
          <w:u w:val="none"/>
          <w:lang w:val="zh-CN"/>
        </w:rPr>
        <w:t>个工作日内</w:t>
      </w:r>
      <w:r>
        <w:rPr>
          <w:rFonts w:hint="default" w:ascii="Times New Roman" w:hAnsi="Times New Roman" w:eastAsia="仿宋_GB2312" w:cs="Times New Roman"/>
          <w:color w:val="auto"/>
          <w:sz w:val="32"/>
          <w:szCs w:val="32"/>
          <w:u w:val="none"/>
        </w:rPr>
        <w:t>组织征收实施机构在</w:t>
      </w:r>
      <w:r>
        <w:rPr>
          <w:rFonts w:hint="default" w:ascii="Times New Roman" w:hAnsi="Times New Roman" w:eastAsia="仿宋_GB2312" w:cs="Times New Roman"/>
          <w:color w:val="auto"/>
          <w:sz w:val="32"/>
          <w:szCs w:val="32"/>
          <w:u w:val="none"/>
          <w:lang w:val="zh-CN"/>
        </w:rPr>
        <w:t>拟征收土地所在的乡镇人民政府</w:t>
      </w:r>
      <w:r>
        <w:rPr>
          <w:rFonts w:hint="default" w:ascii="Times New Roman" w:hAnsi="Times New Roman" w:eastAsia="仿宋_GB2312" w:cs="Times New Roman"/>
          <w:color w:val="auto"/>
          <w:sz w:val="32"/>
          <w:szCs w:val="32"/>
          <w:u w:val="none"/>
        </w:rPr>
        <w:t>政务公开栏</w:t>
      </w:r>
      <w:r>
        <w:rPr>
          <w:rFonts w:hint="default" w:ascii="Times New Roman" w:hAnsi="Times New Roman" w:eastAsia="仿宋_GB2312" w:cs="Times New Roman"/>
          <w:color w:val="auto"/>
          <w:sz w:val="32"/>
          <w:szCs w:val="32"/>
          <w:u w:val="none"/>
          <w:lang w:val="zh-CN"/>
        </w:rPr>
        <w:t>和村（</w:t>
      </w:r>
      <w:r>
        <w:rPr>
          <w:rFonts w:hint="default" w:ascii="Times New Roman" w:hAnsi="Times New Roman" w:eastAsia="仿宋_GB2312" w:cs="Times New Roman"/>
          <w:color w:val="auto"/>
          <w:sz w:val="32"/>
          <w:szCs w:val="32"/>
          <w:u w:val="none"/>
        </w:rPr>
        <w:t>社区）公务公开栏及</w:t>
      </w:r>
      <w:r>
        <w:rPr>
          <w:rFonts w:hint="default" w:ascii="Times New Roman" w:hAnsi="Times New Roman" w:eastAsia="仿宋_GB2312" w:cs="Times New Roman"/>
          <w:color w:val="auto"/>
          <w:sz w:val="32"/>
          <w:szCs w:val="32"/>
          <w:u w:val="none"/>
          <w:lang w:val="zh-CN"/>
        </w:rPr>
        <w:t>村民小组</w:t>
      </w:r>
      <w:r>
        <w:rPr>
          <w:rFonts w:hint="default" w:ascii="Times New Roman" w:hAnsi="Times New Roman" w:eastAsia="仿宋_GB2312" w:cs="Times New Roman"/>
          <w:color w:val="auto"/>
          <w:sz w:val="32"/>
          <w:szCs w:val="32"/>
          <w:u w:val="none"/>
        </w:rPr>
        <w:t>显著位置</w:t>
      </w:r>
      <w:r>
        <w:rPr>
          <w:rFonts w:hint="default" w:ascii="Times New Roman" w:hAnsi="Times New Roman" w:eastAsia="仿宋_GB2312" w:cs="Times New Roman"/>
          <w:color w:val="auto"/>
          <w:sz w:val="32"/>
          <w:szCs w:val="32"/>
          <w:u w:val="none"/>
          <w:lang w:val="zh-CN"/>
        </w:rPr>
        <w:t>发布征收土地公告。公告应当载明批准征地机关、批准文号、征收土地的批准用途、权属、范围、面积以及征地补偿标准、征收时间等。</w:t>
      </w:r>
    </w:p>
    <w:p w14:paraId="0482B46D">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b/>
          <w:bCs/>
          <w:color w:val="auto"/>
          <w:sz w:val="32"/>
          <w:szCs w:val="32"/>
          <w:u w:val="none"/>
        </w:rPr>
        <w:t>第十四条</w:t>
      </w:r>
      <w:r>
        <w:rPr>
          <w:rFonts w:hint="default" w:ascii="Times New Roman" w:hAnsi="Times New Roman" w:eastAsia="仿宋_GB2312" w:cs="Times New Roman"/>
          <w:b/>
          <w:bCs/>
          <w:sz w:val="32"/>
          <w:szCs w:val="32"/>
        </w:rPr>
        <w:t xml:space="preserve"> </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color w:val="auto"/>
          <w:sz w:val="32"/>
          <w:szCs w:val="32"/>
          <w:u w:val="none"/>
        </w:rPr>
        <w:t>因征收导致全部或部分集体土地所有权、使用权消灭的，由县自然资源部门依据土地征收批准文件等，报请县人民政府</w:t>
      </w:r>
      <w:r>
        <w:rPr>
          <w:rFonts w:hint="default" w:ascii="Times New Roman" w:hAnsi="Times New Roman" w:eastAsia="仿宋_GB2312" w:cs="Times New Roman"/>
          <w:color w:val="auto"/>
          <w:sz w:val="32"/>
          <w:szCs w:val="32"/>
          <w:u w:val="none"/>
          <w:lang w:eastAsia="zh-CN"/>
        </w:rPr>
        <w:t>出具嘱托文件</w:t>
      </w:r>
      <w:r>
        <w:rPr>
          <w:rFonts w:hint="default" w:ascii="Times New Roman" w:hAnsi="Times New Roman" w:eastAsia="仿宋_GB2312" w:cs="Times New Roman"/>
          <w:color w:val="auto"/>
          <w:sz w:val="32"/>
          <w:szCs w:val="32"/>
          <w:u w:val="none"/>
        </w:rPr>
        <w:t>后，不动产登记机构依法办理注销或变更登记。县农业农村、林业等部门同时做好承包经营权合同的变更等工作。</w:t>
      </w:r>
    </w:p>
    <w:p w14:paraId="60362DA5">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b/>
          <w:bCs/>
          <w:color w:val="auto"/>
          <w:sz w:val="32"/>
          <w:szCs w:val="32"/>
          <w:u w:val="none"/>
        </w:rPr>
        <w:t>第十五条</w:t>
      </w:r>
      <w:r>
        <w:rPr>
          <w:rFonts w:hint="default" w:ascii="Times New Roman" w:hAnsi="Times New Roman" w:eastAsia="仿宋_GB2312" w:cs="Times New Roman"/>
          <w:b/>
          <w:bCs/>
          <w:sz w:val="32"/>
          <w:szCs w:val="32"/>
        </w:rPr>
        <w:t xml:space="preserve"> </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color w:val="auto"/>
          <w:sz w:val="32"/>
          <w:szCs w:val="32"/>
          <w:u w:val="none"/>
          <w:lang w:val="zh-CN"/>
        </w:rPr>
        <w:t>对个别未签订征</w:t>
      </w:r>
      <w:r>
        <w:rPr>
          <w:rFonts w:hint="default" w:ascii="Times New Roman" w:hAnsi="Times New Roman" w:eastAsia="仿宋_GB2312" w:cs="Times New Roman"/>
          <w:color w:val="auto"/>
          <w:sz w:val="32"/>
          <w:szCs w:val="32"/>
          <w:u w:val="none"/>
        </w:rPr>
        <w:t>地</w:t>
      </w:r>
      <w:r>
        <w:rPr>
          <w:rFonts w:hint="default" w:ascii="Times New Roman" w:hAnsi="Times New Roman" w:eastAsia="仿宋_GB2312" w:cs="Times New Roman"/>
          <w:color w:val="auto"/>
          <w:sz w:val="32"/>
          <w:szCs w:val="32"/>
          <w:u w:val="none"/>
          <w:lang w:val="zh-CN"/>
        </w:rPr>
        <w:t>补偿安置协议的，</w:t>
      </w:r>
      <w:r>
        <w:rPr>
          <w:rFonts w:hint="default" w:ascii="Times New Roman" w:hAnsi="Times New Roman" w:eastAsia="仿宋_GB2312" w:cs="Times New Roman"/>
          <w:color w:val="auto"/>
          <w:sz w:val="32"/>
          <w:szCs w:val="32"/>
          <w:u w:val="none"/>
        </w:rPr>
        <w:t>县</w:t>
      </w:r>
      <w:r>
        <w:rPr>
          <w:rFonts w:hint="default" w:ascii="Times New Roman" w:hAnsi="Times New Roman" w:eastAsia="仿宋_GB2312" w:cs="Times New Roman"/>
          <w:color w:val="auto"/>
          <w:sz w:val="32"/>
          <w:szCs w:val="32"/>
          <w:u w:val="none"/>
          <w:lang w:val="zh-CN"/>
        </w:rPr>
        <w:t>人民政府应当作出征</w:t>
      </w:r>
      <w:r>
        <w:rPr>
          <w:rFonts w:hint="default" w:ascii="Times New Roman" w:hAnsi="Times New Roman" w:eastAsia="仿宋_GB2312" w:cs="Times New Roman"/>
          <w:color w:val="auto"/>
          <w:sz w:val="32"/>
          <w:szCs w:val="32"/>
          <w:u w:val="none"/>
        </w:rPr>
        <w:t>地</w:t>
      </w:r>
      <w:r>
        <w:rPr>
          <w:rFonts w:hint="default" w:ascii="Times New Roman" w:hAnsi="Times New Roman" w:eastAsia="仿宋_GB2312" w:cs="Times New Roman"/>
          <w:color w:val="auto"/>
          <w:sz w:val="32"/>
          <w:szCs w:val="32"/>
          <w:u w:val="none"/>
          <w:lang w:val="zh-CN"/>
        </w:rPr>
        <w:t>补偿安置决定，</w:t>
      </w:r>
      <w:r>
        <w:rPr>
          <w:rFonts w:hint="default" w:ascii="Times New Roman" w:hAnsi="Times New Roman" w:eastAsia="仿宋_GB2312" w:cs="Times New Roman"/>
          <w:color w:val="auto"/>
          <w:sz w:val="32"/>
          <w:szCs w:val="32"/>
          <w:u w:val="none"/>
        </w:rPr>
        <w:t>并依法组织实施。</w:t>
      </w:r>
    </w:p>
    <w:p w14:paraId="3CB6E851">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国标仿宋" w:cs="Times New Roman"/>
          <w:sz w:val="32"/>
          <w:szCs w:val="32"/>
        </w:rPr>
      </w:pPr>
    </w:p>
    <w:p w14:paraId="33CDE94C">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黑体" w:cs="Times New Roman"/>
          <w:b w:val="0"/>
          <w:bCs w:val="0"/>
          <w:sz w:val="32"/>
          <w:szCs w:val="32"/>
          <w:lang w:eastAsia="zh-CN"/>
        </w:rPr>
      </w:pPr>
      <w:r>
        <w:rPr>
          <w:rFonts w:hint="default" w:ascii="Times New Roman" w:hAnsi="Times New Roman" w:eastAsia="黑体" w:cs="Times New Roman"/>
          <w:b w:val="0"/>
          <w:bCs w:val="0"/>
          <w:sz w:val="32"/>
          <w:szCs w:val="32"/>
        </w:rPr>
        <w:t>第三章  补偿</w:t>
      </w:r>
      <w:r>
        <w:rPr>
          <w:rFonts w:hint="default" w:ascii="Times New Roman" w:hAnsi="Times New Roman" w:eastAsia="黑体" w:cs="Times New Roman"/>
          <w:b w:val="0"/>
          <w:bCs w:val="0"/>
          <w:sz w:val="32"/>
          <w:szCs w:val="32"/>
          <w:lang w:eastAsia="zh-CN"/>
        </w:rPr>
        <w:t>规定</w:t>
      </w:r>
    </w:p>
    <w:p w14:paraId="2A1538EE">
      <w:pPr>
        <w:pStyle w:val="16"/>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3" w:firstLineChars="200"/>
        <w:textAlignment w:val="auto"/>
        <w:rPr>
          <w:rFonts w:hint="default" w:ascii="Times New Roman" w:hAnsi="Times New Roman" w:eastAsia="仿宋_GB2312" w:cs="Times New Roman"/>
          <w:bCs/>
          <w:color w:val="auto"/>
          <w:kern w:val="2"/>
          <w:sz w:val="32"/>
          <w:szCs w:val="32"/>
        </w:rPr>
      </w:pPr>
      <w:r>
        <w:rPr>
          <w:rFonts w:hint="default" w:ascii="Times New Roman" w:hAnsi="Times New Roman" w:eastAsia="仿宋_GB2312" w:cs="Times New Roman"/>
          <w:b/>
          <w:bCs/>
          <w:color w:val="auto"/>
          <w:kern w:val="2"/>
          <w:sz w:val="32"/>
          <w:szCs w:val="32"/>
        </w:rPr>
        <w:t>第十</w:t>
      </w:r>
      <w:r>
        <w:rPr>
          <w:rFonts w:hint="default" w:ascii="Times New Roman" w:hAnsi="Times New Roman" w:eastAsia="仿宋_GB2312" w:cs="Times New Roman"/>
          <w:b/>
          <w:bCs/>
          <w:color w:val="auto"/>
          <w:kern w:val="2"/>
          <w:sz w:val="32"/>
          <w:szCs w:val="32"/>
          <w:lang w:eastAsia="zh-CN"/>
        </w:rPr>
        <w:t>六</w:t>
      </w:r>
      <w:r>
        <w:rPr>
          <w:rFonts w:hint="default" w:ascii="Times New Roman" w:hAnsi="Times New Roman" w:eastAsia="仿宋_GB2312" w:cs="Times New Roman"/>
          <w:b/>
          <w:bCs/>
          <w:color w:val="auto"/>
          <w:kern w:val="2"/>
          <w:sz w:val="32"/>
          <w:szCs w:val="32"/>
        </w:rPr>
        <w:t>条</w:t>
      </w:r>
      <w:r>
        <w:rPr>
          <w:rFonts w:hint="default" w:ascii="Times New Roman" w:hAnsi="Times New Roman" w:eastAsia="仿宋_GB2312" w:cs="Times New Roman"/>
          <w:b/>
          <w:bCs/>
          <w:sz w:val="32"/>
          <w:szCs w:val="32"/>
        </w:rPr>
        <w:t xml:space="preserve"> </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bCs/>
          <w:color w:val="auto"/>
          <w:sz w:val="32"/>
          <w:szCs w:val="32"/>
        </w:rPr>
        <w:t>县人</w:t>
      </w:r>
      <w:r>
        <w:rPr>
          <w:rFonts w:hint="default" w:ascii="Times New Roman" w:hAnsi="Times New Roman" w:eastAsia="仿宋_GB2312" w:cs="Times New Roman"/>
          <w:bCs/>
          <w:color w:val="auto"/>
          <w:kern w:val="2"/>
          <w:sz w:val="32"/>
          <w:szCs w:val="32"/>
          <w:lang w:val="zh-CN"/>
        </w:rPr>
        <w:t>民政府及时落实土地补偿费、安置补助费、农村村民住宅以及其他地上附着物和青苗等的补偿费用、社会保障费用等，</w:t>
      </w:r>
      <w:r>
        <w:rPr>
          <w:rFonts w:hint="default" w:ascii="Times New Roman" w:hAnsi="Times New Roman" w:eastAsia="仿宋_GB2312" w:cs="Times New Roman"/>
          <w:bCs/>
          <w:color w:val="auto"/>
          <w:kern w:val="2"/>
          <w:sz w:val="32"/>
          <w:szCs w:val="32"/>
        </w:rPr>
        <w:t>并保证足额到位</w:t>
      </w:r>
      <w:r>
        <w:rPr>
          <w:rFonts w:hint="default" w:ascii="Times New Roman" w:hAnsi="Times New Roman" w:eastAsia="仿宋_GB2312" w:cs="Times New Roman"/>
          <w:bCs/>
          <w:color w:val="auto"/>
          <w:kern w:val="2"/>
          <w:sz w:val="32"/>
          <w:szCs w:val="32"/>
          <w:lang w:eastAsia="zh-CN"/>
        </w:rPr>
        <w:t>、</w:t>
      </w:r>
      <w:r>
        <w:rPr>
          <w:rFonts w:hint="default" w:ascii="Times New Roman" w:hAnsi="Times New Roman" w:eastAsia="仿宋_GB2312" w:cs="Times New Roman"/>
          <w:bCs/>
          <w:color w:val="auto"/>
          <w:kern w:val="2"/>
          <w:sz w:val="32"/>
          <w:szCs w:val="32"/>
        </w:rPr>
        <w:t>专款专用。</w:t>
      </w:r>
    </w:p>
    <w:p w14:paraId="076127F3">
      <w:pPr>
        <w:pStyle w:val="16"/>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3" w:firstLineChars="200"/>
        <w:textAlignment w:val="auto"/>
        <w:rPr>
          <w:rFonts w:hint="default" w:ascii="Times New Roman" w:hAnsi="Times New Roman" w:eastAsia="仿宋_GB2312" w:cs="Times New Roman"/>
          <w:bCs/>
          <w:color w:val="auto"/>
          <w:kern w:val="2"/>
          <w:sz w:val="32"/>
          <w:szCs w:val="32"/>
          <w:lang w:val="zh-CN"/>
        </w:rPr>
      </w:pPr>
      <w:r>
        <w:rPr>
          <w:rFonts w:hint="default" w:ascii="Times New Roman" w:hAnsi="Times New Roman" w:eastAsia="仿宋_GB2312" w:cs="Times New Roman"/>
          <w:b/>
          <w:bCs/>
          <w:color w:val="auto"/>
          <w:kern w:val="2"/>
          <w:sz w:val="32"/>
          <w:szCs w:val="32"/>
        </w:rPr>
        <w:t>第十七条</w:t>
      </w:r>
      <w:r>
        <w:rPr>
          <w:rFonts w:hint="default" w:ascii="Times New Roman" w:hAnsi="Times New Roman" w:eastAsia="仿宋_GB2312" w:cs="Times New Roman"/>
          <w:b/>
          <w:bCs/>
          <w:sz w:val="32"/>
          <w:szCs w:val="32"/>
        </w:rPr>
        <w:t xml:space="preserve"> </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bCs/>
          <w:color w:val="auto"/>
          <w:kern w:val="2"/>
          <w:sz w:val="32"/>
          <w:szCs w:val="32"/>
          <w:lang w:val="zh-CN"/>
        </w:rPr>
        <w:t>征收集体土地按照被征收土地的批准用途给予补偿。</w:t>
      </w:r>
      <w:r>
        <w:rPr>
          <w:rFonts w:hint="default" w:ascii="Times New Roman" w:hAnsi="Times New Roman" w:eastAsia="仿宋_GB2312" w:cs="Times New Roman"/>
          <w:bCs/>
          <w:color w:val="auto"/>
          <w:kern w:val="2"/>
          <w:sz w:val="32"/>
          <w:szCs w:val="32"/>
        </w:rPr>
        <w:t>征地补偿标准、等级区域划分按照</w:t>
      </w:r>
      <w:r>
        <w:rPr>
          <w:rFonts w:hint="default" w:ascii="Times New Roman" w:hAnsi="Times New Roman" w:eastAsia="仿宋_GB2312" w:cs="Times New Roman"/>
          <w:color w:val="auto"/>
        </w:rPr>
        <w:fldChar w:fldCharType="begin"/>
      </w:r>
      <w:r>
        <w:rPr>
          <w:rFonts w:hint="default" w:ascii="Times New Roman" w:hAnsi="Times New Roman" w:eastAsia="仿宋_GB2312" w:cs="Times New Roman"/>
          <w:color w:val="auto"/>
        </w:rPr>
        <w:instrText xml:space="preserve"> HYPERLINK "https://alphalawyer.cn/ilawregu-search/api/v1/lawregu/redict/62d8b4a75b391d83fcea2333fceb30d4" </w:instrText>
      </w:r>
      <w:r>
        <w:rPr>
          <w:rFonts w:hint="default" w:ascii="Times New Roman" w:hAnsi="Times New Roman" w:eastAsia="仿宋_GB2312" w:cs="Times New Roman"/>
          <w:color w:val="auto"/>
        </w:rPr>
        <w:fldChar w:fldCharType="separate"/>
      </w:r>
      <w:r>
        <w:rPr>
          <w:rFonts w:hint="default" w:ascii="Times New Roman" w:hAnsi="Times New Roman" w:eastAsia="仿宋_GB2312" w:cs="Times New Roman"/>
          <w:bCs/>
          <w:color w:val="auto"/>
          <w:kern w:val="2"/>
          <w:sz w:val="32"/>
          <w:szCs w:val="32"/>
          <w:lang w:val="zh-CN"/>
        </w:rPr>
        <w:t>湖南省人民政府</w:t>
      </w:r>
      <w:r>
        <w:rPr>
          <w:rFonts w:hint="default" w:ascii="Times New Roman" w:hAnsi="Times New Roman" w:eastAsia="仿宋_GB2312" w:cs="Times New Roman"/>
          <w:bCs/>
          <w:color w:val="auto"/>
          <w:kern w:val="2"/>
          <w:sz w:val="32"/>
          <w:szCs w:val="32"/>
        </w:rPr>
        <w:t>和怀化市人民政府确定的征地补偿</w:t>
      </w:r>
      <w:r>
        <w:rPr>
          <w:rFonts w:hint="default" w:ascii="Times New Roman" w:hAnsi="Times New Roman" w:eastAsia="仿宋_GB2312" w:cs="Times New Roman"/>
          <w:bCs/>
          <w:color w:val="auto"/>
          <w:kern w:val="2"/>
          <w:sz w:val="32"/>
          <w:szCs w:val="32"/>
          <w:lang w:val="zh-CN"/>
        </w:rPr>
        <w:t>标准</w:t>
      </w:r>
      <w:r>
        <w:rPr>
          <w:rFonts w:hint="default" w:ascii="Times New Roman" w:hAnsi="Times New Roman" w:eastAsia="仿宋_GB2312" w:cs="Times New Roman"/>
          <w:bCs/>
          <w:color w:val="auto"/>
          <w:kern w:val="2"/>
          <w:sz w:val="32"/>
          <w:szCs w:val="32"/>
          <w:lang w:val="zh-CN"/>
        </w:rPr>
        <w:fldChar w:fldCharType="end"/>
      </w:r>
      <w:r>
        <w:rPr>
          <w:rFonts w:hint="default" w:ascii="Times New Roman" w:hAnsi="Times New Roman" w:eastAsia="仿宋_GB2312" w:cs="Times New Roman"/>
          <w:bCs/>
          <w:color w:val="auto"/>
          <w:kern w:val="2"/>
          <w:sz w:val="32"/>
          <w:szCs w:val="32"/>
        </w:rPr>
        <w:t>执行。</w:t>
      </w:r>
      <w:r>
        <w:rPr>
          <w:rFonts w:hint="default" w:ascii="Times New Roman" w:hAnsi="Times New Roman" w:eastAsia="仿宋_GB2312" w:cs="Times New Roman"/>
          <w:bCs/>
          <w:color w:val="auto"/>
          <w:kern w:val="2"/>
          <w:sz w:val="32"/>
          <w:szCs w:val="32"/>
          <w:lang w:val="zh-CN"/>
        </w:rPr>
        <w:t>补偿面积按照水平投影面积计算。</w:t>
      </w:r>
    </w:p>
    <w:p w14:paraId="27AF1087">
      <w:pPr>
        <w:pStyle w:val="16"/>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0" w:firstLineChars="200"/>
        <w:textAlignment w:val="auto"/>
        <w:rPr>
          <w:rFonts w:hint="default" w:ascii="Times New Roman" w:hAnsi="Times New Roman" w:eastAsia="仿宋_GB2312" w:cs="Times New Roman"/>
          <w:bCs/>
          <w:color w:val="auto"/>
          <w:kern w:val="2"/>
          <w:sz w:val="32"/>
          <w:szCs w:val="32"/>
          <w:lang w:val="zh-CN"/>
        </w:rPr>
      </w:pPr>
      <w:r>
        <w:rPr>
          <w:rFonts w:hint="default" w:ascii="Times New Roman" w:hAnsi="Times New Roman" w:eastAsia="仿宋_GB2312" w:cs="Times New Roman"/>
          <w:bCs/>
          <w:color w:val="auto"/>
          <w:kern w:val="2"/>
          <w:sz w:val="32"/>
          <w:szCs w:val="32"/>
          <w:lang w:val="zh-CN"/>
        </w:rPr>
        <w:t>征地补偿标准等级区域划分详见附件</w:t>
      </w:r>
      <w:r>
        <w:rPr>
          <w:rFonts w:hint="default" w:ascii="Times New Roman" w:hAnsi="Times New Roman" w:eastAsia="仿宋_GB2312" w:cs="Times New Roman"/>
          <w:color w:val="auto"/>
          <w:kern w:val="2"/>
          <w:sz w:val="32"/>
          <w:szCs w:val="32"/>
          <w:vertAlign w:val="baseline"/>
          <w:lang w:val="zh-CN" w:eastAsia="zh-CN" w:bidi="ar-SA"/>
        </w:rPr>
        <w:t>1</w:t>
      </w:r>
      <w:r>
        <w:rPr>
          <w:rFonts w:hint="default" w:ascii="Times New Roman" w:hAnsi="Times New Roman" w:eastAsia="仿宋_GB2312" w:cs="Times New Roman"/>
          <w:bCs/>
          <w:color w:val="auto"/>
          <w:kern w:val="2"/>
          <w:sz w:val="32"/>
          <w:szCs w:val="32"/>
          <w:lang w:val="zh-CN"/>
        </w:rPr>
        <w:t>。</w:t>
      </w:r>
    </w:p>
    <w:p w14:paraId="6D5D1B8A">
      <w:pPr>
        <w:pStyle w:val="16"/>
        <w:keepNext w:val="0"/>
        <w:keepLines w:val="0"/>
        <w:pageBreakBefore w:val="0"/>
        <w:widowControl w:val="0"/>
        <w:kinsoku/>
        <w:wordWrap/>
        <w:overflowPunct/>
        <w:topLinePunct w:val="0"/>
        <w:autoSpaceDE/>
        <w:autoSpaceDN/>
        <w:bidi w:val="0"/>
        <w:adjustRightInd/>
        <w:snapToGrid/>
        <w:spacing w:beforeAutospacing="0" w:afterAutospacing="0" w:line="620" w:lineRule="exact"/>
        <w:ind w:firstLine="640" w:firstLineChars="200"/>
        <w:textAlignment w:val="auto"/>
        <w:rPr>
          <w:rFonts w:hint="default" w:ascii="Times New Roman" w:hAnsi="Times New Roman" w:eastAsia="仿宋_GB2312" w:cs="Times New Roman"/>
          <w:color w:val="auto"/>
          <w:kern w:val="2"/>
          <w:sz w:val="32"/>
          <w:szCs w:val="32"/>
        </w:rPr>
      </w:pPr>
      <w:r>
        <w:rPr>
          <w:rFonts w:hint="default" w:ascii="Times New Roman" w:hAnsi="Times New Roman" w:eastAsia="仿宋_GB2312" w:cs="Times New Roman"/>
          <w:bCs/>
          <w:color w:val="auto"/>
          <w:kern w:val="2"/>
          <w:sz w:val="32"/>
          <w:szCs w:val="32"/>
          <w:lang w:val="zh-CN"/>
        </w:rPr>
        <w:t>征地补偿标准详见附件</w:t>
      </w:r>
      <w:r>
        <w:rPr>
          <w:rFonts w:hint="default" w:ascii="Times New Roman" w:hAnsi="Times New Roman" w:eastAsia="仿宋_GB2312" w:cs="Times New Roman"/>
          <w:color w:val="auto"/>
          <w:kern w:val="2"/>
          <w:sz w:val="32"/>
          <w:szCs w:val="32"/>
          <w:vertAlign w:val="baseline"/>
          <w:lang w:val="zh-CN" w:eastAsia="zh-CN" w:bidi="ar-SA"/>
        </w:rPr>
        <w:t>2</w:t>
      </w:r>
      <w:r>
        <w:rPr>
          <w:rFonts w:hint="default" w:ascii="Times New Roman" w:hAnsi="Times New Roman" w:eastAsia="仿宋_GB2312" w:cs="Times New Roman"/>
          <w:bCs/>
          <w:color w:val="auto"/>
          <w:kern w:val="2"/>
          <w:sz w:val="32"/>
          <w:szCs w:val="32"/>
          <w:lang w:val="zh-CN"/>
        </w:rPr>
        <w:t>。征收</w:t>
      </w:r>
      <w:r>
        <w:rPr>
          <w:rFonts w:hint="default" w:ascii="Times New Roman" w:hAnsi="Times New Roman" w:eastAsia="仿宋_GB2312" w:cs="Times New Roman"/>
          <w:bCs/>
          <w:color w:val="auto"/>
          <w:kern w:val="2"/>
          <w:sz w:val="32"/>
          <w:szCs w:val="32"/>
        </w:rPr>
        <w:t>水田的，按本标准</w:t>
      </w:r>
      <w:r>
        <w:rPr>
          <w:rFonts w:hint="default" w:ascii="Times New Roman" w:hAnsi="Times New Roman" w:eastAsia="仿宋_GB2312" w:cs="Times New Roman"/>
          <w:color w:val="auto"/>
          <w:kern w:val="2"/>
          <w:sz w:val="32"/>
          <w:szCs w:val="32"/>
          <w:vertAlign w:val="baseline"/>
          <w:lang w:val="zh-CN" w:eastAsia="zh-CN" w:bidi="ar-SA"/>
        </w:rPr>
        <w:t>1</w:t>
      </w:r>
      <w:r>
        <w:rPr>
          <w:rFonts w:hint="default" w:ascii="Times New Roman" w:hAnsi="Times New Roman" w:eastAsia="仿宋_GB2312" w:cs="Times New Roman"/>
          <w:bCs/>
          <w:color w:val="auto"/>
          <w:kern w:val="2"/>
          <w:sz w:val="32"/>
          <w:szCs w:val="32"/>
        </w:rPr>
        <w:t>倍执行；征收园地、林地的，按本标准</w:t>
      </w:r>
      <w:r>
        <w:rPr>
          <w:rFonts w:hint="default" w:ascii="Times New Roman" w:hAnsi="Times New Roman" w:eastAsia="仿宋_GB2312" w:cs="Times New Roman"/>
          <w:color w:val="auto"/>
          <w:kern w:val="2"/>
          <w:sz w:val="32"/>
          <w:szCs w:val="32"/>
          <w:vertAlign w:val="baseline"/>
          <w:lang w:val="zh-CN" w:eastAsia="zh-CN" w:bidi="ar-SA"/>
        </w:rPr>
        <w:t>0.67</w:t>
      </w:r>
      <w:r>
        <w:rPr>
          <w:rFonts w:hint="default" w:ascii="Times New Roman" w:hAnsi="Times New Roman" w:eastAsia="仿宋_GB2312" w:cs="Times New Roman"/>
          <w:bCs/>
          <w:color w:val="auto"/>
          <w:kern w:val="2"/>
          <w:sz w:val="32"/>
          <w:szCs w:val="32"/>
        </w:rPr>
        <w:t>倍执行；征收旱地、其他农用地的</w:t>
      </w:r>
      <w:r>
        <w:rPr>
          <w:rFonts w:hint="default" w:ascii="Times New Roman" w:hAnsi="Times New Roman" w:eastAsia="仿宋_GB2312" w:cs="Times New Roman"/>
          <w:bCs/>
          <w:color w:val="auto"/>
          <w:kern w:val="2"/>
          <w:sz w:val="32"/>
          <w:szCs w:val="32"/>
          <w:lang w:eastAsia="zh-CN"/>
        </w:rPr>
        <w:t>，按</w:t>
      </w:r>
      <w:r>
        <w:rPr>
          <w:rFonts w:hint="default" w:ascii="Times New Roman" w:hAnsi="Times New Roman" w:eastAsia="仿宋_GB2312" w:cs="Times New Roman"/>
          <w:bCs/>
          <w:color w:val="auto"/>
          <w:kern w:val="2"/>
          <w:sz w:val="32"/>
          <w:szCs w:val="32"/>
        </w:rPr>
        <w:t>本标准</w:t>
      </w:r>
      <w:r>
        <w:rPr>
          <w:rFonts w:hint="default" w:ascii="Times New Roman" w:hAnsi="Times New Roman" w:eastAsia="仿宋_GB2312" w:cs="Times New Roman"/>
          <w:color w:val="auto"/>
          <w:kern w:val="2"/>
          <w:sz w:val="32"/>
          <w:szCs w:val="32"/>
          <w:vertAlign w:val="baseline"/>
          <w:lang w:val="zh-CN" w:eastAsia="zh-CN" w:bidi="ar-SA"/>
        </w:rPr>
        <w:t>0.83</w:t>
      </w:r>
      <w:r>
        <w:rPr>
          <w:rFonts w:hint="default" w:ascii="Times New Roman" w:hAnsi="Times New Roman" w:eastAsia="仿宋_GB2312" w:cs="Times New Roman"/>
          <w:bCs/>
          <w:color w:val="auto"/>
          <w:kern w:val="2"/>
          <w:sz w:val="32"/>
          <w:szCs w:val="32"/>
        </w:rPr>
        <w:t>倍执行；征收未利用地的，按本标准的</w:t>
      </w:r>
      <w:r>
        <w:rPr>
          <w:rFonts w:hint="default" w:ascii="Times New Roman" w:hAnsi="Times New Roman" w:eastAsia="仿宋_GB2312" w:cs="Times New Roman"/>
          <w:color w:val="auto"/>
          <w:kern w:val="2"/>
          <w:sz w:val="32"/>
          <w:szCs w:val="32"/>
          <w:vertAlign w:val="baseline"/>
          <w:lang w:val="zh-CN" w:eastAsia="zh-CN" w:bidi="ar-SA"/>
        </w:rPr>
        <w:t>0.5</w:t>
      </w:r>
      <w:r>
        <w:rPr>
          <w:rFonts w:hint="default" w:ascii="Times New Roman" w:hAnsi="Times New Roman" w:eastAsia="仿宋_GB2312" w:cs="Times New Roman"/>
          <w:bCs/>
          <w:color w:val="auto"/>
          <w:kern w:val="2"/>
          <w:sz w:val="32"/>
          <w:szCs w:val="32"/>
        </w:rPr>
        <w:t>倍执行；征收永久基本农田的，按本标准的</w:t>
      </w:r>
      <w:r>
        <w:rPr>
          <w:rFonts w:hint="default" w:ascii="Times New Roman" w:hAnsi="Times New Roman" w:eastAsia="仿宋_GB2312" w:cs="Times New Roman"/>
          <w:color w:val="auto"/>
          <w:kern w:val="2"/>
          <w:sz w:val="32"/>
          <w:szCs w:val="32"/>
          <w:vertAlign w:val="baseline"/>
          <w:lang w:val="zh-CN" w:eastAsia="zh-CN" w:bidi="ar-SA"/>
        </w:rPr>
        <w:t>1.68</w:t>
      </w:r>
      <w:r>
        <w:rPr>
          <w:rFonts w:hint="default" w:ascii="Times New Roman" w:hAnsi="Times New Roman" w:eastAsia="仿宋_GB2312" w:cs="Times New Roman"/>
          <w:bCs/>
          <w:color w:val="auto"/>
          <w:kern w:val="2"/>
          <w:sz w:val="32"/>
          <w:szCs w:val="32"/>
        </w:rPr>
        <w:t>倍执行；征收“恢复属性”地类（指因农业结构调整等原因，将耕地改为园地、林地、草地和坑塘水面等非耕地，且耕作层未被破坏，经国土调查认定可通过清理和工程措施恢复为耕地的土地）的，按本标准的</w:t>
      </w:r>
      <w:r>
        <w:rPr>
          <w:rFonts w:hint="default" w:ascii="Times New Roman" w:hAnsi="Times New Roman" w:eastAsia="仿宋_GB2312" w:cs="Times New Roman"/>
          <w:color w:val="auto"/>
          <w:kern w:val="2"/>
          <w:sz w:val="32"/>
          <w:szCs w:val="32"/>
          <w:vertAlign w:val="baseline"/>
          <w:lang w:val="zh-CN" w:eastAsia="zh-CN" w:bidi="ar-SA"/>
        </w:rPr>
        <w:t>0.8</w:t>
      </w:r>
      <w:r>
        <w:rPr>
          <w:rFonts w:hint="default" w:ascii="Times New Roman" w:hAnsi="Times New Roman" w:eastAsia="仿宋_GB2312" w:cs="Times New Roman"/>
          <w:bCs/>
          <w:color w:val="auto"/>
          <w:kern w:val="2"/>
          <w:sz w:val="32"/>
          <w:szCs w:val="32"/>
        </w:rPr>
        <w:t>倍执行；征收集体建设用地按怀化市人民政府制定的最新文件标准执行。</w:t>
      </w:r>
    </w:p>
    <w:p w14:paraId="03AF962E">
      <w:pPr>
        <w:pStyle w:val="16"/>
        <w:keepNext w:val="0"/>
        <w:keepLines w:val="0"/>
        <w:pageBreakBefore w:val="0"/>
        <w:widowControl w:val="0"/>
        <w:kinsoku/>
        <w:wordWrap/>
        <w:overflowPunct/>
        <w:topLinePunct w:val="0"/>
        <w:autoSpaceDE/>
        <w:autoSpaceDN/>
        <w:bidi w:val="0"/>
        <w:adjustRightInd/>
        <w:snapToGrid/>
        <w:spacing w:beforeAutospacing="0" w:afterAutospacing="0" w:line="620" w:lineRule="exact"/>
        <w:ind w:firstLine="643" w:firstLineChars="200"/>
        <w:textAlignment w:val="auto"/>
        <w:rPr>
          <w:rFonts w:hint="default" w:ascii="Times New Roman" w:hAnsi="Times New Roman" w:eastAsia="仿宋_GB2312" w:cs="Times New Roman"/>
          <w:bCs/>
          <w:color w:val="auto"/>
          <w:kern w:val="2"/>
          <w:sz w:val="32"/>
          <w:szCs w:val="32"/>
          <w:lang w:val="zh-CN"/>
        </w:rPr>
      </w:pPr>
      <w:r>
        <w:rPr>
          <w:rFonts w:hint="default" w:ascii="Times New Roman" w:hAnsi="Times New Roman" w:eastAsia="仿宋_GB2312" w:cs="Times New Roman"/>
          <w:b/>
          <w:color w:val="auto"/>
          <w:kern w:val="2"/>
          <w:sz w:val="32"/>
          <w:szCs w:val="32"/>
        </w:rPr>
        <w:t>第十八条</w:t>
      </w:r>
      <w:r>
        <w:rPr>
          <w:rFonts w:hint="default" w:ascii="Times New Roman" w:hAnsi="Times New Roman" w:eastAsia="仿宋_GB2312" w:cs="Times New Roman"/>
          <w:b/>
          <w:bCs/>
          <w:sz w:val="32"/>
          <w:szCs w:val="32"/>
        </w:rPr>
        <w:t xml:space="preserve"> </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bCs/>
          <w:color w:val="auto"/>
          <w:kern w:val="2"/>
          <w:sz w:val="32"/>
          <w:szCs w:val="32"/>
          <w:lang w:val="zh-CN"/>
        </w:rPr>
        <w:t>青苗补偿费按照被征收土地的批准用途给予补偿，青苗补偿费</w:t>
      </w:r>
      <w:r>
        <w:rPr>
          <w:rFonts w:hint="default" w:ascii="Times New Roman" w:hAnsi="Times New Roman" w:eastAsia="仿宋_GB2312" w:cs="Times New Roman"/>
          <w:bCs/>
          <w:color w:val="auto"/>
          <w:kern w:val="2"/>
          <w:sz w:val="32"/>
          <w:szCs w:val="32"/>
        </w:rPr>
        <w:t>归青苗</w:t>
      </w:r>
      <w:r>
        <w:rPr>
          <w:rFonts w:hint="default" w:ascii="Times New Roman" w:hAnsi="Times New Roman" w:eastAsia="仿宋_GB2312" w:cs="Times New Roman"/>
          <w:bCs/>
          <w:color w:val="auto"/>
          <w:kern w:val="2"/>
          <w:sz w:val="32"/>
          <w:szCs w:val="32"/>
          <w:lang w:val="zh-CN"/>
        </w:rPr>
        <w:t>所有权人所有。</w:t>
      </w:r>
    </w:p>
    <w:p w14:paraId="06804AEC">
      <w:pPr>
        <w:pStyle w:val="16"/>
        <w:keepNext w:val="0"/>
        <w:keepLines w:val="0"/>
        <w:pageBreakBefore w:val="0"/>
        <w:widowControl w:val="0"/>
        <w:kinsoku/>
        <w:wordWrap/>
        <w:overflowPunct/>
        <w:topLinePunct w:val="0"/>
        <w:autoSpaceDE/>
        <w:autoSpaceDN/>
        <w:bidi w:val="0"/>
        <w:adjustRightInd/>
        <w:snapToGrid/>
        <w:spacing w:beforeAutospacing="0" w:afterAutospacing="0" w:line="620" w:lineRule="exact"/>
        <w:ind w:firstLine="640" w:firstLineChars="200"/>
        <w:textAlignment w:val="auto"/>
        <w:rPr>
          <w:rFonts w:hint="default" w:ascii="Times New Roman" w:hAnsi="Times New Roman" w:eastAsia="仿宋_GB2312" w:cs="Times New Roman"/>
          <w:bCs/>
          <w:color w:val="auto"/>
          <w:kern w:val="2"/>
          <w:sz w:val="32"/>
          <w:szCs w:val="32"/>
        </w:rPr>
      </w:pPr>
      <w:r>
        <w:rPr>
          <w:rFonts w:hint="default" w:ascii="Times New Roman" w:hAnsi="Times New Roman" w:eastAsia="仿宋_GB2312" w:cs="Times New Roman"/>
          <w:bCs/>
          <w:color w:val="auto"/>
          <w:kern w:val="2"/>
          <w:sz w:val="32"/>
          <w:szCs w:val="32"/>
          <w:lang w:val="zh-CN"/>
        </w:rPr>
        <w:t>征收范围内水田、旱地的青苗补偿标准按照附件</w:t>
      </w:r>
      <w:r>
        <w:rPr>
          <w:rFonts w:hint="default" w:ascii="Times New Roman" w:hAnsi="Times New Roman" w:eastAsia="仿宋_GB2312" w:cs="Times New Roman"/>
          <w:color w:val="auto"/>
          <w:kern w:val="2"/>
          <w:sz w:val="32"/>
          <w:szCs w:val="32"/>
          <w:vertAlign w:val="baseline"/>
          <w:lang w:val="zh-CN" w:eastAsia="zh-CN" w:bidi="ar-SA"/>
        </w:rPr>
        <w:t>3</w:t>
      </w:r>
      <w:r>
        <w:rPr>
          <w:rFonts w:hint="default" w:ascii="Times New Roman" w:hAnsi="Times New Roman" w:eastAsia="仿宋_GB2312" w:cs="Times New Roman"/>
          <w:bCs/>
          <w:color w:val="auto"/>
          <w:kern w:val="2"/>
          <w:sz w:val="32"/>
          <w:szCs w:val="32"/>
          <w:lang w:val="zh-CN"/>
        </w:rPr>
        <w:t>执行。经批准的专业菜地和专业鱼（池）塘的青苗补偿标准参照水田青苗补偿标准执行；</w:t>
      </w:r>
      <w:r>
        <w:rPr>
          <w:rFonts w:hint="default" w:ascii="Times New Roman" w:hAnsi="Times New Roman" w:eastAsia="仿宋_GB2312" w:cs="Times New Roman"/>
          <w:bCs/>
          <w:color w:val="auto"/>
          <w:kern w:val="2"/>
          <w:sz w:val="32"/>
          <w:szCs w:val="32"/>
        </w:rPr>
        <w:t>用于养殖水产的山塘水库的青苗补偿标准参照邻近旱地补偿标准执行。</w:t>
      </w:r>
    </w:p>
    <w:p w14:paraId="30183EB7">
      <w:pPr>
        <w:pStyle w:val="16"/>
        <w:keepNext w:val="0"/>
        <w:keepLines w:val="0"/>
        <w:pageBreakBefore w:val="0"/>
        <w:widowControl w:val="0"/>
        <w:kinsoku/>
        <w:wordWrap/>
        <w:overflowPunct/>
        <w:topLinePunct w:val="0"/>
        <w:autoSpaceDE/>
        <w:autoSpaceDN/>
        <w:bidi w:val="0"/>
        <w:adjustRightInd/>
        <w:snapToGrid/>
        <w:spacing w:beforeAutospacing="0" w:afterAutospacing="0" w:line="620" w:lineRule="exact"/>
        <w:ind w:firstLine="640" w:firstLineChars="200"/>
        <w:textAlignment w:val="auto"/>
        <w:rPr>
          <w:rFonts w:hint="default" w:ascii="Times New Roman" w:hAnsi="Times New Roman" w:eastAsia="仿宋_GB2312" w:cs="Times New Roman"/>
          <w:bCs/>
          <w:color w:val="auto"/>
          <w:kern w:val="2"/>
          <w:sz w:val="32"/>
          <w:szCs w:val="32"/>
          <w:lang w:val="zh-CN"/>
        </w:rPr>
      </w:pPr>
      <w:r>
        <w:rPr>
          <w:rFonts w:hint="default" w:ascii="Times New Roman" w:hAnsi="Times New Roman" w:eastAsia="仿宋_GB2312" w:cs="Times New Roman"/>
          <w:bCs/>
          <w:color w:val="auto"/>
          <w:kern w:val="2"/>
          <w:sz w:val="32"/>
          <w:szCs w:val="32"/>
          <w:lang w:val="zh-CN"/>
        </w:rPr>
        <w:t>征收范围内成片用材林、果树、经济林的青苗补偿标准按照附件</w:t>
      </w:r>
      <w:r>
        <w:rPr>
          <w:rFonts w:hint="default" w:ascii="Times New Roman" w:hAnsi="Times New Roman" w:eastAsia="仿宋_GB2312" w:cs="Times New Roman"/>
          <w:color w:val="auto"/>
          <w:kern w:val="2"/>
          <w:sz w:val="32"/>
          <w:szCs w:val="32"/>
          <w:vertAlign w:val="baseline"/>
          <w:lang w:val="zh-CN" w:eastAsia="zh-CN" w:bidi="ar-SA"/>
        </w:rPr>
        <w:t>4</w:t>
      </w:r>
      <w:r>
        <w:rPr>
          <w:rFonts w:hint="default" w:ascii="Times New Roman" w:hAnsi="Times New Roman" w:eastAsia="仿宋_GB2312" w:cs="Times New Roman"/>
          <w:bCs/>
          <w:color w:val="auto"/>
          <w:kern w:val="2"/>
          <w:sz w:val="32"/>
          <w:szCs w:val="32"/>
          <w:lang w:val="zh-CN"/>
        </w:rPr>
        <w:t>执行。</w:t>
      </w:r>
    </w:p>
    <w:p w14:paraId="277042E4">
      <w:pPr>
        <w:pStyle w:val="16"/>
        <w:keepNext w:val="0"/>
        <w:keepLines w:val="0"/>
        <w:pageBreakBefore w:val="0"/>
        <w:widowControl w:val="0"/>
        <w:kinsoku/>
        <w:wordWrap/>
        <w:overflowPunct/>
        <w:topLinePunct w:val="0"/>
        <w:autoSpaceDE/>
        <w:autoSpaceDN/>
        <w:bidi w:val="0"/>
        <w:adjustRightInd/>
        <w:snapToGrid/>
        <w:spacing w:beforeAutospacing="0" w:afterAutospacing="0" w:line="620" w:lineRule="exact"/>
        <w:ind w:firstLine="640" w:firstLineChars="200"/>
        <w:textAlignment w:val="auto"/>
        <w:rPr>
          <w:rFonts w:hint="default" w:ascii="Times New Roman" w:hAnsi="Times New Roman" w:eastAsia="仿宋_GB2312" w:cs="Times New Roman"/>
          <w:bCs/>
          <w:color w:val="auto"/>
          <w:kern w:val="2"/>
          <w:sz w:val="32"/>
          <w:szCs w:val="32"/>
          <w:lang w:val="zh-CN"/>
        </w:rPr>
      </w:pPr>
      <w:r>
        <w:rPr>
          <w:rFonts w:hint="default" w:ascii="Times New Roman" w:hAnsi="Times New Roman" w:eastAsia="仿宋_GB2312" w:cs="Times New Roman"/>
          <w:bCs/>
          <w:color w:val="auto"/>
          <w:kern w:val="2"/>
          <w:sz w:val="32"/>
          <w:szCs w:val="32"/>
          <w:lang w:val="zh-CN"/>
        </w:rPr>
        <w:t>征收建设用地范围内零星树木、竹类、果树、经济林、苗木、花卉的青苗补偿标准按照附件</w:t>
      </w:r>
      <w:r>
        <w:rPr>
          <w:rFonts w:hint="default" w:ascii="Times New Roman" w:hAnsi="Times New Roman" w:eastAsia="仿宋_GB2312" w:cs="Times New Roman"/>
          <w:color w:val="auto"/>
          <w:kern w:val="2"/>
          <w:sz w:val="32"/>
          <w:szCs w:val="32"/>
          <w:vertAlign w:val="baseline"/>
          <w:lang w:val="zh-CN" w:eastAsia="zh-CN" w:bidi="ar-SA"/>
        </w:rPr>
        <w:t>5</w:t>
      </w:r>
      <w:r>
        <w:rPr>
          <w:rFonts w:hint="default" w:ascii="Times New Roman" w:hAnsi="Times New Roman" w:eastAsia="仿宋_GB2312" w:cs="Times New Roman"/>
          <w:bCs/>
          <w:color w:val="auto"/>
          <w:kern w:val="2"/>
          <w:sz w:val="32"/>
          <w:szCs w:val="32"/>
          <w:lang w:val="zh-CN"/>
        </w:rPr>
        <w:t>执行。</w:t>
      </w:r>
    </w:p>
    <w:p w14:paraId="1557F239">
      <w:pPr>
        <w:pStyle w:val="16"/>
        <w:keepNext w:val="0"/>
        <w:keepLines w:val="0"/>
        <w:pageBreakBefore w:val="0"/>
        <w:widowControl w:val="0"/>
        <w:kinsoku/>
        <w:wordWrap/>
        <w:overflowPunct/>
        <w:topLinePunct w:val="0"/>
        <w:autoSpaceDE/>
        <w:autoSpaceDN/>
        <w:bidi w:val="0"/>
        <w:adjustRightInd/>
        <w:snapToGrid/>
        <w:spacing w:beforeAutospacing="0" w:afterAutospacing="0" w:line="620" w:lineRule="exact"/>
        <w:ind w:firstLine="640" w:firstLineChars="200"/>
        <w:textAlignment w:val="auto"/>
        <w:rPr>
          <w:rFonts w:hint="default" w:ascii="Times New Roman" w:hAnsi="Times New Roman" w:eastAsia="仿宋_GB2312" w:cs="Times New Roman"/>
          <w:bCs/>
          <w:color w:val="auto"/>
          <w:kern w:val="2"/>
          <w:sz w:val="32"/>
          <w:szCs w:val="32"/>
          <w:lang w:val="zh-CN"/>
        </w:rPr>
      </w:pPr>
      <w:r>
        <w:rPr>
          <w:rFonts w:hint="default" w:ascii="Times New Roman" w:hAnsi="Times New Roman" w:eastAsia="仿宋_GB2312" w:cs="Times New Roman"/>
          <w:bCs/>
          <w:color w:val="auto"/>
          <w:kern w:val="2"/>
          <w:sz w:val="32"/>
          <w:szCs w:val="32"/>
          <w:lang w:val="zh-CN"/>
        </w:rPr>
        <w:t>经批准种植的农产品、中草药，可采取评估方式给予补偿。</w:t>
      </w:r>
    </w:p>
    <w:p w14:paraId="50D05819">
      <w:pPr>
        <w:pStyle w:val="16"/>
        <w:keepNext w:val="0"/>
        <w:keepLines w:val="0"/>
        <w:pageBreakBefore w:val="0"/>
        <w:widowControl w:val="0"/>
        <w:kinsoku/>
        <w:wordWrap/>
        <w:overflowPunct/>
        <w:topLinePunct w:val="0"/>
        <w:autoSpaceDE/>
        <w:autoSpaceDN/>
        <w:bidi w:val="0"/>
        <w:adjustRightInd/>
        <w:snapToGrid/>
        <w:spacing w:beforeAutospacing="0" w:afterAutospacing="0" w:line="620" w:lineRule="exact"/>
        <w:ind w:firstLine="643" w:firstLineChars="200"/>
        <w:textAlignment w:val="auto"/>
        <w:rPr>
          <w:rFonts w:hint="default" w:ascii="Times New Roman" w:hAnsi="Times New Roman" w:eastAsia="仿宋_GB2312" w:cs="Times New Roman"/>
          <w:bCs/>
          <w:color w:val="auto"/>
          <w:kern w:val="2"/>
          <w:sz w:val="32"/>
          <w:szCs w:val="32"/>
          <w:u w:val="none"/>
          <w:lang w:val="zh-CN"/>
        </w:rPr>
      </w:pPr>
      <w:r>
        <w:rPr>
          <w:rFonts w:hint="default" w:ascii="Times New Roman" w:hAnsi="Times New Roman" w:eastAsia="仿宋_GB2312" w:cs="Times New Roman"/>
          <w:b/>
          <w:bCs/>
          <w:color w:val="auto"/>
          <w:kern w:val="2"/>
          <w:sz w:val="32"/>
          <w:szCs w:val="32"/>
        </w:rPr>
        <w:t>第十九条</w:t>
      </w:r>
      <w:r>
        <w:rPr>
          <w:rFonts w:hint="default" w:ascii="Times New Roman" w:hAnsi="Times New Roman" w:eastAsia="仿宋_GB2312" w:cs="Times New Roman"/>
          <w:b/>
          <w:bCs/>
          <w:sz w:val="32"/>
          <w:szCs w:val="32"/>
        </w:rPr>
        <w:t xml:space="preserve"> </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bCs/>
          <w:color w:val="auto"/>
          <w:kern w:val="2"/>
          <w:sz w:val="32"/>
          <w:szCs w:val="32"/>
          <w:u w:val="none"/>
          <w:lang w:val="zh-CN"/>
        </w:rPr>
        <w:t>自</w:t>
      </w:r>
      <w:r>
        <w:rPr>
          <w:rFonts w:hint="default" w:ascii="Times New Roman" w:hAnsi="Times New Roman" w:eastAsia="仿宋_GB2312" w:cs="Times New Roman"/>
          <w:bCs/>
          <w:color w:val="auto"/>
          <w:kern w:val="2"/>
          <w:sz w:val="32"/>
          <w:szCs w:val="32"/>
          <w:u w:val="none"/>
        </w:rPr>
        <w:t>征收土地预公告发布</w:t>
      </w:r>
      <w:r>
        <w:rPr>
          <w:rFonts w:hint="default" w:ascii="Times New Roman" w:hAnsi="Times New Roman" w:eastAsia="仿宋_GB2312" w:cs="Times New Roman"/>
          <w:bCs/>
          <w:color w:val="auto"/>
          <w:kern w:val="2"/>
          <w:sz w:val="32"/>
          <w:szCs w:val="32"/>
          <w:u w:val="none"/>
          <w:lang w:val="zh-CN"/>
        </w:rPr>
        <w:t>之日起，根据“一户一宅”的原则，被征收户一户只能认定拥有一处宅基地。</w:t>
      </w:r>
    </w:p>
    <w:p w14:paraId="43403AF4">
      <w:pPr>
        <w:pStyle w:val="16"/>
        <w:keepNext w:val="0"/>
        <w:keepLines w:val="0"/>
        <w:pageBreakBefore w:val="0"/>
        <w:widowControl w:val="0"/>
        <w:kinsoku/>
        <w:wordWrap/>
        <w:overflowPunct/>
        <w:topLinePunct w:val="0"/>
        <w:autoSpaceDE/>
        <w:autoSpaceDN/>
        <w:bidi w:val="0"/>
        <w:adjustRightInd/>
        <w:snapToGrid/>
        <w:spacing w:beforeAutospacing="0" w:afterAutospacing="0" w:line="620" w:lineRule="exact"/>
        <w:ind w:firstLine="640" w:firstLineChars="200"/>
        <w:textAlignment w:val="auto"/>
        <w:rPr>
          <w:rFonts w:hint="default" w:ascii="Times New Roman" w:hAnsi="Times New Roman" w:eastAsia="仿宋_GB2312" w:cs="Times New Roman"/>
          <w:bCs/>
          <w:color w:val="auto"/>
          <w:kern w:val="2"/>
          <w:sz w:val="32"/>
          <w:szCs w:val="32"/>
          <w:lang w:eastAsia="zh-CN"/>
        </w:rPr>
      </w:pPr>
      <w:r>
        <w:rPr>
          <w:rFonts w:hint="default" w:ascii="Times New Roman" w:hAnsi="Times New Roman" w:eastAsia="仿宋_GB2312" w:cs="Times New Roman"/>
          <w:bCs/>
          <w:color w:val="auto"/>
          <w:kern w:val="2"/>
          <w:sz w:val="32"/>
          <w:szCs w:val="32"/>
          <w:lang w:val="zh-CN"/>
        </w:rPr>
        <w:t>具有</w:t>
      </w:r>
      <w:r>
        <w:rPr>
          <w:rFonts w:hint="default" w:ascii="Times New Roman" w:hAnsi="Times New Roman" w:eastAsia="仿宋_GB2312" w:cs="Times New Roman"/>
          <w:bCs/>
          <w:color w:val="auto"/>
          <w:kern w:val="2"/>
          <w:sz w:val="32"/>
          <w:szCs w:val="32"/>
          <w:u w:val="none"/>
          <w:lang w:val="zh-CN"/>
        </w:rPr>
        <w:t>合法手续</w:t>
      </w:r>
      <w:r>
        <w:rPr>
          <w:rFonts w:hint="default" w:ascii="Times New Roman" w:hAnsi="Times New Roman" w:eastAsia="仿宋_GB2312" w:cs="Times New Roman"/>
          <w:bCs/>
          <w:color w:val="auto"/>
          <w:kern w:val="2"/>
          <w:sz w:val="32"/>
          <w:szCs w:val="32"/>
          <w:lang w:val="zh-CN"/>
        </w:rPr>
        <w:t>的房屋按实际面积进行补偿；</w:t>
      </w:r>
      <w:r>
        <w:rPr>
          <w:rFonts w:hint="default" w:ascii="Times New Roman" w:hAnsi="Times New Roman" w:eastAsia="仿宋_GB2312" w:cs="Times New Roman"/>
          <w:bCs/>
          <w:color w:val="auto"/>
          <w:kern w:val="2"/>
          <w:sz w:val="32"/>
          <w:szCs w:val="32"/>
        </w:rPr>
        <w:t>因特殊情况未办理</w:t>
      </w:r>
      <w:r>
        <w:rPr>
          <w:rFonts w:hint="default" w:ascii="Times New Roman" w:hAnsi="Times New Roman" w:eastAsia="仿宋_GB2312" w:cs="Times New Roman"/>
          <w:bCs/>
          <w:color w:val="auto"/>
          <w:kern w:val="2"/>
          <w:sz w:val="32"/>
          <w:szCs w:val="32"/>
          <w:lang w:val="zh-CN"/>
        </w:rPr>
        <w:t>手续的房屋，经审查同时符合下列条件的，补办建房手续及补交税费后，按户计算被征收房屋合法建筑面积</w:t>
      </w:r>
      <w:r>
        <w:rPr>
          <w:rFonts w:hint="default" w:ascii="Times New Roman" w:hAnsi="Times New Roman" w:eastAsia="仿宋_GB2312" w:cs="Times New Roman"/>
          <w:bCs/>
          <w:color w:val="auto"/>
          <w:kern w:val="2"/>
          <w:sz w:val="32"/>
          <w:szCs w:val="32"/>
          <w:lang w:eastAsia="zh-CN"/>
        </w:rPr>
        <w:t>：</w:t>
      </w:r>
    </w:p>
    <w:p w14:paraId="403C1FD0">
      <w:pPr>
        <w:pStyle w:val="16"/>
        <w:keepNext w:val="0"/>
        <w:keepLines w:val="0"/>
        <w:pageBreakBefore w:val="0"/>
        <w:widowControl w:val="0"/>
        <w:kinsoku/>
        <w:wordWrap/>
        <w:overflowPunct/>
        <w:topLinePunct w:val="0"/>
        <w:autoSpaceDE/>
        <w:autoSpaceDN/>
        <w:bidi w:val="0"/>
        <w:adjustRightInd/>
        <w:snapToGrid/>
        <w:spacing w:beforeAutospacing="0" w:afterAutospacing="0" w:line="620" w:lineRule="exact"/>
        <w:ind w:firstLine="640" w:firstLineChars="200"/>
        <w:textAlignment w:val="auto"/>
        <w:rPr>
          <w:rFonts w:hint="default" w:ascii="Times New Roman" w:hAnsi="Times New Roman" w:eastAsia="仿宋_GB2312" w:cs="Times New Roman"/>
          <w:bCs/>
          <w:color w:val="auto"/>
          <w:kern w:val="2"/>
          <w:sz w:val="32"/>
          <w:szCs w:val="32"/>
          <w:lang w:val="zh-CN"/>
        </w:rPr>
      </w:pPr>
      <w:r>
        <w:rPr>
          <w:rFonts w:hint="default" w:ascii="Times New Roman" w:hAnsi="Times New Roman" w:eastAsia="仿宋_GB2312" w:cs="Times New Roman"/>
          <w:bCs/>
          <w:color w:val="auto"/>
          <w:kern w:val="2"/>
          <w:sz w:val="32"/>
          <w:szCs w:val="32"/>
          <w:lang w:val="zh-CN"/>
        </w:rPr>
        <w:t>（</w:t>
      </w:r>
      <w:r>
        <w:rPr>
          <w:rFonts w:hint="default" w:ascii="Times New Roman" w:hAnsi="Times New Roman" w:eastAsia="仿宋_GB2312" w:cs="Times New Roman"/>
          <w:bCs/>
          <w:color w:val="auto"/>
          <w:kern w:val="2"/>
          <w:sz w:val="32"/>
          <w:szCs w:val="32"/>
        </w:rPr>
        <w:t>一）</w:t>
      </w:r>
      <w:r>
        <w:rPr>
          <w:rFonts w:hint="default" w:ascii="Times New Roman" w:hAnsi="Times New Roman" w:eastAsia="仿宋_GB2312" w:cs="Times New Roman"/>
          <w:bCs/>
          <w:color w:val="auto"/>
          <w:kern w:val="2"/>
          <w:sz w:val="32"/>
          <w:szCs w:val="32"/>
          <w:lang w:val="zh-CN"/>
        </w:rPr>
        <w:t>被征收户具有农村村民建房资格；</w:t>
      </w:r>
    </w:p>
    <w:p w14:paraId="2C38FE9A">
      <w:pPr>
        <w:pStyle w:val="16"/>
        <w:keepNext w:val="0"/>
        <w:keepLines w:val="0"/>
        <w:pageBreakBefore w:val="0"/>
        <w:widowControl w:val="0"/>
        <w:kinsoku/>
        <w:wordWrap/>
        <w:overflowPunct/>
        <w:topLinePunct w:val="0"/>
        <w:autoSpaceDE/>
        <w:autoSpaceDN/>
        <w:bidi w:val="0"/>
        <w:adjustRightInd/>
        <w:snapToGrid/>
        <w:spacing w:beforeAutospacing="0" w:afterAutospacing="0" w:line="620" w:lineRule="exact"/>
        <w:ind w:firstLine="640" w:firstLineChars="200"/>
        <w:textAlignment w:val="auto"/>
        <w:rPr>
          <w:rFonts w:hint="default" w:ascii="Times New Roman" w:hAnsi="Times New Roman" w:eastAsia="仿宋_GB2312" w:cs="Times New Roman"/>
          <w:bCs/>
          <w:color w:val="auto"/>
          <w:kern w:val="2"/>
          <w:sz w:val="32"/>
          <w:szCs w:val="32"/>
          <w:lang w:val="zh-CN"/>
        </w:rPr>
      </w:pPr>
      <w:r>
        <w:rPr>
          <w:rFonts w:hint="default" w:ascii="Times New Roman" w:hAnsi="Times New Roman" w:eastAsia="仿宋_GB2312" w:cs="Times New Roman"/>
          <w:bCs/>
          <w:color w:val="auto"/>
          <w:kern w:val="2"/>
          <w:sz w:val="32"/>
          <w:szCs w:val="32"/>
          <w:lang w:val="zh-CN"/>
        </w:rPr>
        <w:t>（</w:t>
      </w:r>
      <w:r>
        <w:rPr>
          <w:rFonts w:hint="default" w:ascii="Times New Roman" w:hAnsi="Times New Roman" w:eastAsia="仿宋_GB2312" w:cs="Times New Roman"/>
          <w:bCs/>
          <w:color w:val="auto"/>
          <w:kern w:val="2"/>
          <w:sz w:val="32"/>
          <w:szCs w:val="32"/>
        </w:rPr>
        <w:t>二）</w:t>
      </w:r>
      <w:r>
        <w:rPr>
          <w:rFonts w:hint="default" w:ascii="Times New Roman" w:hAnsi="Times New Roman" w:eastAsia="仿宋_GB2312" w:cs="Times New Roman"/>
          <w:bCs/>
          <w:color w:val="auto"/>
          <w:kern w:val="2"/>
          <w:sz w:val="32"/>
          <w:szCs w:val="32"/>
          <w:lang w:val="zh-CN"/>
        </w:rPr>
        <w:t>因政府规划控制停办村民建房审批手续；</w:t>
      </w:r>
    </w:p>
    <w:p w14:paraId="58D66322">
      <w:pPr>
        <w:pStyle w:val="16"/>
        <w:keepNext w:val="0"/>
        <w:keepLines w:val="0"/>
        <w:pageBreakBefore w:val="0"/>
        <w:widowControl w:val="0"/>
        <w:kinsoku/>
        <w:wordWrap/>
        <w:overflowPunct/>
        <w:topLinePunct w:val="0"/>
        <w:autoSpaceDE/>
        <w:autoSpaceDN/>
        <w:bidi w:val="0"/>
        <w:adjustRightInd/>
        <w:snapToGrid/>
        <w:spacing w:beforeAutospacing="0" w:afterAutospacing="0" w:line="620" w:lineRule="exact"/>
        <w:ind w:firstLine="640" w:firstLineChars="200"/>
        <w:textAlignment w:val="auto"/>
        <w:rPr>
          <w:rFonts w:hint="default" w:ascii="Times New Roman" w:hAnsi="Times New Roman" w:eastAsia="仿宋_GB2312" w:cs="Times New Roman"/>
          <w:bCs/>
          <w:color w:val="auto"/>
          <w:kern w:val="2"/>
          <w:sz w:val="32"/>
          <w:szCs w:val="32"/>
          <w:lang w:val="zh-CN"/>
        </w:rPr>
      </w:pPr>
      <w:r>
        <w:rPr>
          <w:rFonts w:hint="default" w:ascii="Times New Roman" w:hAnsi="Times New Roman" w:eastAsia="仿宋_GB2312" w:cs="Times New Roman"/>
          <w:bCs/>
          <w:color w:val="auto"/>
          <w:kern w:val="2"/>
          <w:sz w:val="32"/>
          <w:szCs w:val="32"/>
        </w:rPr>
        <w:t>（三）</w:t>
      </w:r>
      <w:r>
        <w:rPr>
          <w:rFonts w:hint="default" w:ascii="Times New Roman" w:hAnsi="Times New Roman" w:eastAsia="仿宋_GB2312" w:cs="Times New Roman"/>
          <w:bCs/>
          <w:color w:val="auto"/>
          <w:kern w:val="2"/>
          <w:sz w:val="32"/>
          <w:szCs w:val="32"/>
          <w:lang w:val="zh-CN"/>
        </w:rPr>
        <w:t>被征收户仅有一处住房，房屋生活设施齐全且一直居住。</w:t>
      </w:r>
    </w:p>
    <w:p w14:paraId="79304EA2">
      <w:pPr>
        <w:pStyle w:val="16"/>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0" w:firstLineChars="200"/>
        <w:textAlignment w:val="auto"/>
        <w:rPr>
          <w:rFonts w:hint="default" w:ascii="Times New Roman" w:hAnsi="Times New Roman" w:eastAsia="仿宋_GB2312" w:cs="Times New Roman"/>
          <w:bCs/>
          <w:color w:val="auto"/>
          <w:kern w:val="2"/>
          <w:sz w:val="32"/>
          <w:szCs w:val="32"/>
          <w:highlight w:val="red"/>
          <w:lang w:val="zh-CN"/>
        </w:rPr>
      </w:pPr>
      <w:r>
        <w:rPr>
          <w:rFonts w:hint="default" w:ascii="Times New Roman" w:hAnsi="Times New Roman" w:eastAsia="仿宋_GB2312" w:cs="Times New Roman"/>
          <w:bCs/>
          <w:color w:val="auto"/>
          <w:kern w:val="2"/>
          <w:sz w:val="32"/>
          <w:szCs w:val="32"/>
          <w:lang w:val="zh-CN"/>
        </w:rPr>
        <w:t>违法占地修建的房屋部分视为违法建筑，不予补偿。</w:t>
      </w:r>
    </w:p>
    <w:p w14:paraId="0F07426E">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bCs/>
          <w:color w:val="auto"/>
          <w:sz w:val="32"/>
          <w:szCs w:val="32"/>
          <w:lang w:val="zh-CN"/>
        </w:rPr>
      </w:pPr>
      <w:r>
        <w:rPr>
          <w:rFonts w:hint="default" w:ascii="Times New Roman" w:hAnsi="Times New Roman" w:eastAsia="仿宋_GB2312" w:cs="Times New Roman"/>
          <w:b/>
          <w:bCs/>
          <w:color w:val="auto"/>
          <w:sz w:val="32"/>
          <w:szCs w:val="32"/>
        </w:rPr>
        <w:t>第二十条</w:t>
      </w:r>
      <w:r>
        <w:rPr>
          <w:rFonts w:hint="default" w:ascii="Times New Roman" w:hAnsi="Times New Roman" w:eastAsia="仿宋_GB2312" w:cs="Times New Roman"/>
          <w:b/>
          <w:bCs/>
          <w:sz w:val="32"/>
          <w:szCs w:val="32"/>
        </w:rPr>
        <w:t xml:space="preserve"> </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bCs/>
          <w:color w:val="auto"/>
          <w:sz w:val="32"/>
          <w:szCs w:val="32"/>
          <w:lang w:val="zh-CN"/>
        </w:rPr>
        <w:t>被征收</w:t>
      </w:r>
      <w:r>
        <w:rPr>
          <w:rFonts w:hint="default" w:ascii="Times New Roman" w:hAnsi="Times New Roman" w:eastAsia="仿宋_GB2312" w:cs="Times New Roman"/>
          <w:bCs/>
          <w:color w:val="auto"/>
          <w:sz w:val="32"/>
          <w:szCs w:val="32"/>
        </w:rPr>
        <w:t>房屋</w:t>
      </w:r>
      <w:r>
        <w:rPr>
          <w:rFonts w:hint="default" w:ascii="Times New Roman" w:hAnsi="Times New Roman" w:eastAsia="仿宋_GB2312" w:cs="Times New Roman"/>
          <w:bCs/>
          <w:color w:val="auto"/>
          <w:sz w:val="32"/>
          <w:szCs w:val="32"/>
          <w:lang w:val="zh-CN"/>
        </w:rPr>
        <w:t>合法建筑面积按照附件</w:t>
      </w:r>
      <w:r>
        <w:rPr>
          <w:rFonts w:hint="default" w:ascii="Times New Roman" w:hAnsi="Times New Roman" w:eastAsia="仿宋_GB2312" w:cs="Times New Roman"/>
          <w:color w:val="auto"/>
          <w:kern w:val="2"/>
          <w:sz w:val="32"/>
          <w:szCs w:val="32"/>
          <w:vertAlign w:val="baseline"/>
          <w:lang w:val="zh-CN" w:eastAsia="zh-CN" w:bidi="ar-SA"/>
        </w:rPr>
        <w:t>6</w:t>
      </w:r>
      <w:r>
        <w:rPr>
          <w:rFonts w:hint="default" w:ascii="Times New Roman" w:hAnsi="Times New Roman" w:eastAsia="仿宋_GB2312" w:cs="Times New Roman"/>
          <w:bCs/>
          <w:color w:val="auto"/>
          <w:sz w:val="32"/>
          <w:szCs w:val="32"/>
          <w:lang w:val="zh-CN"/>
        </w:rPr>
        <w:t>、附件</w:t>
      </w:r>
      <w:r>
        <w:rPr>
          <w:rFonts w:hint="default" w:ascii="Times New Roman" w:hAnsi="Times New Roman" w:eastAsia="仿宋_GB2312" w:cs="Times New Roman"/>
          <w:color w:val="auto"/>
          <w:kern w:val="2"/>
          <w:sz w:val="32"/>
          <w:szCs w:val="32"/>
          <w:vertAlign w:val="baseline"/>
          <w:lang w:val="zh-CN" w:eastAsia="zh-CN" w:bidi="ar-SA"/>
        </w:rPr>
        <w:t>7</w:t>
      </w:r>
      <w:r>
        <w:rPr>
          <w:rFonts w:hint="default" w:ascii="Times New Roman" w:hAnsi="Times New Roman" w:eastAsia="仿宋_GB2312" w:cs="Times New Roman"/>
          <w:bCs/>
          <w:color w:val="auto"/>
          <w:sz w:val="32"/>
          <w:szCs w:val="32"/>
          <w:lang w:val="zh-CN"/>
        </w:rPr>
        <w:t>规定的</w:t>
      </w:r>
      <w:r>
        <w:rPr>
          <w:rFonts w:hint="default" w:ascii="Times New Roman" w:hAnsi="Times New Roman" w:eastAsia="仿宋_GB2312" w:cs="Times New Roman"/>
          <w:bCs/>
          <w:color w:val="auto"/>
          <w:sz w:val="32"/>
          <w:szCs w:val="32"/>
        </w:rPr>
        <w:t>房屋</w:t>
      </w:r>
      <w:r>
        <w:rPr>
          <w:rFonts w:hint="default" w:ascii="Times New Roman" w:hAnsi="Times New Roman" w:eastAsia="仿宋_GB2312" w:cs="Times New Roman"/>
          <w:bCs/>
          <w:color w:val="auto"/>
          <w:sz w:val="32"/>
          <w:szCs w:val="32"/>
          <w:lang w:val="zh-CN"/>
        </w:rPr>
        <w:t>征收</w:t>
      </w:r>
      <w:r>
        <w:rPr>
          <w:rFonts w:hint="default" w:ascii="Times New Roman" w:hAnsi="Times New Roman" w:eastAsia="仿宋_GB2312" w:cs="Times New Roman"/>
          <w:bCs/>
          <w:color w:val="auto"/>
          <w:sz w:val="32"/>
          <w:szCs w:val="32"/>
        </w:rPr>
        <w:t>补偿</w:t>
      </w:r>
      <w:r>
        <w:rPr>
          <w:rFonts w:hint="default" w:ascii="Times New Roman" w:hAnsi="Times New Roman" w:eastAsia="仿宋_GB2312" w:cs="Times New Roman"/>
          <w:bCs/>
          <w:color w:val="auto"/>
          <w:sz w:val="32"/>
          <w:szCs w:val="32"/>
          <w:lang w:val="zh-CN"/>
        </w:rPr>
        <w:t>标准</w:t>
      </w:r>
      <w:r>
        <w:rPr>
          <w:rFonts w:hint="default" w:ascii="Times New Roman" w:hAnsi="Times New Roman" w:eastAsia="仿宋_GB2312" w:cs="Times New Roman"/>
          <w:bCs/>
          <w:color w:val="auto"/>
          <w:sz w:val="32"/>
          <w:szCs w:val="32"/>
        </w:rPr>
        <w:t>执行</w:t>
      </w:r>
      <w:r>
        <w:rPr>
          <w:rFonts w:hint="default" w:ascii="Times New Roman" w:hAnsi="Times New Roman" w:eastAsia="仿宋_GB2312" w:cs="Times New Roman"/>
          <w:bCs/>
          <w:color w:val="auto"/>
          <w:sz w:val="32"/>
          <w:szCs w:val="32"/>
          <w:lang w:val="zh-CN"/>
        </w:rPr>
        <w:t>。由征收</w:t>
      </w:r>
      <w:r>
        <w:rPr>
          <w:rFonts w:hint="default" w:ascii="Times New Roman" w:hAnsi="Times New Roman" w:eastAsia="仿宋_GB2312" w:cs="Times New Roman"/>
          <w:bCs/>
          <w:color w:val="auto"/>
          <w:sz w:val="32"/>
          <w:szCs w:val="32"/>
        </w:rPr>
        <w:t>实施机构委托具有资质的专业机构</w:t>
      </w:r>
      <w:r>
        <w:rPr>
          <w:rFonts w:hint="default" w:ascii="Times New Roman" w:hAnsi="Times New Roman" w:eastAsia="仿宋_GB2312" w:cs="Times New Roman"/>
          <w:bCs/>
          <w:color w:val="auto"/>
          <w:sz w:val="32"/>
          <w:szCs w:val="32"/>
          <w:lang w:val="zh-CN"/>
        </w:rPr>
        <w:t>对被征收</w:t>
      </w:r>
      <w:r>
        <w:rPr>
          <w:rFonts w:hint="default" w:ascii="Times New Roman" w:hAnsi="Times New Roman" w:eastAsia="仿宋_GB2312" w:cs="Times New Roman"/>
          <w:bCs/>
          <w:color w:val="auto"/>
          <w:sz w:val="32"/>
          <w:szCs w:val="32"/>
        </w:rPr>
        <w:t>房屋</w:t>
      </w:r>
      <w:r>
        <w:rPr>
          <w:rFonts w:hint="default" w:ascii="Times New Roman" w:hAnsi="Times New Roman" w:eastAsia="仿宋_GB2312" w:cs="Times New Roman"/>
          <w:bCs/>
          <w:color w:val="auto"/>
          <w:sz w:val="32"/>
          <w:szCs w:val="32"/>
          <w:lang w:val="zh-CN"/>
        </w:rPr>
        <w:t>进行实地测量，并</w:t>
      </w:r>
      <w:r>
        <w:rPr>
          <w:rFonts w:hint="default" w:ascii="Times New Roman" w:hAnsi="Times New Roman" w:eastAsia="仿宋_GB2312" w:cs="Times New Roman"/>
          <w:bCs/>
          <w:color w:val="auto"/>
          <w:sz w:val="32"/>
          <w:szCs w:val="32"/>
        </w:rPr>
        <w:t>出具测绘成果</w:t>
      </w:r>
      <w:r>
        <w:rPr>
          <w:rFonts w:hint="default" w:ascii="Times New Roman" w:hAnsi="Times New Roman" w:eastAsia="仿宋_GB2312" w:cs="Times New Roman"/>
          <w:bCs/>
          <w:color w:val="auto"/>
          <w:sz w:val="32"/>
          <w:szCs w:val="32"/>
          <w:lang w:val="zh-CN"/>
        </w:rPr>
        <w:t>。</w:t>
      </w:r>
    </w:p>
    <w:p w14:paraId="473C1AAA">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Cs/>
          <w:color w:val="auto"/>
          <w:sz w:val="32"/>
          <w:szCs w:val="32"/>
          <w:lang w:val="zh-CN"/>
        </w:rPr>
      </w:pPr>
      <w:r>
        <w:rPr>
          <w:rFonts w:hint="default" w:ascii="Times New Roman" w:hAnsi="Times New Roman" w:eastAsia="仿宋_GB2312" w:cs="Times New Roman"/>
          <w:bCs/>
          <w:color w:val="auto"/>
          <w:sz w:val="32"/>
          <w:szCs w:val="32"/>
        </w:rPr>
        <w:t>对被征收房屋的合法建筑面积装修（饰），以不超过最高补偿标准的价格包干补偿。具体按照附件</w:t>
      </w:r>
      <w:r>
        <w:rPr>
          <w:rFonts w:hint="default" w:ascii="Times New Roman" w:hAnsi="Times New Roman" w:eastAsia="仿宋_GB2312" w:cs="Times New Roman"/>
          <w:color w:val="auto"/>
          <w:kern w:val="2"/>
          <w:sz w:val="32"/>
          <w:szCs w:val="32"/>
          <w:vertAlign w:val="baseline"/>
          <w:lang w:val="zh-CN" w:eastAsia="zh-CN" w:bidi="ar-SA"/>
        </w:rPr>
        <w:t>8</w:t>
      </w:r>
      <w:r>
        <w:rPr>
          <w:rFonts w:hint="default" w:ascii="Times New Roman" w:hAnsi="Times New Roman" w:eastAsia="仿宋_GB2312" w:cs="Times New Roman"/>
          <w:bCs/>
          <w:color w:val="auto"/>
          <w:sz w:val="32"/>
          <w:szCs w:val="32"/>
        </w:rPr>
        <w:t>执行。</w:t>
      </w:r>
    </w:p>
    <w:p w14:paraId="0B8F615C">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Cs/>
          <w:color w:val="auto"/>
          <w:sz w:val="32"/>
          <w:szCs w:val="32"/>
          <w:lang w:val="zh-CN"/>
        </w:rPr>
      </w:pPr>
      <w:r>
        <w:rPr>
          <w:rFonts w:hint="default" w:ascii="Times New Roman" w:hAnsi="Times New Roman" w:eastAsia="仿宋_GB2312" w:cs="Times New Roman"/>
          <w:bCs/>
          <w:color w:val="auto"/>
          <w:sz w:val="32"/>
          <w:szCs w:val="32"/>
          <w:lang w:val="zh-CN"/>
        </w:rPr>
        <w:t>其他生产生活设施和地上建（构）筑物及附着物按照附件</w:t>
      </w:r>
      <w:r>
        <w:rPr>
          <w:rFonts w:hint="default" w:ascii="Times New Roman" w:hAnsi="Times New Roman" w:eastAsia="仿宋_GB2312" w:cs="Times New Roman"/>
          <w:color w:val="auto"/>
          <w:kern w:val="2"/>
          <w:sz w:val="32"/>
          <w:szCs w:val="32"/>
          <w:vertAlign w:val="baseline"/>
          <w:lang w:val="zh-CN" w:eastAsia="zh-CN" w:bidi="ar-SA"/>
        </w:rPr>
        <w:t>9</w:t>
      </w:r>
      <w:r>
        <w:rPr>
          <w:rFonts w:hint="default" w:ascii="Times New Roman" w:hAnsi="Times New Roman" w:eastAsia="仿宋_GB2312" w:cs="Times New Roman"/>
          <w:bCs/>
          <w:color w:val="auto"/>
          <w:sz w:val="32"/>
          <w:szCs w:val="32"/>
          <w:lang w:val="zh-CN"/>
        </w:rPr>
        <w:t>规定的标准补偿。</w:t>
      </w:r>
    </w:p>
    <w:p w14:paraId="7526A87E">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bCs/>
          <w:color w:val="auto"/>
          <w:sz w:val="32"/>
          <w:szCs w:val="32"/>
        </w:rPr>
      </w:pPr>
      <w:r>
        <w:rPr>
          <w:rFonts w:hint="default" w:ascii="Times New Roman" w:hAnsi="Times New Roman" w:eastAsia="仿宋_GB2312" w:cs="Times New Roman"/>
          <w:b/>
          <w:bCs/>
          <w:color w:val="auto"/>
          <w:sz w:val="32"/>
          <w:szCs w:val="32"/>
        </w:rPr>
        <w:t>第二十一条</w:t>
      </w:r>
      <w:r>
        <w:rPr>
          <w:rFonts w:hint="default" w:ascii="Times New Roman" w:hAnsi="Times New Roman" w:eastAsia="仿宋_GB2312" w:cs="Times New Roman"/>
          <w:b/>
          <w:bCs/>
          <w:sz w:val="32"/>
          <w:szCs w:val="32"/>
        </w:rPr>
        <w:t xml:space="preserve"> </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bCs/>
          <w:color w:val="auto"/>
          <w:sz w:val="32"/>
          <w:szCs w:val="32"/>
        </w:rPr>
        <w:t>征收土地范围内的坟墓需要迁移的，按照附件</w:t>
      </w:r>
      <w:r>
        <w:rPr>
          <w:rFonts w:hint="default" w:ascii="Times New Roman" w:hAnsi="Times New Roman" w:eastAsia="仿宋_GB2312" w:cs="Times New Roman"/>
          <w:color w:val="auto"/>
          <w:kern w:val="2"/>
          <w:sz w:val="32"/>
          <w:szCs w:val="32"/>
          <w:vertAlign w:val="baseline"/>
          <w:lang w:val="zh-CN" w:eastAsia="zh-CN" w:bidi="ar-SA"/>
        </w:rPr>
        <w:t>10</w:t>
      </w:r>
      <w:r>
        <w:rPr>
          <w:rFonts w:hint="default" w:ascii="Times New Roman" w:hAnsi="Times New Roman" w:eastAsia="仿宋_GB2312" w:cs="Times New Roman"/>
          <w:bCs/>
          <w:color w:val="auto"/>
          <w:sz w:val="32"/>
          <w:szCs w:val="32"/>
        </w:rPr>
        <w:t>规定的标准予以补偿。</w:t>
      </w:r>
    </w:p>
    <w:p w14:paraId="0A53FD18">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Cs/>
          <w:color w:val="auto"/>
          <w:sz w:val="32"/>
          <w:szCs w:val="32"/>
        </w:rPr>
      </w:pPr>
      <w:r>
        <w:rPr>
          <w:rFonts w:hint="default" w:ascii="Times New Roman" w:hAnsi="Times New Roman" w:eastAsia="仿宋_GB2312" w:cs="Times New Roman"/>
          <w:bCs/>
          <w:color w:val="auto"/>
          <w:sz w:val="32"/>
          <w:szCs w:val="32"/>
        </w:rPr>
        <w:t>发布征地补偿安置方案公告后，逾期未登记的，按无主坟处理。</w:t>
      </w:r>
    </w:p>
    <w:p w14:paraId="56A07AC6">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bCs/>
          <w:color w:val="auto"/>
          <w:sz w:val="32"/>
          <w:szCs w:val="32"/>
        </w:rPr>
      </w:pPr>
      <w:r>
        <w:rPr>
          <w:rFonts w:hint="default" w:ascii="Times New Roman" w:hAnsi="Times New Roman" w:eastAsia="仿宋_GB2312" w:cs="Times New Roman"/>
          <w:b/>
          <w:bCs/>
          <w:color w:val="auto"/>
          <w:sz w:val="32"/>
          <w:szCs w:val="32"/>
        </w:rPr>
        <w:t>第二十二条</w:t>
      </w:r>
      <w:r>
        <w:rPr>
          <w:rFonts w:hint="default" w:ascii="Times New Roman" w:hAnsi="Times New Roman" w:eastAsia="仿宋_GB2312" w:cs="Times New Roman"/>
          <w:b/>
          <w:bCs/>
          <w:sz w:val="32"/>
          <w:szCs w:val="32"/>
        </w:rPr>
        <w:t xml:space="preserve"> </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bCs/>
          <w:color w:val="auto"/>
          <w:sz w:val="32"/>
          <w:szCs w:val="32"/>
        </w:rPr>
        <w:t>征地范围内不需要异地恢复重建的水塘、水库、道路、水沟、水渠等生产、生活设施，按原结构和工程量以及国家规定标准补偿。</w:t>
      </w:r>
    </w:p>
    <w:p w14:paraId="4AB2F6FE">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Cs/>
          <w:color w:val="auto"/>
          <w:sz w:val="32"/>
          <w:szCs w:val="32"/>
        </w:rPr>
      </w:pPr>
      <w:r>
        <w:rPr>
          <w:rFonts w:hint="default" w:ascii="Times New Roman" w:hAnsi="Times New Roman" w:eastAsia="仿宋_GB2312" w:cs="Times New Roman"/>
          <w:bCs/>
          <w:color w:val="auto"/>
          <w:sz w:val="32"/>
          <w:szCs w:val="32"/>
        </w:rPr>
        <w:t>前款规定的生产生活设施需要恢复重建的，按有关规定重建，不另行补偿。</w:t>
      </w:r>
    </w:p>
    <w:p w14:paraId="0355223F">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bCs/>
          <w:color w:val="auto"/>
          <w:sz w:val="32"/>
          <w:szCs w:val="32"/>
        </w:rPr>
      </w:pPr>
      <w:r>
        <w:rPr>
          <w:rFonts w:hint="default" w:ascii="Times New Roman" w:hAnsi="Times New Roman" w:eastAsia="仿宋_GB2312" w:cs="Times New Roman"/>
          <w:b/>
          <w:bCs/>
          <w:color w:val="auto"/>
          <w:sz w:val="32"/>
          <w:szCs w:val="32"/>
        </w:rPr>
        <w:t>第二十三条</w:t>
      </w:r>
      <w:r>
        <w:rPr>
          <w:rFonts w:hint="default" w:ascii="Times New Roman" w:hAnsi="Times New Roman" w:eastAsia="仿宋_GB2312" w:cs="Times New Roman"/>
          <w:b/>
          <w:bCs/>
          <w:sz w:val="32"/>
          <w:szCs w:val="32"/>
        </w:rPr>
        <w:t xml:space="preserve"> </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bCs/>
          <w:color w:val="auto"/>
          <w:sz w:val="32"/>
          <w:szCs w:val="32"/>
        </w:rPr>
        <w:t>原属合法住宅用房，被征收人经批准改变房屋用途作经营性用房的（小卖部、理发店、诊所及从事其他小型生产经营活动</w:t>
      </w:r>
      <w:r>
        <w:rPr>
          <w:rFonts w:hint="default" w:ascii="Times New Roman" w:hAnsi="Times New Roman" w:eastAsia="仿宋_GB2312" w:cs="Times New Roman"/>
          <w:bCs/>
          <w:color w:val="auto"/>
          <w:sz w:val="32"/>
          <w:szCs w:val="32"/>
          <w:lang w:eastAsia="zh-CN"/>
        </w:rPr>
        <w:t>等</w:t>
      </w:r>
      <w:r>
        <w:rPr>
          <w:rFonts w:hint="default" w:ascii="Times New Roman" w:hAnsi="Times New Roman" w:eastAsia="仿宋_GB2312" w:cs="Times New Roman"/>
          <w:bCs/>
          <w:color w:val="auto"/>
          <w:sz w:val="32"/>
          <w:szCs w:val="32"/>
        </w:rPr>
        <w:t>），仍按原房屋性质补偿。已办理营业执照、经营许可、税务登记证明，且在征收土地预公告发布前连续经营</w:t>
      </w:r>
      <w:r>
        <w:rPr>
          <w:rFonts w:hint="default" w:ascii="Times New Roman" w:hAnsi="Times New Roman" w:eastAsia="仿宋_GB2312" w:cs="Times New Roman"/>
          <w:color w:val="auto"/>
          <w:kern w:val="2"/>
          <w:sz w:val="32"/>
          <w:szCs w:val="32"/>
          <w:vertAlign w:val="baseline"/>
          <w:lang w:val="zh-CN" w:eastAsia="zh-CN" w:bidi="ar-SA"/>
        </w:rPr>
        <w:t>6</w:t>
      </w:r>
      <w:r>
        <w:rPr>
          <w:rFonts w:hint="default" w:ascii="Times New Roman" w:hAnsi="Times New Roman" w:eastAsia="仿宋_GB2312" w:cs="Times New Roman"/>
          <w:bCs/>
          <w:color w:val="auto"/>
          <w:sz w:val="32"/>
          <w:szCs w:val="32"/>
        </w:rPr>
        <w:t>个月以上的，可对实际用于经营的部分，按同类结构房屋征收标准增加</w:t>
      </w:r>
      <w:r>
        <w:rPr>
          <w:rFonts w:hint="default" w:ascii="Times New Roman" w:hAnsi="Times New Roman" w:eastAsia="仿宋_GB2312" w:cs="Times New Roman"/>
          <w:color w:val="auto"/>
          <w:kern w:val="2"/>
          <w:sz w:val="32"/>
          <w:szCs w:val="32"/>
          <w:vertAlign w:val="baseline"/>
          <w:lang w:val="zh-CN" w:eastAsia="zh-CN" w:bidi="ar-SA"/>
        </w:rPr>
        <w:t>24</w:t>
      </w:r>
      <w:r>
        <w:rPr>
          <w:rFonts w:hint="default" w:ascii="Times New Roman" w:hAnsi="Times New Roman" w:eastAsia="仿宋_GB2312" w:cs="Times New Roman"/>
          <w:bCs/>
          <w:color w:val="auto"/>
          <w:sz w:val="32"/>
          <w:szCs w:val="32"/>
        </w:rPr>
        <w:t>%的补偿（包括商品及营业用具自行处理、搬运等因搬迁需要补偿的一切费用）。工商营业执照、</w:t>
      </w:r>
      <w:r>
        <w:rPr>
          <w:rFonts w:hint="default" w:ascii="Times New Roman" w:hAnsi="Times New Roman" w:eastAsia="仿宋_GB2312" w:cs="Times New Roman"/>
          <w:bCs/>
          <w:color w:val="auto"/>
          <w:sz w:val="32"/>
          <w:szCs w:val="32"/>
          <w:lang w:val="zh-CN"/>
        </w:rPr>
        <w:t>税务登记证、</w:t>
      </w:r>
      <w:r>
        <w:rPr>
          <w:rFonts w:hint="default" w:ascii="Times New Roman" w:hAnsi="Times New Roman" w:eastAsia="仿宋_GB2312" w:cs="Times New Roman"/>
          <w:bCs/>
          <w:color w:val="auto"/>
          <w:sz w:val="32"/>
          <w:szCs w:val="32"/>
        </w:rPr>
        <w:t>纳税证明每缺少一项少增加</w:t>
      </w:r>
      <w:r>
        <w:rPr>
          <w:rFonts w:hint="default" w:ascii="Times New Roman" w:hAnsi="Times New Roman" w:eastAsia="仿宋_GB2312" w:cs="Times New Roman"/>
          <w:color w:val="auto"/>
          <w:kern w:val="2"/>
          <w:sz w:val="32"/>
          <w:szCs w:val="32"/>
          <w:vertAlign w:val="baseline"/>
          <w:lang w:val="zh-CN" w:eastAsia="zh-CN" w:bidi="ar-SA"/>
        </w:rPr>
        <w:t>8</w:t>
      </w:r>
      <w:r>
        <w:rPr>
          <w:rFonts w:hint="default" w:ascii="Times New Roman" w:hAnsi="Times New Roman" w:eastAsia="仿宋_GB2312" w:cs="Times New Roman"/>
          <w:bCs/>
          <w:color w:val="auto"/>
          <w:sz w:val="32"/>
          <w:szCs w:val="32"/>
        </w:rPr>
        <w:t>%的补偿费，补偿面积最高不得超过</w:t>
      </w:r>
      <w:r>
        <w:rPr>
          <w:rFonts w:hint="default" w:ascii="Times New Roman" w:hAnsi="Times New Roman" w:eastAsia="仿宋_GB2312" w:cs="Times New Roman"/>
          <w:color w:val="auto"/>
          <w:kern w:val="2"/>
          <w:sz w:val="32"/>
          <w:szCs w:val="32"/>
          <w:vertAlign w:val="baseline"/>
          <w:lang w:val="zh-CN" w:eastAsia="zh-CN" w:bidi="ar-SA"/>
        </w:rPr>
        <w:t>120</w:t>
      </w:r>
      <w:r>
        <w:rPr>
          <w:rFonts w:hint="default" w:ascii="Times New Roman" w:hAnsi="Times New Roman" w:eastAsia="仿宋_GB2312" w:cs="Times New Roman"/>
          <w:bCs/>
          <w:color w:val="auto"/>
          <w:sz w:val="32"/>
          <w:szCs w:val="32"/>
          <w:lang w:eastAsia="zh-CN"/>
        </w:rPr>
        <w:t>平方米</w:t>
      </w:r>
      <w:r>
        <w:rPr>
          <w:rFonts w:hint="default" w:ascii="Times New Roman" w:hAnsi="Times New Roman" w:eastAsia="仿宋_GB2312" w:cs="Times New Roman"/>
          <w:bCs/>
          <w:color w:val="auto"/>
          <w:sz w:val="32"/>
          <w:szCs w:val="32"/>
        </w:rPr>
        <w:t>。</w:t>
      </w:r>
    </w:p>
    <w:p w14:paraId="4B900249">
      <w:pPr>
        <w:pStyle w:val="16"/>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3" w:firstLineChars="200"/>
        <w:textAlignment w:val="auto"/>
        <w:rPr>
          <w:rFonts w:hint="default" w:ascii="Times New Roman" w:hAnsi="Times New Roman" w:eastAsia="仿宋_GB2312" w:cs="Times New Roman"/>
          <w:bCs/>
          <w:color w:val="auto"/>
          <w:kern w:val="2"/>
          <w:sz w:val="32"/>
          <w:szCs w:val="32"/>
        </w:rPr>
      </w:pPr>
      <w:r>
        <w:rPr>
          <w:rFonts w:hint="default" w:ascii="Times New Roman" w:hAnsi="Times New Roman" w:eastAsia="仿宋_GB2312" w:cs="Times New Roman"/>
          <w:b/>
          <w:bCs/>
          <w:color w:val="auto"/>
          <w:kern w:val="2"/>
          <w:sz w:val="32"/>
          <w:szCs w:val="32"/>
        </w:rPr>
        <w:t>第二十四条</w:t>
      </w:r>
      <w:r>
        <w:rPr>
          <w:rFonts w:hint="default" w:ascii="Times New Roman" w:hAnsi="Times New Roman" w:eastAsia="仿宋_GB2312" w:cs="Times New Roman"/>
          <w:b/>
          <w:bCs/>
          <w:sz w:val="32"/>
          <w:szCs w:val="32"/>
        </w:rPr>
        <w:t xml:space="preserve"> </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bCs/>
          <w:color w:val="auto"/>
          <w:kern w:val="2"/>
          <w:sz w:val="32"/>
          <w:szCs w:val="32"/>
          <w:lang w:val="zh-CN"/>
        </w:rPr>
        <w:t>征收企业在集体土地上的合法建（构）筑物，按具有相应资质的评估机构评估确定的价格进行补偿，不予安置</w:t>
      </w:r>
      <w:r>
        <w:rPr>
          <w:rFonts w:hint="default" w:ascii="Times New Roman" w:hAnsi="Times New Roman" w:eastAsia="仿宋_GB2312" w:cs="Times New Roman"/>
          <w:bCs/>
          <w:color w:val="auto"/>
          <w:kern w:val="2"/>
          <w:sz w:val="32"/>
          <w:szCs w:val="32"/>
        </w:rPr>
        <w:t>。涉及生产设备需要搬迁的，按国家有关规定进行评估后，确定补偿拆卸、搬运、安装费用。</w:t>
      </w:r>
    </w:p>
    <w:p w14:paraId="0B79640B">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Cs/>
          <w:color w:val="auto"/>
          <w:sz w:val="32"/>
          <w:szCs w:val="32"/>
        </w:rPr>
      </w:pPr>
      <w:r>
        <w:rPr>
          <w:rFonts w:hint="default" w:ascii="Times New Roman" w:hAnsi="Times New Roman" w:eastAsia="仿宋_GB2312" w:cs="Times New Roman"/>
          <w:bCs/>
          <w:color w:val="auto"/>
          <w:sz w:val="32"/>
          <w:szCs w:val="32"/>
        </w:rPr>
        <w:t>因征收造成集体土地上的企业停产、停业的，根据企业上年度纳税情况按有关规定进行评估后，补偿停产、停业直接损失，补偿期限最长不超过12个月。在征收土地预公告发布前已停产、停业的，不补偿停产、停业损失。</w:t>
      </w:r>
    </w:p>
    <w:p w14:paraId="170F54E8">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bCs/>
          <w:color w:val="auto"/>
          <w:sz w:val="32"/>
          <w:szCs w:val="32"/>
        </w:rPr>
      </w:pPr>
      <w:r>
        <w:rPr>
          <w:rFonts w:hint="default" w:ascii="Times New Roman" w:hAnsi="Times New Roman" w:eastAsia="仿宋_GB2312" w:cs="Times New Roman"/>
          <w:b/>
          <w:bCs/>
          <w:color w:val="auto"/>
          <w:sz w:val="32"/>
          <w:szCs w:val="32"/>
        </w:rPr>
        <w:t>第二十五条</w:t>
      </w:r>
      <w:r>
        <w:rPr>
          <w:rFonts w:hint="default" w:ascii="Times New Roman" w:hAnsi="Times New Roman" w:eastAsia="仿宋_GB2312" w:cs="Times New Roman"/>
          <w:b/>
          <w:bCs/>
          <w:sz w:val="32"/>
          <w:szCs w:val="32"/>
        </w:rPr>
        <w:t xml:space="preserve"> </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bCs/>
          <w:color w:val="auto"/>
          <w:sz w:val="32"/>
          <w:szCs w:val="32"/>
        </w:rPr>
        <w:t>征收学校、卫生院、村委会、敬老院等公益性房屋和宗教活动场所，按具有相应资质的评估机构评估确定的价值补偿，不另行安置。</w:t>
      </w:r>
    </w:p>
    <w:p w14:paraId="55A3DF55">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w:t>
      </w:r>
      <w:r>
        <w:rPr>
          <w:rFonts w:hint="default" w:ascii="Times New Roman" w:hAnsi="Times New Roman" w:eastAsia="仿宋_GB2312" w:cs="Times New Roman"/>
          <w:b/>
          <w:bCs/>
          <w:color w:val="auto"/>
          <w:sz w:val="32"/>
          <w:szCs w:val="32"/>
          <w:lang w:eastAsia="zh-CN"/>
        </w:rPr>
        <w:t>二十六</w:t>
      </w:r>
      <w:r>
        <w:rPr>
          <w:rFonts w:hint="default" w:ascii="Times New Roman" w:hAnsi="Times New Roman" w:eastAsia="仿宋_GB2312" w:cs="Times New Roman"/>
          <w:b/>
          <w:bCs/>
          <w:color w:val="auto"/>
          <w:sz w:val="32"/>
          <w:szCs w:val="32"/>
        </w:rPr>
        <w:t>条</w:t>
      </w:r>
      <w:r>
        <w:rPr>
          <w:rFonts w:hint="default" w:ascii="Times New Roman" w:hAnsi="Times New Roman" w:eastAsia="仿宋_GB2312" w:cs="Times New Roman"/>
          <w:b/>
          <w:bCs/>
          <w:sz w:val="32"/>
          <w:szCs w:val="32"/>
        </w:rPr>
        <w:t xml:space="preserve"> </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color w:val="auto"/>
          <w:sz w:val="32"/>
          <w:szCs w:val="32"/>
          <w:lang w:eastAsia="zh-CN"/>
        </w:rPr>
        <w:t>征收集体土地上房屋应当依法支付</w:t>
      </w:r>
      <w:r>
        <w:rPr>
          <w:rFonts w:hint="default" w:ascii="Times New Roman" w:hAnsi="Times New Roman" w:eastAsia="仿宋_GB2312" w:cs="Times New Roman"/>
          <w:color w:val="auto"/>
          <w:sz w:val="32"/>
          <w:szCs w:val="32"/>
        </w:rPr>
        <w:t>搬家补助费</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搬家补助费按</w:t>
      </w:r>
      <w:r>
        <w:rPr>
          <w:rFonts w:hint="default" w:ascii="Times New Roman" w:hAnsi="Times New Roman" w:eastAsia="仿宋_GB2312" w:cs="Times New Roman"/>
          <w:color w:val="auto"/>
          <w:kern w:val="2"/>
          <w:sz w:val="32"/>
          <w:szCs w:val="32"/>
          <w:vertAlign w:val="baseline"/>
          <w:lang w:val="zh-CN" w:eastAsia="zh-CN" w:bidi="ar-SA"/>
        </w:rPr>
        <w:t>1500</w:t>
      </w:r>
      <w:r>
        <w:rPr>
          <w:rFonts w:hint="default" w:ascii="Times New Roman" w:hAnsi="Times New Roman" w:eastAsia="仿宋_GB2312" w:cs="Times New Roman"/>
          <w:color w:val="auto"/>
          <w:sz w:val="32"/>
          <w:szCs w:val="32"/>
        </w:rPr>
        <w:t>元/户/次确定，选择货币安置的支付一次搬家补助费；选择集中联建、分散迁建的支付二次搬家补助费。</w:t>
      </w:r>
    </w:p>
    <w:p w14:paraId="5EB1A787">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color w:val="auto"/>
          <w:sz w:val="32"/>
          <w:szCs w:val="32"/>
          <w:u w:val="single"/>
        </w:rPr>
      </w:pPr>
      <w:r>
        <w:rPr>
          <w:rFonts w:hint="default" w:ascii="Times New Roman" w:hAnsi="Times New Roman" w:eastAsia="仿宋_GB2312" w:cs="Times New Roman"/>
          <w:b/>
          <w:bCs/>
          <w:color w:val="auto"/>
          <w:sz w:val="32"/>
          <w:szCs w:val="32"/>
          <w:lang w:eastAsia="zh-CN"/>
        </w:rPr>
        <w:t>第二十七条</w:t>
      </w:r>
      <w:r>
        <w:rPr>
          <w:rFonts w:hint="default" w:ascii="Times New Roman" w:hAnsi="Times New Roman" w:eastAsia="仿宋_GB2312" w:cs="Times New Roman"/>
          <w:b/>
          <w:bCs/>
          <w:sz w:val="32"/>
          <w:szCs w:val="32"/>
        </w:rPr>
        <w:t xml:space="preserve"> </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color w:val="auto"/>
          <w:sz w:val="32"/>
          <w:szCs w:val="32"/>
          <w:lang w:eastAsia="zh-CN"/>
        </w:rPr>
        <w:t>征收集体土地上住宅房屋应当依法支付</w:t>
      </w:r>
      <w:r>
        <w:rPr>
          <w:rFonts w:hint="default" w:ascii="Times New Roman" w:hAnsi="Times New Roman" w:eastAsia="仿宋_GB2312" w:cs="Times New Roman"/>
          <w:color w:val="auto"/>
          <w:sz w:val="32"/>
          <w:szCs w:val="32"/>
        </w:rPr>
        <w:t>临时安置</w:t>
      </w:r>
      <w:r>
        <w:rPr>
          <w:rFonts w:hint="default" w:ascii="Times New Roman" w:hAnsi="Times New Roman" w:eastAsia="仿宋_GB2312" w:cs="Times New Roman"/>
          <w:color w:val="auto"/>
          <w:sz w:val="32"/>
          <w:szCs w:val="32"/>
          <w:lang w:eastAsia="zh-CN"/>
        </w:rPr>
        <w:t>补助</w:t>
      </w:r>
      <w:r>
        <w:rPr>
          <w:rFonts w:hint="default" w:ascii="Times New Roman" w:hAnsi="Times New Roman" w:eastAsia="仿宋_GB2312" w:cs="Times New Roman"/>
          <w:color w:val="auto"/>
          <w:sz w:val="32"/>
          <w:szCs w:val="32"/>
        </w:rPr>
        <w:t>费</w:t>
      </w:r>
      <w:r>
        <w:rPr>
          <w:rFonts w:hint="default" w:ascii="Times New Roman" w:hAnsi="Times New Roman" w:eastAsia="仿宋_GB2312" w:cs="Times New Roman"/>
          <w:color w:val="auto"/>
          <w:sz w:val="32"/>
          <w:szCs w:val="32"/>
          <w:lang w:eastAsia="zh-CN"/>
        </w:rPr>
        <w:t>。临时安置</w:t>
      </w:r>
      <w:r>
        <w:rPr>
          <w:rFonts w:hint="default" w:ascii="Times New Roman" w:hAnsi="Times New Roman" w:eastAsia="仿宋_GB2312" w:cs="Times New Roman"/>
          <w:color w:val="auto"/>
          <w:sz w:val="32"/>
          <w:szCs w:val="32"/>
        </w:rPr>
        <w:t>补助费按被征收</w:t>
      </w:r>
      <w:r>
        <w:rPr>
          <w:rFonts w:hint="default" w:ascii="Times New Roman" w:hAnsi="Times New Roman" w:eastAsia="仿宋_GB2312" w:cs="Times New Roman"/>
          <w:color w:val="auto"/>
          <w:sz w:val="32"/>
          <w:szCs w:val="32"/>
          <w:lang w:eastAsia="zh-CN"/>
        </w:rPr>
        <w:t>住宅</w:t>
      </w:r>
      <w:r>
        <w:rPr>
          <w:rFonts w:hint="default" w:ascii="Times New Roman" w:hAnsi="Times New Roman" w:eastAsia="仿宋_GB2312" w:cs="Times New Roman"/>
          <w:color w:val="auto"/>
          <w:sz w:val="32"/>
          <w:szCs w:val="32"/>
        </w:rPr>
        <w:t>房屋</w:t>
      </w:r>
      <w:r>
        <w:rPr>
          <w:rFonts w:hint="default" w:ascii="Times New Roman" w:hAnsi="Times New Roman" w:eastAsia="仿宋_GB2312" w:cs="Times New Roman"/>
          <w:color w:val="auto"/>
          <w:sz w:val="32"/>
          <w:szCs w:val="32"/>
          <w:u w:val="none"/>
          <w:lang w:eastAsia="zh-CN"/>
        </w:rPr>
        <w:t>主房</w:t>
      </w:r>
      <w:r>
        <w:rPr>
          <w:rFonts w:hint="default" w:ascii="Times New Roman" w:hAnsi="Times New Roman" w:eastAsia="仿宋_GB2312" w:cs="Times New Roman"/>
          <w:color w:val="auto"/>
          <w:sz w:val="32"/>
          <w:szCs w:val="32"/>
        </w:rPr>
        <w:t>建筑面积计算，被征收房屋建筑面积</w:t>
      </w:r>
      <w:r>
        <w:rPr>
          <w:rFonts w:hint="default" w:ascii="Times New Roman" w:hAnsi="Times New Roman" w:eastAsia="仿宋_GB2312" w:cs="Times New Roman"/>
          <w:color w:val="auto"/>
          <w:sz w:val="32"/>
          <w:szCs w:val="32"/>
          <w:lang w:eastAsia="zh-CN"/>
        </w:rPr>
        <w:t>不超过</w:t>
      </w:r>
      <w:r>
        <w:rPr>
          <w:rFonts w:hint="default" w:ascii="Times New Roman" w:hAnsi="Times New Roman" w:eastAsia="仿宋_GB2312" w:cs="Times New Roman"/>
          <w:color w:val="auto"/>
          <w:kern w:val="2"/>
          <w:sz w:val="32"/>
          <w:szCs w:val="32"/>
          <w:vertAlign w:val="baseline"/>
          <w:lang w:val="zh-CN" w:eastAsia="zh-CN" w:bidi="ar-SA"/>
        </w:rPr>
        <w:t>100</w:t>
      </w:r>
      <w:r>
        <w:rPr>
          <w:rFonts w:hint="default" w:ascii="Times New Roman" w:hAnsi="Times New Roman" w:eastAsia="仿宋_GB2312" w:cs="Times New Roman"/>
          <w:bCs/>
          <w:color w:val="auto"/>
          <w:sz w:val="32"/>
          <w:szCs w:val="32"/>
          <w:lang w:eastAsia="zh-CN"/>
        </w:rPr>
        <w:t>平方米</w:t>
      </w:r>
      <w:r>
        <w:rPr>
          <w:rFonts w:hint="default" w:ascii="Times New Roman" w:hAnsi="Times New Roman" w:eastAsia="仿宋_GB2312" w:cs="Times New Roman"/>
          <w:color w:val="auto"/>
          <w:sz w:val="32"/>
          <w:szCs w:val="32"/>
        </w:rPr>
        <w:t>的，每户每月补偿</w:t>
      </w:r>
      <w:r>
        <w:rPr>
          <w:rFonts w:hint="default" w:ascii="Times New Roman" w:hAnsi="Times New Roman" w:eastAsia="仿宋_GB2312" w:cs="Times New Roman"/>
          <w:color w:val="auto"/>
          <w:kern w:val="2"/>
          <w:sz w:val="32"/>
          <w:szCs w:val="32"/>
          <w:vertAlign w:val="baseline"/>
          <w:lang w:val="zh-CN" w:eastAsia="zh-CN" w:bidi="ar-SA"/>
        </w:rPr>
        <w:t>700</w:t>
      </w:r>
      <w:r>
        <w:rPr>
          <w:rFonts w:hint="default" w:ascii="Times New Roman" w:hAnsi="Times New Roman" w:eastAsia="仿宋_GB2312" w:cs="Times New Roman"/>
          <w:color w:val="auto"/>
          <w:sz w:val="32"/>
          <w:szCs w:val="32"/>
        </w:rPr>
        <w:t>元；建筑面积超过</w:t>
      </w:r>
      <w:r>
        <w:rPr>
          <w:rFonts w:hint="default" w:ascii="Times New Roman" w:hAnsi="Times New Roman" w:eastAsia="仿宋_GB2312" w:cs="Times New Roman"/>
          <w:color w:val="auto"/>
          <w:kern w:val="2"/>
          <w:sz w:val="32"/>
          <w:szCs w:val="32"/>
          <w:vertAlign w:val="baseline"/>
          <w:lang w:val="zh-CN" w:eastAsia="zh-CN" w:bidi="ar-SA"/>
        </w:rPr>
        <w:t>100</w:t>
      </w:r>
      <w:r>
        <w:rPr>
          <w:rFonts w:hint="default" w:ascii="Times New Roman" w:hAnsi="Times New Roman" w:eastAsia="仿宋_GB2312" w:cs="Times New Roman"/>
          <w:bCs/>
          <w:color w:val="auto"/>
          <w:sz w:val="32"/>
          <w:szCs w:val="32"/>
          <w:lang w:eastAsia="zh-CN"/>
        </w:rPr>
        <w:t>平方米</w:t>
      </w:r>
      <w:r>
        <w:rPr>
          <w:rFonts w:hint="default" w:ascii="Times New Roman" w:hAnsi="Times New Roman" w:eastAsia="仿宋_GB2312" w:cs="Times New Roman"/>
          <w:color w:val="auto"/>
          <w:sz w:val="32"/>
          <w:szCs w:val="32"/>
          <w:lang w:eastAsia="zh-CN"/>
        </w:rPr>
        <w:t>不超过</w:t>
      </w:r>
      <w:r>
        <w:rPr>
          <w:rFonts w:hint="default" w:ascii="Times New Roman" w:hAnsi="Times New Roman" w:eastAsia="仿宋_GB2312" w:cs="Times New Roman"/>
          <w:color w:val="auto"/>
          <w:kern w:val="2"/>
          <w:sz w:val="32"/>
          <w:szCs w:val="32"/>
          <w:vertAlign w:val="baseline"/>
          <w:lang w:val="zh-CN" w:eastAsia="zh-CN" w:bidi="ar-SA"/>
        </w:rPr>
        <w:t>200</w:t>
      </w:r>
      <w:r>
        <w:rPr>
          <w:rFonts w:hint="default" w:ascii="Times New Roman" w:hAnsi="Times New Roman" w:eastAsia="仿宋_GB2312" w:cs="Times New Roman"/>
          <w:bCs/>
          <w:color w:val="auto"/>
          <w:sz w:val="32"/>
          <w:szCs w:val="32"/>
          <w:lang w:eastAsia="zh-CN"/>
        </w:rPr>
        <w:t>平方米</w:t>
      </w:r>
      <w:r>
        <w:rPr>
          <w:rFonts w:hint="default" w:ascii="Times New Roman" w:hAnsi="Times New Roman" w:eastAsia="仿宋_GB2312" w:cs="Times New Roman"/>
          <w:color w:val="auto"/>
          <w:sz w:val="32"/>
          <w:szCs w:val="32"/>
        </w:rPr>
        <w:t>的，每增加</w:t>
      </w:r>
      <w:r>
        <w:rPr>
          <w:rFonts w:hint="default" w:ascii="Times New Roman" w:hAnsi="Times New Roman" w:eastAsia="仿宋_GB2312" w:cs="Times New Roman"/>
          <w:color w:val="auto"/>
          <w:kern w:val="2"/>
          <w:sz w:val="32"/>
          <w:szCs w:val="32"/>
          <w:vertAlign w:val="baseline"/>
          <w:lang w:val="zh-CN" w:eastAsia="zh-CN" w:bidi="ar-SA"/>
        </w:rPr>
        <w:t>1</w:t>
      </w:r>
      <w:r>
        <w:rPr>
          <w:rFonts w:hint="default" w:ascii="Times New Roman" w:hAnsi="Times New Roman" w:eastAsia="仿宋_GB2312" w:cs="Times New Roman"/>
          <w:bCs/>
          <w:color w:val="auto"/>
          <w:sz w:val="32"/>
          <w:szCs w:val="32"/>
          <w:lang w:eastAsia="zh-CN"/>
        </w:rPr>
        <w:t>平方米</w:t>
      </w:r>
      <w:r>
        <w:rPr>
          <w:rFonts w:hint="default" w:ascii="Times New Roman" w:hAnsi="Times New Roman" w:eastAsia="仿宋_GB2312" w:cs="Times New Roman"/>
          <w:color w:val="auto"/>
          <w:sz w:val="32"/>
          <w:szCs w:val="32"/>
        </w:rPr>
        <w:t>增加</w:t>
      </w:r>
      <w:r>
        <w:rPr>
          <w:rFonts w:hint="default" w:ascii="Times New Roman" w:hAnsi="Times New Roman" w:eastAsia="仿宋_GB2312" w:cs="Times New Roman"/>
          <w:color w:val="auto"/>
          <w:kern w:val="2"/>
          <w:sz w:val="32"/>
          <w:szCs w:val="32"/>
          <w:vertAlign w:val="baseline"/>
          <w:lang w:val="zh-CN" w:eastAsia="zh-CN" w:bidi="ar-SA"/>
        </w:rPr>
        <w:t>5</w:t>
      </w:r>
      <w:r>
        <w:rPr>
          <w:rFonts w:hint="default" w:ascii="Times New Roman" w:hAnsi="Times New Roman" w:eastAsia="仿宋_GB2312" w:cs="Times New Roman"/>
          <w:color w:val="auto"/>
          <w:sz w:val="32"/>
          <w:szCs w:val="32"/>
        </w:rPr>
        <w:t>元/月；建筑面积超过</w:t>
      </w:r>
      <w:r>
        <w:rPr>
          <w:rFonts w:hint="default" w:ascii="Times New Roman" w:hAnsi="Times New Roman" w:eastAsia="仿宋_GB2312" w:cs="Times New Roman"/>
          <w:color w:val="auto"/>
          <w:kern w:val="2"/>
          <w:sz w:val="32"/>
          <w:szCs w:val="32"/>
          <w:vertAlign w:val="baseline"/>
          <w:lang w:val="zh-CN" w:eastAsia="zh-CN" w:bidi="ar-SA"/>
        </w:rPr>
        <w:t>200</w:t>
      </w:r>
      <w:r>
        <w:rPr>
          <w:rFonts w:hint="default" w:ascii="Times New Roman" w:hAnsi="Times New Roman" w:eastAsia="仿宋_GB2312" w:cs="Times New Roman"/>
          <w:bCs/>
          <w:color w:val="auto"/>
          <w:sz w:val="32"/>
          <w:szCs w:val="32"/>
          <w:lang w:eastAsia="zh-CN"/>
        </w:rPr>
        <w:t>平方米</w:t>
      </w:r>
      <w:r>
        <w:rPr>
          <w:rFonts w:hint="default" w:ascii="Times New Roman" w:hAnsi="Times New Roman" w:eastAsia="仿宋_GB2312" w:cs="Times New Roman"/>
          <w:color w:val="auto"/>
          <w:sz w:val="32"/>
          <w:szCs w:val="32"/>
        </w:rPr>
        <w:t>的，统一按照200</w:t>
      </w:r>
      <w:r>
        <w:rPr>
          <w:rFonts w:hint="default" w:ascii="Times New Roman" w:hAnsi="Times New Roman" w:eastAsia="仿宋_GB2312" w:cs="Times New Roman"/>
          <w:bCs/>
          <w:color w:val="auto"/>
          <w:sz w:val="32"/>
          <w:szCs w:val="32"/>
        </w:rPr>
        <w:t xml:space="preserve"> </w:t>
      </w:r>
      <w:r>
        <w:rPr>
          <w:rFonts w:hint="default" w:ascii="Times New Roman" w:hAnsi="Times New Roman" w:eastAsia="仿宋_GB2312" w:cs="Times New Roman"/>
          <w:bCs/>
          <w:color w:val="auto"/>
          <w:sz w:val="32"/>
          <w:szCs w:val="32"/>
          <w:lang w:eastAsia="zh-CN"/>
        </w:rPr>
        <w:t>平方米</w:t>
      </w:r>
      <w:r>
        <w:rPr>
          <w:rFonts w:hint="default" w:ascii="Times New Roman" w:hAnsi="Times New Roman" w:eastAsia="仿宋_GB2312" w:cs="Times New Roman"/>
          <w:color w:val="auto"/>
          <w:sz w:val="32"/>
          <w:szCs w:val="32"/>
        </w:rPr>
        <w:t>的标准进行补偿。</w:t>
      </w:r>
    </w:p>
    <w:p w14:paraId="5CFF4587">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选择货币补偿</w:t>
      </w:r>
      <w:r>
        <w:rPr>
          <w:rFonts w:hint="default" w:ascii="Times New Roman" w:hAnsi="Times New Roman" w:eastAsia="仿宋_GB2312" w:cs="Times New Roman"/>
          <w:color w:val="auto"/>
          <w:sz w:val="32"/>
          <w:szCs w:val="32"/>
          <w:lang w:eastAsia="zh-CN"/>
        </w:rPr>
        <w:t>的</w:t>
      </w:r>
      <w:r>
        <w:rPr>
          <w:rFonts w:hint="default" w:ascii="Times New Roman" w:hAnsi="Times New Roman" w:eastAsia="仿宋_GB2312" w:cs="Times New Roman"/>
          <w:color w:val="auto"/>
          <w:kern w:val="2"/>
          <w:sz w:val="32"/>
          <w:szCs w:val="32"/>
          <w:vertAlign w:val="baseline"/>
          <w:lang w:val="zh-CN" w:eastAsia="zh-CN" w:bidi="ar-SA"/>
        </w:rPr>
        <w:t>临时安置</w:t>
      </w:r>
      <w:r>
        <w:rPr>
          <w:rFonts w:hint="default" w:ascii="Times New Roman" w:hAnsi="Times New Roman" w:eastAsia="仿宋_GB2312" w:cs="Times New Roman"/>
          <w:color w:val="auto"/>
          <w:sz w:val="32"/>
          <w:szCs w:val="32"/>
        </w:rPr>
        <w:t>期限为</w:t>
      </w:r>
      <w:r>
        <w:rPr>
          <w:rFonts w:hint="default" w:ascii="Times New Roman" w:hAnsi="Times New Roman" w:eastAsia="仿宋_GB2312" w:cs="Times New Roman"/>
          <w:color w:val="auto"/>
          <w:kern w:val="2"/>
          <w:sz w:val="32"/>
          <w:szCs w:val="32"/>
          <w:vertAlign w:val="baseline"/>
          <w:lang w:val="zh-CN" w:eastAsia="zh-CN" w:bidi="ar-SA"/>
        </w:rPr>
        <w:t>12</w:t>
      </w:r>
      <w:r>
        <w:rPr>
          <w:rFonts w:hint="default" w:ascii="Times New Roman" w:hAnsi="Times New Roman" w:eastAsia="仿宋_GB2312" w:cs="Times New Roman"/>
          <w:color w:val="auto"/>
          <w:sz w:val="32"/>
          <w:szCs w:val="32"/>
        </w:rPr>
        <w:t>个月；选择</w:t>
      </w:r>
      <w:r>
        <w:rPr>
          <w:rFonts w:hint="default" w:ascii="Times New Roman" w:hAnsi="Times New Roman" w:eastAsia="仿宋_GB2312" w:cs="Times New Roman"/>
          <w:color w:val="auto"/>
          <w:sz w:val="32"/>
          <w:szCs w:val="32"/>
          <w:lang w:eastAsia="zh-CN"/>
        </w:rPr>
        <w:t>统规自建安置、</w:t>
      </w:r>
      <w:r>
        <w:rPr>
          <w:rFonts w:hint="default" w:ascii="Times New Roman" w:hAnsi="Times New Roman" w:eastAsia="仿宋_GB2312" w:cs="Times New Roman"/>
          <w:color w:val="auto"/>
          <w:sz w:val="32"/>
          <w:szCs w:val="32"/>
        </w:rPr>
        <w:t>集中联建安置、分散迁建安置</w:t>
      </w:r>
      <w:r>
        <w:rPr>
          <w:rFonts w:hint="default" w:ascii="Times New Roman" w:hAnsi="Times New Roman" w:eastAsia="仿宋_GB2312" w:cs="Times New Roman"/>
          <w:color w:val="auto"/>
          <w:sz w:val="32"/>
          <w:szCs w:val="32"/>
          <w:lang w:eastAsia="zh-CN"/>
        </w:rPr>
        <w:t>的临时安置</w:t>
      </w:r>
      <w:r>
        <w:rPr>
          <w:rFonts w:hint="default" w:ascii="Times New Roman" w:hAnsi="Times New Roman" w:eastAsia="仿宋_GB2312" w:cs="Times New Roman"/>
          <w:color w:val="auto"/>
          <w:sz w:val="32"/>
          <w:szCs w:val="32"/>
        </w:rPr>
        <w:t>期限最</w:t>
      </w:r>
      <w:r>
        <w:rPr>
          <w:rFonts w:hint="default" w:ascii="Times New Roman" w:hAnsi="Times New Roman" w:eastAsia="仿宋_GB2312" w:cs="Times New Roman"/>
          <w:color w:val="auto"/>
          <w:kern w:val="2"/>
          <w:sz w:val="32"/>
          <w:szCs w:val="32"/>
          <w:vertAlign w:val="baseline"/>
          <w:lang w:val="zh-CN" w:eastAsia="zh-CN" w:bidi="ar-SA"/>
        </w:rPr>
        <w:t>长</w:t>
      </w:r>
      <w:r>
        <w:rPr>
          <w:rFonts w:hint="default" w:ascii="Times New Roman" w:hAnsi="Times New Roman" w:eastAsia="仿宋_GB2312" w:cs="Times New Roman"/>
          <w:color w:val="auto"/>
          <w:sz w:val="32"/>
          <w:szCs w:val="32"/>
        </w:rPr>
        <w:t>不超过</w:t>
      </w:r>
      <w:r>
        <w:rPr>
          <w:rFonts w:hint="default" w:ascii="Times New Roman" w:hAnsi="Times New Roman" w:eastAsia="仿宋_GB2312" w:cs="Times New Roman"/>
          <w:color w:val="auto"/>
          <w:kern w:val="2"/>
          <w:sz w:val="32"/>
          <w:szCs w:val="32"/>
          <w:vertAlign w:val="baseline"/>
          <w:lang w:val="zh-CN" w:eastAsia="zh-CN" w:bidi="ar-SA"/>
        </w:rPr>
        <w:t>24</w:t>
      </w:r>
      <w:r>
        <w:rPr>
          <w:rFonts w:hint="default" w:ascii="Times New Roman" w:hAnsi="Times New Roman" w:eastAsia="仿宋_GB2312" w:cs="Times New Roman"/>
          <w:color w:val="auto"/>
          <w:sz w:val="32"/>
          <w:szCs w:val="32"/>
        </w:rPr>
        <w:t>个月。</w:t>
      </w:r>
    </w:p>
    <w:p w14:paraId="089DE3E6">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临时安置期间以</w:t>
      </w:r>
      <w:r>
        <w:rPr>
          <w:rFonts w:hint="default" w:ascii="Times New Roman" w:hAnsi="Times New Roman" w:eastAsia="仿宋_GB2312" w:cs="Times New Roman"/>
          <w:color w:val="auto"/>
          <w:sz w:val="32"/>
          <w:szCs w:val="32"/>
        </w:rPr>
        <w:t>自行</w:t>
      </w:r>
      <w:r>
        <w:rPr>
          <w:rFonts w:hint="default" w:ascii="Times New Roman" w:hAnsi="Times New Roman" w:eastAsia="仿宋_GB2312" w:cs="Times New Roman"/>
          <w:color w:val="auto"/>
          <w:kern w:val="2"/>
          <w:sz w:val="32"/>
          <w:szCs w:val="32"/>
          <w:vertAlign w:val="baseline"/>
          <w:lang w:val="zh-CN" w:eastAsia="zh-CN" w:bidi="ar-SA"/>
        </w:rPr>
        <w:t>解决</w:t>
      </w:r>
      <w:r>
        <w:rPr>
          <w:rFonts w:hint="default" w:ascii="Times New Roman" w:hAnsi="Times New Roman" w:eastAsia="仿宋_GB2312" w:cs="Times New Roman"/>
          <w:color w:val="auto"/>
          <w:sz w:val="32"/>
          <w:szCs w:val="32"/>
        </w:rPr>
        <w:t>为主</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要求提供过渡房的，不给予</w:t>
      </w:r>
      <w:r>
        <w:rPr>
          <w:rFonts w:hint="default" w:ascii="Times New Roman" w:hAnsi="Times New Roman" w:eastAsia="仿宋_GB2312" w:cs="Times New Roman"/>
          <w:color w:val="auto"/>
          <w:sz w:val="32"/>
          <w:szCs w:val="32"/>
          <w:lang w:eastAsia="zh-CN"/>
        </w:rPr>
        <w:t>临时安置补助费</w:t>
      </w:r>
      <w:r>
        <w:rPr>
          <w:rFonts w:hint="default" w:ascii="Times New Roman" w:hAnsi="Times New Roman" w:eastAsia="仿宋_GB2312" w:cs="Times New Roman"/>
          <w:color w:val="auto"/>
          <w:sz w:val="32"/>
          <w:szCs w:val="32"/>
        </w:rPr>
        <w:t>。</w:t>
      </w:r>
    </w:p>
    <w:p w14:paraId="59EBDEC7">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bCs/>
          <w:color w:val="auto"/>
          <w:sz w:val="32"/>
          <w:szCs w:val="32"/>
          <w:u w:val="none"/>
          <w:lang w:eastAsia="zh-CN"/>
        </w:rPr>
      </w:pPr>
      <w:r>
        <w:rPr>
          <w:rFonts w:hint="default" w:ascii="Times New Roman" w:hAnsi="Times New Roman" w:eastAsia="仿宋_GB2312" w:cs="Times New Roman"/>
          <w:b/>
          <w:bCs/>
          <w:color w:val="auto"/>
          <w:sz w:val="32"/>
          <w:szCs w:val="32"/>
          <w:lang w:eastAsia="zh-CN"/>
        </w:rPr>
        <w:t>第二十八条</w:t>
      </w:r>
      <w:r>
        <w:rPr>
          <w:rFonts w:hint="default" w:ascii="Times New Roman" w:hAnsi="Times New Roman" w:eastAsia="仿宋_GB2312" w:cs="Times New Roman"/>
          <w:b/>
          <w:bCs/>
          <w:sz w:val="32"/>
          <w:szCs w:val="32"/>
        </w:rPr>
        <w:t xml:space="preserve"> </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bCs/>
          <w:color w:val="auto"/>
          <w:sz w:val="32"/>
          <w:szCs w:val="32"/>
          <w:u w:val="none"/>
          <w:lang w:eastAsia="zh-CN"/>
        </w:rPr>
        <w:t>被征收人对住宅房屋、房屋装饰（修）、其他生产生活设施和地上建（构）筑物及附着物等征收补偿有异议的，由具有相应资质的评估机构的评估价格确定。</w:t>
      </w:r>
    </w:p>
    <w:p w14:paraId="60F6820B">
      <w:pPr>
        <w:pStyle w:val="16"/>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3" w:firstLineChars="200"/>
        <w:textAlignment w:val="auto"/>
        <w:rPr>
          <w:rFonts w:hint="default" w:ascii="Times New Roman" w:hAnsi="Times New Roman" w:eastAsia="仿宋_GB2312" w:cs="Times New Roman"/>
          <w:bCs/>
          <w:color w:val="auto"/>
          <w:kern w:val="2"/>
          <w:sz w:val="32"/>
          <w:szCs w:val="32"/>
          <w:u w:val="none"/>
          <w:lang w:val="en-US" w:eastAsia="zh-CN"/>
        </w:rPr>
      </w:pPr>
      <w:r>
        <w:rPr>
          <w:rFonts w:hint="default" w:ascii="Times New Roman" w:hAnsi="Times New Roman" w:eastAsia="仿宋_GB2312" w:cs="Times New Roman"/>
          <w:b/>
          <w:bCs/>
          <w:color w:val="auto"/>
          <w:sz w:val="32"/>
          <w:szCs w:val="32"/>
        </w:rPr>
        <w:t>第</w:t>
      </w:r>
      <w:r>
        <w:rPr>
          <w:rFonts w:hint="default" w:ascii="Times New Roman" w:hAnsi="Times New Roman" w:eastAsia="仿宋_GB2312" w:cs="Times New Roman"/>
          <w:b/>
          <w:bCs/>
          <w:color w:val="auto"/>
          <w:sz w:val="32"/>
          <w:szCs w:val="32"/>
          <w:lang w:val="en-US" w:eastAsia="zh-CN"/>
        </w:rPr>
        <w:t>二十九</w:t>
      </w:r>
      <w:r>
        <w:rPr>
          <w:rFonts w:hint="default" w:ascii="Times New Roman" w:hAnsi="Times New Roman" w:eastAsia="仿宋_GB2312" w:cs="Times New Roman"/>
          <w:b/>
          <w:bCs/>
          <w:color w:val="auto"/>
          <w:sz w:val="32"/>
          <w:szCs w:val="32"/>
        </w:rPr>
        <w:t>条</w:t>
      </w:r>
      <w:r>
        <w:rPr>
          <w:rFonts w:hint="default" w:ascii="Times New Roman" w:hAnsi="Times New Roman" w:eastAsia="仿宋_GB2312" w:cs="Times New Roman"/>
          <w:b/>
          <w:bCs/>
          <w:sz w:val="32"/>
          <w:szCs w:val="32"/>
        </w:rPr>
        <w:t xml:space="preserve"> </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color w:val="auto"/>
          <w:sz w:val="32"/>
          <w:szCs w:val="32"/>
        </w:rPr>
        <w:t>征收实施机构</w:t>
      </w:r>
      <w:r>
        <w:rPr>
          <w:rFonts w:hint="default" w:ascii="Times New Roman" w:hAnsi="Times New Roman" w:eastAsia="仿宋_GB2312" w:cs="Times New Roman"/>
          <w:bCs/>
          <w:color w:val="auto"/>
          <w:kern w:val="2"/>
          <w:sz w:val="32"/>
          <w:szCs w:val="32"/>
          <w:u w:val="none"/>
          <w:lang w:val="en-US" w:eastAsia="zh-CN"/>
        </w:rPr>
        <w:t>在划拨征地补偿费时，应提前提取</w:t>
      </w:r>
      <w:r>
        <w:rPr>
          <w:rFonts w:hint="default" w:ascii="Times New Roman" w:hAnsi="Times New Roman" w:eastAsia="仿宋_GB2312" w:cs="Times New Roman"/>
          <w:color w:val="auto"/>
          <w:kern w:val="2"/>
          <w:sz w:val="32"/>
          <w:szCs w:val="32"/>
          <w:vertAlign w:val="baseline"/>
          <w:lang w:val="en-US" w:eastAsia="zh-CN" w:bidi="ar-SA"/>
        </w:rPr>
        <w:t>10</w:t>
      </w:r>
      <w:r>
        <w:rPr>
          <w:rFonts w:hint="default" w:ascii="Times New Roman" w:hAnsi="Times New Roman" w:eastAsia="仿宋_GB2312" w:cs="Times New Roman"/>
          <w:bCs/>
          <w:color w:val="auto"/>
          <w:kern w:val="2"/>
          <w:sz w:val="32"/>
          <w:szCs w:val="32"/>
          <w:u w:val="none"/>
          <w:lang w:val="en-US" w:eastAsia="zh-CN"/>
        </w:rPr>
        <w:t>%的征地补偿费用于被征地农民社会保障。具体管理使用按被征地农民社会保障相关政策规定执行。</w:t>
      </w:r>
    </w:p>
    <w:p w14:paraId="6F171EA5">
      <w:pPr>
        <w:pStyle w:val="16"/>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3" w:firstLineChars="200"/>
        <w:textAlignment w:val="auto"/>
        <w:rPr>
          <w:rFonts w:hint="default" w:ascii="Times New Roman" w:hAnsi="Times New Roman" w:eastAsia="仿宋_GB2312" w:cs="Times New Roman"/>
          <w:bCs/>
          <w:color w:val="auto"/>
          <w:kern w:val="2"/>
          <w:sz w:val="32"/>
          <w:szCs w:val="32"/>
          <w:u w:val="none"/>
          <w:lang w:val="en-US" w:eastAsia="zh-CN"/>
        </w:rPr>
      </w:pPr>
      <w:r>
        <w:rPr>
          <w:rFonts w:hint="default" w:ascii="Times New Roman" w:hAnsi="Times New Roman" w:eastAsia="仿宋_GB2312" w:cs="Times New Roman"/>
          <w:b/>
          <w:bCs/>
          <w:color w:val="auto"/>
          <w:sz w:val="32"/>
          <w:szCs w:val="32"/>
        </w:rPr>
        <w:t>第</w:t>
      </w:r>
      <w:r>
        <w:rPr>
          <w:rFonts w:hint="default" w:ascii="Times New Roman" w:hAnsi="Times New Roman" w:eastAsia="仿宋_GB2312" w:cs="Times New Roman"/>
          <w:b/>
          <w:bCs/>
          <w:color w:val="auto"/>
          <w:sz w:val="32"/>
          <w:szCs w:val="32"/>
          <w:lang w:val="en-US" w:eastAsia="zh-CN"/>
        </w:rPr>
        <w:t>三十</w:t>
      </w:r>
      <w:r>
        <w:rPr>
          <w:rFonts w:hint="default" w:ascii="Times New Roman" w:hAnsi="Times New Roman" w:eastAsia="仿宋_GB2312" w:cs="Times New Roman"/>
          <w:b/>
          <w:bCs/>
          <w:color w:val="auto"/>
          <w:sz w:val="32"/>
          <w:szCs w:val="32"/>
        </w:rPr>
        <w:t>条</w:t>
      </w:r>
      <w:r>
        <w:rPr>
          <w:rFonts w:hint="default" w:ascii="Times New Roman" w:hAnsi="Times New Roman" w:eastAsia="仿宋_GB2312" w:cs="Times New Roman"/>
          <w:b/>
          <w:bCs/>
          <w:sz w:val="32"/>
          <w:szCs w:val="32"/>
        </w:rPr>
        <w:t xml:space="preserve"> </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bCs/>
          <w:color w:val="auto"/>
          <w:kern w:val="2"/>
          <w:sz w:val="32"/>
          <w:szCs w:val="32"/>
          <w:u w:val="none"/>
          <w:lang w:val="en-US" w:eastAsia="zh-CN"/>
        </w:rPr>
        <w:t>农村集体经济组织应当在收到征地补偿费之日起</w:t>
      </w:r>
      <w:r>
        <w:rPr>
          <w:rFonts w:hint="default" w:ascii="Times New Roman" w:hAnsi="Times New Roman" w:eastAsia="仿宋_GB2312" w:cs="Times New Roman"/>
          <w:color w:val="auto"/>
          <w:kern w:val="2"/>
          <w:sz w:val="32"/>
          <w:szCs w:val="32"/>
          <w:vertAlign w:val="baseline"/>
          <w:lang w:val="en-US" w:eastAsia="zh-CN" w:bidi="ar-SA"/>
        </w:rPr>
        <w:t>30</w:t>
      </w:r>
      <w:r>
        <w:rPr>
          <w:rFonts w:hint="default" w:ascii="Times New Roman" w:hAnsi="Times New Roman" w:eastAsia="仿宋_GB2312" w:cs="Times New Roman"/>
          <w:bCs/>
          <w:color w:val="auto"/>
          <w:kern w:val="2"/>
          <w:sz w:val="32"/>
          <w:szCs w:val="32"/>
          <w:u w:val="none"/>
          <w:lang w:val="en-US" w:eastAsia="zh-CN"/>
        </w:rPr>
        <w:t>日内制定分配使用方案。分配方案须先经村党组织或乡镇党委研究讨论，依法提交农村集体经济组织成员大会审议决定后，报乡镇人民政府备案。</w:t>
      </w:r>
    </w:p>
    <w:p w14:paraId="71D7614A">
      <w:pPr>
        <w:pStyle w:val="16"/>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0" w:firstLineChars="200"/>
        <w:textAlignment w:val="auto"/>
        <w:rPr>
          <w:rFonts w:hint="default" w:ascii="Times New Roman" w:hAnsi="Times New Roman" w:eastAsia="仿宋_GB2312" w:cs="Times New Roman"/>
          <w:bCs/>
          <w:color w:val="auto"/>
          <w:kern w:val="2"/>
          <w:sz w:val="32"/>
          <w:szCs w:val="32"/>
          <w:u w:val="none"/>
          <w:lang w:val="en-US" w:eastAsia="zh-CN"/>
        </w:rPr>
      </w:pPr>
      <w:r>
        <w:rPr>
          <w:rFonts w:hint="default" w:ascii="Times New Roman" w:hAnsi="Times New Roman" w:eastAsia="仿宋_GB2312" w:cs="Times New Roman"/>
          <w:bCs/>
          <w:color w:val="auto"/>
          <w:kern w:val="2"/>
          <w:sz w:val="32"/>
          <w:szCs w:val="32"/>
          <w:u w:val="none"/>
          <w:lang w:val="en-US" w:eastAsia="zh-CN"/>
        </w:rPr>
        <w:t>征地补偿费分配应当充分尊重农户意愿，不得打乱重分农户承包地。农村集体经济组织应将收到的征地补偿费中不少于</w:t>
      </w:r>
      <w:r>
        <w:rPr>
          <w:rFonts w:hint="default" w:ascii="Times New Roman" w:hAnsi="Times New Roman" w:eastAsia="仿宋_GB2312" w:cs="Times New Roman"/>
          <w:color w:val="auto"/>
          <w:kern w:val="2"/>
          <w:sz w:val="32"/>
          <w:szCs w:val="32"/>
          <w:vertAlign w:val="baseline"/>
          <w:lang w:val="en-US" w:eastAsia="zh-CN" w:bidi="ar-SA"/>
        </w:rPr>
        <w:t>80</w:t>
      </w:r>
      <w:r>
        <w:rPr>
          <w:rFonts w:hint="default" w:ascii="Times New Roman" w:hAnsi="Times New Roman" w:eastAsia="仿宋_GB2312" w:cs="Times New Roman"/>
          <w:bCs/>
          <w:color w:val="auto"/>
          <w:kern w:val="2"/>
          <w:sz w:val="32"/>
          <w:szCs w:val="32"/>
          <w:u w:val="none"/>
          <w:lang w:val="en-US" w:eastAsia="zh-CN"/>
        </w:rPr>
        <w:t>%的土地补偿费和全部的安置补助费及时支付给被征地农民。</w:t>
      </w:r>
    </w:p>
    <w:p w14:paraId="2AA4997D">
      <w:pPr>
        <w:pStyle w:val="16"/>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0" w:firstLineChars="200"/>
        <w:textAlignment w:val="auto"/>
        <w:rPr>
          <w:rFonts w:hint="default" w:ascii="Times New Roman" w:hAnsi="Times New Roman" w:eastAsia="仿宋_GB2312" w:cs="Times New Roman"/>
          <w:bCs/>
          <w:color w:val="auto"/>
          <w:kern w:val="2"/>
          <w:sz w:val="32"/>
          <w:szCs w:val="32"/>
          <w:u w:val="none"/>
          <w:lang w:val="en-US" w:eastAsia="zh-CN"/>
        </w:rPr>
      </w:pPr>
      <w:r>
        <w:rPr>
          <w:rFonts w:hint="default" w:ascii="Times New Roman" w:hAnsi="Times New Roman" w:eastAsia="仿宋_GB2312" w:cs="Times New Roman"/>
          <w:bCs/>
          <w:color w:val="auto"/>
          <w:kern w:val="2"/>
          <w:sz w:val="32"/>
          <w:szCs w:val="32"/>
          <w:u w:val="none"/>
          <w:lang w:val="en-US" w:eastAsia="zh-CN"/>
        </w:rPr>
        <w:t>集体留存的土地补偿费纳入集体财产管理，按照集体经济组织章程规定提取公积公益金，用于发展集体经济、改善公益设施等合法合规支出。</w:t>
      </w:r>
    </w:p>
    <w:p w14:paraId="3DF9FD83">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国标仿宋" w:cs="Times New Roman"/>
          <w:bCs/>
          <w:color w:val="FF0000"/>
          <w:sz w:val="32"/>
          <w:szCs w:val="32"/>
          <w:u w:val="none"/>
          <w:lang w:eastAsia="zh-CN"/>
        </w:rPr>
      </w:pPr>
    </w:p>
    <w:p w14:paraId="546409A1">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国标仿宋" w:cs="Times New Roman"/>
          <w:b/>
          <w:bCs/>
          <w:kern w:val="2"/>
          <w:sz w:val="32"/>
          <w:szCs w:val="32"/>
        </w:rPr>
      </w:pPr>
      <w:r>
        <w:rPr>
          <w:rFonts w:hint="default" w:ascii="Times New Roman" w:hAnsi="Times New Roman" w:eastAsia="黑体" w:cs="Times New Roman"/>
          <w:b w:val="0"/>
          <w:bCs w:val="0"/>
          <w:sz w:val="32"/>
          <w:szCs w:val="32"/>
        </w:rPr>
        <w:t>第四章  安置</w:t>
      </w:r>
      <w:r>
        <w:rPr>
          <w:rFonts w:hint="default" w:ascii="Times New Roman" w:hAnsi="Times New Roman" w:eastAsia="黑体" w:cs="Times New Roman"/>
          <w:b w:val="0"/>
          <w:bCs w:val="0"/>
          <w:sz w:val="32"/>
          <w:szCs w:val="32"/>
          <w:lang w:eastAsia="zh-CN"/>
        </w:rPr>
        <w:t>规定</w:t>
      </w:r>
    </w:p>
    <w:p w14:paraId="19657D13">
      <w:pPr>
        <w:pStyle w:val="16"/>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3" w:firstLineChars="200"/>
        <w:textAlignment w:val="auto"/>
        <w:rPr>
          <w:rFonts w:hint="default" w:ascii="Times New Roman" w:hAnsi="Times New Roman" w:eastAsia="仿宋_GB2312" w:cs="Times New Roman"/>
          <w:color w:val="auto"/>
          <w:kern w:val="2"/>
          <w:sz w:val="32"/>
          <w:szCs w:val="32"/>
          <w:u w:val="none"/>
        </w:rPr>
      </w:pPr>
      <w:r>
        <w:rPr>
          <w:rFonts w:hint="default" w:ascii="Times New Roman" w:hAnsi="Times New Roman" w:eastAsia="仿宋_GB2312" w:cs="Times New Roman"/>
          <w:b/>
          <w:bCs/>
          <w:color w:val="auto"/>
          <w:kern w:val="2"/>
          <w:sz w:val="32"/>
          <w:szCs w:val="32"/>
          <w:u w:val="none"/>
        </w:rPr>
        <w:t>第</w:t>
      </w:r>
      <w:r>
        <w:rPr>
          <w:rFonts w:hint="default" w:ascii="Times New Roman" w:hAnsi="Times New Roman" w:eastAsia="仿宋_GB2312" w:cs="Times New Roman"/>
          <w:b/>
          <w:bCs/>
          <w:color w:val="auto"/>
          <w:kern w:val="2"/>
          <w:sz w:val="32"/>
          <w:szCs w:val="32"/>
          <w:u w:val="none"/>
          <w:lang w:val="en-US" w:eastAsia="zh-CN"/>
        </w:rPr>
        <w:t>三十一</w:t>
      </w:r>
      <w:r>
        <w:rPr>
          <w:rFonts w:hint="default" w:ascii="Times New Roman" w:hAnsi="Times New Roman" w:eastAsia="仿宋_GB2312" w:cs="Times New Roman"/>
          <w:b/>
          <w:bCs/>
          <w:color w:val="auto"/>
          <w:kern w:val="2"/>
          <w:sz w:val="32"/>
          <w:szCs w:val="32"/>
          <w:u w:val="none"/>
        </w:rPr>
        <w:t>条</w:t>
      </w:r>
      <w:r>
        <w:rPr>
          <w:rFonts w:hint="default" w:ascii="Times New Roman" w:hAnsi="Times New Roman" w:eastAsia="仿宋_GB2312" w:cs="Times New Roman"/>
          <w:b/>
          <w:bCs/>
          <w:color w:val="auto"/>
          <w:sz w:val="32"/>
          <w:szCs w:val="32"/>
          <w:u w:val="none"/>
        </w:rPr>
        <w:t xml:space="preserve"> </w:t>
      </w:r>
      <w:r>
        <w:rPr>
          <w:rFonts w:hint="default" w:ascii="Times New Roman" w:hAnsi="Times New Roman" w:eastAsia="仿宋_GB2312" w:cs="Times New Roman"/>
          <w:color w:val="auto"/>
          <w:sz w:val="32"/>
          <w:szCs w:val="32"/>
          <w:u w:val="none"/>
        </w:rPr>
        <w:t xml:space="preserve"> </w:t>
      </w:r>
      <w:r>
        <w:rPr>
          <w:rFonts w:hint="default" w:ascii="Times New Roman" w:hAnsi="Times New Roman" w:eastAsia="仿宋_GB2312" w:cs="Times New Roman"/>
          <w:color w:val="auto"/>
          <w:kern w:val="2"/>
          <w:sz w:val="32"/>
          <w:szCs w:val="32"/>
          <w:u w:val="none"/>
          <w:lang w:val="zh-CN"/>
        </w:rPr>
        <w:t>本</w:t>
      </w:r>
      <w:r>
        <w:rPr>
          <w:rFonts w:hint="default" w:ascii="Times New Roman" w:hAnsi="Times New Roman" w:eastAsia="仿宋_GB2312" w:cs="Times New Roman"/>
          <w:color w:val="auto"/>
          <w:kern w:val="2"/>
          <w:sz w:val="32"/>
          <w:szCs w:val="32"/>
          <w:u w:val="none"/>
        </w:rPr>
        <w:t>细则</w:t>
      </w:r>
      <w:r>
        <w:rPr>
          <w:rFonts w:hint="default" w:ascii="Times New Roman" w:hAnsi="Times New Roman" w:eastAsia="仿宋_GB2312" w:cs="Times New Roman"/>
          <w:color w:val="auto"/>
          <w:kern w:val="2"/>
          <w:sz w:val="32"/>
          <w:szCs w:val="32"/>
          <w:u w:val="none"/>
          <w:lang w:val="zh-CN"/>
        </w:rPr>
        <w:t>所称安置对象，</w:t>
      </w:r>
      <w:r>
        <w:rPr>
          <w:rFonts w:hint="default" w:ascii="Times New Roman" w:hAnsi="Times New Roman" w:eastAsia="仿宋_GB2312" w:cs="Times New Roman"/>
          <w:color w:val="auto"/>
          <w:kern w:val="2"/>
          <w:sz w:val="32"/>
          <w:szCs w:val="32"/>
          <w:u w:val="none"/>
        </w:rPr>
        <w:t>是指</w:t>
      </w:r>
      <w:r>
        <w:rPr>
          <w:rFonts w:hint="default" w:ascii="Times New Roman" w:hAnsi="Times New Roman" w:eastAsia="仿宋_GB2312" w:cs="Times New Roman"/>
          <w:color w:val="auto"/>
          <w:kern w:val="2"/>
          <w:sz w:val="32"/>
          <w:szCs w:val="32"/>
          <w:u w:val="none"/>
          <w:lang w:eastAsia="zh-CN"/>
        </w:rPr>
        <w:t>具有被征地集体经济组织成员身份</w:t>
      </w:r>
      <w:r>
        <w:rPr>
          <w:rFonts w:hint="default" w:ascii="Times New Roman" w:hAnsi="Times New Roman" w:eastAsia="仿宋_GB2312" w:cs="Times New Roman"/>
          <w:color w:val="auto"/>
          <w:kern w:val="2"/>
          <w:sz w:val="32"/>
          <w:szCs w:val="32"/>
          <w:u w:val="none"/>
        </w:rPr>
        <w:t>，依法享有农村土地承包经营权利，参与集体经济组织分配，在被征地集体经济组织内部享有权利并承担义务，有合法住宅</w:t>
      </w:r>
      <w:r>
        <w:rPr>
          <w:rFonts w:hint="default" w:ascii="Times New Roman" w:hAnsi="Times New Roman" w:eastAsia="仿宋_GB2312" w:cs="Times New Roman"/>
          <w:color w:val="auto"/>
          <w:kern w:val="2"/>
          <w:sz w:val="32"/>
          <w:szCs w:val="32"/>
          <w:u w:val="none"/>
          <w:lang w:eastAsia="zh-CN"/>
        </w:rPr>
        <w:t>房屋</w:t>
      </w:r>
      <w:r>
        <w:rPr>
          <w:rFonts w:hint="default" w:ascii="Times New Roman" w:hAnsi="Times New Roman" w:eastAsia="仿宋_GB2312" w:cs="Times New Roman"/>
          <w:color w:val="auto"/>
          <w:kern w:val="2"/>
          <w:sz w:val="32"/>
          <w:szCs w:val="32"/>
          <w:u w:val="none"/>
        </w:rPr>
        <w:t>被征收</w:t>
      </w:r>
      <w:r>
        <w:rPr>
          <w:rFonts w:hint="default" w:ascii="Times New Roman" w:hAnsi="Times New Roman" w:eastAsia="仿宋_GB2312" w:cs="Times New Roman"/>
          <w:color w:val="auto"/>
          <w:kern w:val="2"/>
          <w:sz w:val="32"/>
          <w:szCs w:val="32"/>
          <w:u w:val="none"/>
          <w:lang w:eastAsia="zh-CN"/>
        </w:rPr>
        <w:t>，</w:t>
      </w:r>
      <w:r>
        <w:rPr>
          <w:rFonts w:hint="default" w:ascii="Times New Roman" w:hAnsi="Times New Roman" w:eastAsia="仿宋_GB2312" w:cs="Times New Roman"/>
          <w:color w:val="auto"/>
          <w:kern w:val="2"/>
          <w:sz w:val="32"/>
          <w:szCs w:val="32"/>
          <w:u w:val="none"/>
        </w:rPr>
        <w:t>符合宅基地</w:t>
      </w:r>
      <w:r>
        <w:rPr>
          <w:rFonts w:hint="default" w:ascii="Times New Roman" w:hAnsi="Times New Roman" w:eastAsia="仿宋_GB2312" w:cs="Times New Roman"/>
          <w:color w:val="auto"/>
          <w:kern w:val="2"/>
          <w:sz w:val="32"/>
          <w:szCs w:val="32"/>
          <w:u w:val="none"/>
          <w:lang w:eastAsia="zh-CN"/>
        </w:rPr>
        <w:t>使用</w:t>
      </w:r>
      <w:r>
        <w:rPr>
          <w:rFonts w:hint="default" w:ascii="Times New Roman" w:hAnsi="Times New Roman" w:eastAsia="仿宋_GB2312" w:cs="Times New Roman"/>
          <w:color w:val="auto"/>
          <w:kern w:val="2"/>
          <w:sz w:val="32"/>
          <w:szCs w:val="32"/>
          <w:u w:val="none"/>
        </w:rPr>
        <w:t>条件的家庭常住人口。</w:t>
      </w:r>
    </w:p>
    <w:p w14:paraId="3225E237">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rPr>
        <w:t>县</w:t>
      </w:r>
      <w:r>
        <w:rPr>
          <w:rFonts w:hint="default" w:ascii="Times New Roman" w:hAnsi="Times New Roman" w:eastAsia="仿宋_GB2312" w:cs="Times New Roman"/>
          <w:color w:val="auto"/>
          <w:sz w:val="32"/>
          <w:szCs w:val="32"/>
          <w:u w:val="none"/>
          <w:lang w:val="zh-CN"/>
        </w:rPr>
        <w:t>人民</w:t>
      </w:r>
      <w:r>
        <w:rPr>
          <w:rFonts w:hint="default" w:ascii="Times New Roman" w:hAnsi="Times New Roman" w:eastAsia="仿宋_GB2312" w:cs="Times New Roman"/>
          <w:color w:val="auto"/>
          <w:sz w:val="32"/>
          <w:szCs w:val="32"/>
          <w:u w:val="none"/>
        </w:rPr>
        <w:t>政府</w:t>
      </w:r>
      <w:r>
        <w:rPr>
          <w:rFonts w:hint="default" w:ascii="Times New Roman" w:hAnsi="Times New Roman" w:eastAsia="仿宋_GB2312" w:cs="Times New Roman"/>
          <w:color w:val="auto"/>
          <w:sz w:val="32"/>
          <w:szCs w:val="32"/>
          <w:u w:val="none"/>
          <w:lang w:val="zh-CN"/>
        </w:rPr>
        <w:t>组织公安、乡镇</w:t>
      </w:r>
      <w:r>
        <w:rPr>
          <w:rFonts w:hint="default" w:ascii="Times New Roman" w:hAnsi="Times New Roman" w:eastAsia="仿宋_GB2312" w:cs="Times New Roman"/>
          <w:color w:val="auto"/>
          <w:sz w:val="32"/>
          <w:szCs w:val="32"/>
          <w:u w:val="none"/>
        </w:rPr>
        <w:t>人民政府</w:t>
      </w:r>
      <w:r>
        <w:rPr>
          <w:rFonts w:hint="default" w:ascii="Times New Roman" w:hAnsi="Times New Roman" w:eastAsia="仿宋_GB2312" w:cs="Times New Roman"/>
          <w:color w:val="auto"/>
          <w:sz w:val="32"/>
          <w:szCs w:val="32"/>
          <w:u w:val="none"/>
          <w:lang w:val="zh-CN"/>
        </w:rPr>
        <w:t>、</w:t>
      </w:r>
      <w:r>
        <w:rPr>
          <w:rFonts w:hint="default" w:ascii="Times New Roman" w:hAnsi="Times New Roman" w:eastAsia="仿宋_GB2312" w:cs="Times New Roman"/>
          <w:color w:val="auto"/>
          <w:sz w:val="32"/>
          <w:szCs w:val="32"/>
          <w:u w:val="none"/>
        </w:rPr>
        <w:t>村</w:t>
      </w:r>
      <w:r>
        <w:rPr>
          <w:rFonts w:hint="default" w:ascii="Times New Roman" w:hAnsi="Times New Roman" w:eastAsia="仿宋_GB2312" w:cs="Times New Roman"/>
          <w:color w:val="auto"/>
          <w:sz w:val="32"/>
          <w:szCs w:val="32"/>
          <w:u w:val="none"/>
          <w:lang w:val="zh-CN"/>
        </w:rPr>
        <w:t>（</w:t>
      </w:r>
      <w:r>
        <w:rPr>
          <w:rFonts w:hint="default" w:ascii="Times New Roman" w:hAnsi="Times New Roman" w:eastAsia="仿宋_GB2312" w:cs="Times New Roman"/>
          <w:color w:val="auto"/>
          <w:sz w:val="32"/>
          <w:szCs w:val="32"/>
          <w:u w:val="none"/>
        </w:rPr>
        <w:t>居</w:t>
      </w:r>
      <w:r>
        <w:rPr>
          <w:rFonts w:hint="default" w:ascii="Times New Roman" w:hAnsi="Times New Roman" w:eastAsia="仿宋_GB2312" w:cs="Times New Roman"/>
          <w:color w:val="auto"/>
          <w:sz w:val="32"/>
          <w:szCs w:val="32"/>
          <w:u w:val="none"/>
          <w:lang w:val="zh-CN"/>
        </w:rPr>
        <w:t>）委会等有关</w:t>
      </w:r>
      <w:r>
        <w:rPr>
          <w:rFonts w:hint="default" w:ascii="Times New Roman" w:hAnsi="Times New Roman" w:eastAsia="仿宋_GB2312" w:cs="Times New Roman"/>
          <w:color w:val="auto"/>
          <w:sz w:val="32"/>
          <w:szCs w:val="32"/>
          <w:u w:val="none"/>
        </w:rPr>
        <w:t>单位</w:t>
      </w:r>
      <w:r>
        <w:rPr>
          <w:rFonts w:hint="default" w:ascii="Times New Roman" w:hAnsi="Times New Roman" w:eastAsia="仿宋_GB2312" w:cs="Times New Roman"/>
          <w:color w:val="auto"/>
          <w:sz w:val="32"/>
          <w:szCs w:val="32"/>
          <w:u w:val="none"/>
          <w:lang w:val="zh-CN"/>
        </w:rPr>
        <w:t>对安置</w:t>
      </w:r>
      <w:r>
        <w:rPr>
          <w:rFonts w:hint="default" w:ascii="Times New Roman" w:hAnsi="Times New Roman" w:eastAsia="仿宋_GB2312" w:cs="Times New Roman"/>
          <w:color w:val="auto"/>
          <w:sz w:val="32"/>
          <w:szCs w:val="32"/>
          <w:u w:val="none"/>
        </w:rPr>
        <w:t>对象</w:t>
      </w:r>
      <w:r>
        <w:rPr>
          <w:rFonts w:hint="default" w:ascii="Times New Roman" w:hAnsi="Times New Roman" w:eastAsia="仿宋_GB2312" w:cs="Times New Roman"/>
          <w:color w:val="auto"/>
          <w:sz w:val="32"/>
          <w:szCs w:val="32"/>
          <w:u w:val="none"/>
          <w:lang w:val="zh-CN"/>
        </w:rPr>
        <w:t>资格进行审核</w:t>
      </w:r>
      <w:r>
        <w:rPr>
          <w:rFonts w:hint="default" w:ascii="Times New Roman" w:hAnsi="Times New Roman" w:eastAsia="仿宋_GB2312" w:cs="Times New Roman"/>
          <w:color w:val="auto"/>
          <w:sz w:val="32"/>
          <w:szCs w:val="32"/>
          <w:u w:val="none"/>
        </w:rPr>
        <w:t>并公示备案。</w:t>
      </w:r>
    </w:p>
    <w:p w14:paraId="18477FE9">
      <w:pPr>
        <w:keepNext w:val="0"/>
        <w:keepLines w:val="0"/>
        <w:pageBreakBefore w:val="0"/>
        <w:widowControl w:val="0"/>
        <w:kinsoku/>
        <w:wordWrap/>
        <w:overflowPunct/>
        <w:topLinePunct w:val="0"/>
        <w:autoSpaceDE/>
        <w:autoSpaceDN/>
        <w:bidi w:val="0"/>
        <w:adjustRightInd/>
        <w:snapToGrid/>
        <w:spacing w:line="640" w:lineRule="exact"/>
        <w:ind w:firstLine="664"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pacing w:val="6"/>
          <w:sz w:val="32"/>
          <w:szCs w:val="32"/>
          <w:u w:val="none"/>
          <w:lang w:val="zh-CN"/>
        </w:rPr>
        <w:t>安置对象</w:t>
      </w:r>
      <w:r>
        <w:rPr>
          <w:rFonts w:hint="default" w:ascii="Times New Roman" w:hAnsi="Times New Roman" w:eastAsia="仿宋_GB2312" w:cs="Times New Roman"/>
          <w:color w:val="auto"/>
          <w:sz w:val="32"/>
          <w:szCs w:val="32"/>
          <w:u w:val="none"/>
          <w:lang w:val="zh-CN" w:eastAsia="zh-CN"/>
        </w:rPr>
        <w:t>身份</w:t>
      </w:r>
      <w:r>
        <w:rPr>
          <w:rFonts w:hint="default" w:ascii="Times New Roman" w:hAnsi="Times New Roman" w:eastAsia="仿宋_GB2312" w:cs="Times New Roman"/>
          <w:color w:val="auto"/>
          <w:sz w:val="32"/>
          <w:szCs w:val="32"/>
          <w:u w:val="none"/>
          <w:lang w:val="zh-CN"/>
        </w:rPr>
        <w:t>确</w:t>
      </w:r>
      <w:r>
        <w:rPr>
          <w:rFonts w:hint="default" w:ascii="Times New Roman" w:hAnsi="Times New Roman" w:eastAsia="仿宋_GB2312" w:cs="Times New Roman"/>
          <w:color w:val="auto"/>
          <w:spacing w:val="6"/>
          <w:sz w:val="32"/>
          <w:szCs w:val="32"/>
          <w:u w:val="none"/>
          <w:lang w:val="zh-CN"/>
        </w:rPr>
        <w:t>认</w:t>
      </w:r>
      <w:r>
        <w:rPr>
          <w:rFonts w:hint="default" w:ascii="Times New Roman" w:hAnsi="Times New Roman" w:eastAsia="仿宋_GB2312" w:cs="Times New Roman"/>
          <w:color w:val="auto"/>
          <w:sz w:val="32"/>
          <w:szCs w:val="32"/>
          <w:u w:val="none"/>
          <w:lang w:val="zh-CN" w:eastAsia="zh-CN"/>
        </w:rPr>
        <w:t>截止时间为征地补偿安置方案确定后公告之日。</w:t>
      </w:r>
    </w:p>
    <w:p w14:paraId="6B9F3BBE">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color w:val="auto"/>
          <w:sz w:val="32"/>
          <w:szCs w:val="32"/>
          <w:u w:val="none"/>
          <w:lang w:val="zh-CN"/>
        </w:rPr>
      </w:pPr>
      <w:r>
        <w:rPr>
          <w:rFonts w:hint="default" w:ascii="Times New Roman" w:hAnsi="Times New Roman" w:eastAsia="仿宋_GB2312" w:cs="Times New Roman"/>
          <w:b/>
          <w:bCs/>
          <w:color w:val="auto"/>
          <w:sz w:val="32"/>
          <w:szCs w:val="32"/>
          <w:u w:val="none"/>
        </w:rPr>
        <w:t>第</w:t>
      </w:r>
      <w:r>
        <w:rPr>
          <w:rFonts w:hint="default" w:ascii="Times New Roman" w:hAnsi="Times New Roman" w:eastAsia="仿宋_GB2312" w:cs="Times New Roman"/>
          <w:b/>
          <w:bCs/>
          <w:color w:val="auto"/>
          <w:sz w:val="32"/>
          <w:szCs w:val="32"/>
          <w:u w:val="none"/>
          <w:lang w:eastAsia="zh-CN"/>
        </w:rPr>
        <w:t>三十</w:t>
      </w:r>
      <w:r>
        <w:rPr>
          <w:rFonts w:hint="default" w:ascii="Times New Roman" w:hAnsi="Times New Roman" w:eastAsia="仿宋_GB2312" w:cs="Times New Roman"/>
          <w:b/>
          <w:bCs/>
          <w:color w:val="auto"/>
          <w:sz w:val="32"/>
          <w:szCs w:val="32"/>
          <w:u w:val="none"/>
          <w:lang w:val="en-US" w:eastAsia="zh-CN"/>
        </w:rPr>
        <w:t>二</w:t>
      </w:r>
      <w:r>
        <w:rPr>
          <w:rFonts w:hint="default" w:ascii="Times New Roman" w:hAnsi="Times New Roman" w:eastAsia="仿宋_GB2312" w:cs="Times New Roman"/>
          <w:b/>
          <w:bCs/>
          <w:color w:val="auto"/>
          <w:sz w:val="32"/>
          <w:szCs w:val="32"/>
          <w:u w:val="none"/>
        </w:rPr>
        <w:t xml:space="preserve">条 </w:t>
      </w:r>
      <w:r>
        <w:rPr>
          <w:rFonts w:hint="default" w:ascii="Times New Roman" w:hAnsi="Times New Roman" w:eastAsia="仿宋_GB2312" w:cs="Times New Roman"/>
          <w:color w:val="auto"/>
          <w:sz w:val="32"/>
          <w:szCs w:val="32"/>
          <w:u w:val="none"/>
        </w:rPr>
        <w:t xml:space="preserve"> 征收农村村民合法住宅按“一户一宅”的原则予以安置。</w:t>
      </w:r>
      <w:r>
        <w:rPr>
          <w:rFonts w:hint="default" w:ascii="Times New Roman" w:hAnsi="Times New Roman" w:eastAsia="仿宋_GB2312" w:cs="Times New Roman"/>
          <w:color w:val="auto"/>
          <w:sz w:val="32"/>
          <w:szCs w:val="32"/>
          <w:u w:val="none"/>
          <w:lang w:val="zh-CN"/>
        </w:rPr>
        <w:t>被征收户有两处或两处以上合法住宅，因一处住宅被征收而予以安置的，其他住宅被征收只作补偿不予安置。</w:t>
      </w:r>
    </w:p>
    <w:p w14:paraId="0C15CD00">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u w:val="none"/>
          <w:lang w:val="zh-CN"/>
        </w:rPr>
      </w:pPr>
      <w:r>
        <w:rPr>
          <w:rFonts w:hint="default" w:ascii="Times New Roman" w:hAnsi="Times New Roman" w:eastAsia="仿宋_GB2312" w:cs="Times New Roman"/>
          <w:color w:val="auto"/>
          <w:sz w:val="32"/>
          <w:szCs w:val="32"/>
          <w:u w:val="none"/>
          <w:lang w:val="zh-CN"/>
        </w:rPr>
        <w:t>非住宅房屋被征收的，按照集体土地上房屋征收补偿标准进行补偿，不予安置。</w:t>
      </w:r>
    </w:p>
    <w:p w14:paraId="34B911FF">
      <w:pPr>
        <w:pStyle w:val="16"/>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0" w:firstLineChars="200"/>
        <w:textAlignment w:val="auto"/>
        <w:rPr>
          <w:rFonts w:hint="default" w:ascii="Times New Roman" w:hAnsi="Times New Roman" w:eastAsia="仿宋_GB2312" w:cs="Times New Roman"/>
          <w:bCs/>
          <w:color w:val="auto"/>
          <w:kern w:val="2"/>
          <w:sz w:val="32"/>
          <w:szCs w:val="32"/>
          <w:u w:val="none"/>
          <w:lang w:val="zh-CN"/>
        </w:rPr>
      </w:pPr>
      <w:r>
        <w:rPr>
          <w:rFonts w:hint="default" w:ascii="Times New Roman" w:hAnsi="Times New Roman" w:eastAsia="仿宋_GB2312" w:cs="Times New Roman"/>
          <w:bCs/>
          <w:color w:val="auto"/>
          <w:kern w:val="2"/>
          <w:sz w:val="32"/>
          <w:szCs w:val="32"/>
          <w:u w:val="none"/>
          <w:lang w:val="zh-CN"/>
        </w:rPr>
        <w:t>征收城镇居民在农村的合法房屋，按照集体土地上房屋征收补偿标准进行补偿，不予安置。</w:t>
      </w:r>
    </w:p>
    <w:p w14:paraId="69414422">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u w:val="none"/>
          <w:lang w:val="zh-CN"/>
        </w:rPr>
      </w:pPr>
      <w:r>
        <w:rPr>
          <w:rFonts w:hint="default" w:ascii="Times New Roman" w:hAnsi="Times New Roman" w:eastAsia="仿宋_GB2312" w:cs="Times New Roman"/>
          <w:color w:val="auto"/>
          <w:sz w:val="32"/>
          <w:szCs w:val="32"/>
          <w:u w:val="none"/>
          <w:lang w:val="zh-CN"/>
        </w:rPr>
        <w:t>经依法认定为违法建筑的住宅或者非住宅房屋，一律按照违法建筑处理，不予补偿安置。</w:t>
      </w:r>
    </w:p>
    <w:p w14:paraId="00CAEA7B">
      <w:pPr>
        <w:pStyle w:val="16"/>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3" w:firstLineChars="200"/>
        <w:textAlignment w:val="auto"/>
        <w:rPr>
          <w:rFonts w:hint="default" w:ascii="Times New Roman" w:hAnsi="Times New Roman" w:eastAsia="仿宋_GB2312" w:cs="Times New Roman"/>
          <w:color w:val="auto"/>
          <w:sz w:val="32"/>
          <w:szCs w:val="32"/>
          <w:u w:val="none"/>
          <w:shd w:val="clear" w:color="auto" w:fill="FFFFFF"/>
          <w:lang w:eastAsia="zh-CN"/>
        </w:rPr>
      </w:pPr>
      <w:r>
        <w:rPr>
          <w:rFonts w:hint="default" w:ascii="Times New Roman" w:hAnsi="Times New Roman" w:eastAsia="仿宋_GB2312" w:cs="Times New Roman"/>
          <w:b/>
          <w:bCs/>
          <w:color w:val="auto"/>
          <w:kern w:val="2"/>
          <w:sz w:val="32"/>
          <w:szCs w:val="32"/>
          <w:u w:val="none"/>
        </w:rPr>
        <w:t>第</w:t>
      </w:r>
      <w:r>
        <w:rPr>
          <w:rFonts w:hint="default" w:ascii="Times New Roman" w:hAnsi="Times New Roman" w:eastAsia="仿宋_GB2312" w:cs="Times New Roman"/>
          <w:b/>
          <w:bCs/>
          <w:color w:val="auto"/>
          <w:kern w:val="2"/>
          <w:sz w:val="32"/>
          <w:szCs w:val="32"/>
          <w:u w:val="none"/>
          <w:lang w:eastAsia="zh-CN"/>
        </w:rPr>
        <w:t>三十</w:t>
      </w:r>
      <w:r>
        <w:rPr>
          <w:rFonts w:hint="default" w:ascii="Times New Roman" w:hAnsi="Times New Roman" w:eastAsia="仿宋_GB2312" w:cs="Times New Roman"/>
          <w:b/>
          <w:bCs/>
          <w:color w:val="auto"/>
          <w:kern w:val="2"/>
          <w:sz w:val="32"/>
          <w:szCs w:val="32"/>
          <w:u w:val="none"/>
          <w:lang w:val="en-US" w:eastAsia="zh-CN"/>
        </w:rPr>
        <w:t>三</w:t>
      </w:r>
      <w:r>
        <w:rPr>
          <w:rFonts w:hint="default" w:ascii="Times New Roman" w:hAnsi="Times New Roman" w:eastAsia="仿宋_GB2312" w:cs="Times New Roman"/>
          <w:b/>
          <w:bCs/>
          <w:color w:val="auto"/>
          <w:kern w:val="2"/>
          <w:sz w:val="32"/>
          <w:szCs w:val="32"/>
          <w:u w:val="none"/>
        </w:rPr>
        <w:t>条</w:t>
      </w:r>
      <w:r>
        <w:rPr>
          <w:rFonts w:hint="default" w:ascii="Times New Roman" w:hAnsi="Times New Roman" w:eastAsia="仿宋_GB2312" w:cs="Times New Roman"/>
          <w:b/>
          <w:bCs/>
          <w:color w:val="auto"/>
          <w:sz w:val="32"/>
          <w:szCs w:val="32"/>
          <w:u w:val="none"/>
        </w:rPr>
        <w:t xml:space="preserve"> </w:t>
      </w:r>
      <w:r>
        <w:rPr>
          <w:rFonts w:hint="default" w:ascii="Times New Roman" w:hAnsi="Times New Roman" w:eastAsia="仿宋_GB2312" w:cs="Times New Roman"/>
          <w:color w:val="auto"/>
          <w:sz w:val="32"/>
          <w:szCs w:val="32"/>
          <w:u w:val="none"/>
        </w:rPr>
        <w:t xml:space="preserve"> </w:t>
      </w:r>
      <w:r>
        <w:rPr>
          <w:rFonts w:hint="default" w:ascii="Times New Roman" w:hAnsi="Times New Roman" w:eastAsia="仿宋_GB2312" w:cs="Times New Roman"/>
          <w:color w:val="auto"/>
          <w:sz w:val="32"/>
          <w:szCs w:val="32"/>
          <w:u w:val="none"/>
          <w:shd w:val="clear" w:color="auto" w:fill="FFFFFF"/>
        </w:rPr>
        <w:t>安置户的认定原则</w:t>
      </w:r>
      <w:r>
        <w:rPr>
          <w:rFonts w:hint="default" w:ascii="Times New Roman" w:hAnsi="Times New Roman" w:eastAsia="仿宋_GB2312" w:cs="Times New Roman"/>
          <w:color w:val="auto"/>
          <w:sz w:val="32"/>
          <w:szCs w:val="32"/>
          <w:u w:val="none"/>
          <w:shd w:val="clear" w:color="auto" w:fill="FFFFFF"/>
          <w:lang w:eastAsia="zh-CN"/>
        </w:rPr>
        <w:t>：</w:t>
      </w:r>
    </w:p>
    <w:p w14:paraId="7E680E1A">
      <w:pPr>
        <w:pStyle w:val="16"/>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0" w:firstLineChars="200"/>
        <w:textAlignment w:val="auto"/>
        <w:rPr>
          <w:rFonts w:hint="default" w:ascii="Times New Roman" w:hAnsi="Times New Roman" w:eastAsia="仿宋_GB2312" w:cs="Times New Roman"/>
          <w:color w:val="auto"/>
          <w:sz w:val="32"/>
          <w:szCs w:val="32"/>
          <w:u w:val="none"/>
          <w:shd w:val="clear" w:color="auto" w:fill="FFFFFF"/>
          <w:lang w:eastAsia="zh-CN"/>
        </w:rPr>
      </w:pPr>
      <w:r>
        <w:rPr>
          <w:rFonts w:hint="default" w:ascii="Times New Roman" w:hAnsi="Times New Roman" w:eastAsia="仿宋_GB2312" w:cs="Times New Roman"/>
          <w:color w:val="auto"/>
          <w:sz w:val="32"/>
          <w:szCs w:val="32"/>
          <w:u w:val="none"/>
          <w:shd w:val="clear" w:color="auto" w:fill="FFFFFF"/>
        </w:rPr>
        <w:t>（</w:t>
      </w:r>
      <w:r>
        <w:rPr>
          <w:rFonts w:hint="default" w:ascii="Times New Roman" w:hAnsi="Times New Roman" w:eastAsia="仿宋_GB2312" w:cs="Times New Roman"/>
          <w:color w:val="auto"/>
          <w:sz w:val="32"/>
          <w:szCs w:val="32"/>
          <w:u w:val="none"/>
          <w:shd w:val="clear" w:color="auto" w:fill="FFFFFF"/>
          <w:lang w:eastAsia="zh-CN"/>
        </w:rPr>
        <w:t>一</w:t>
      </w:r>
      <w:r>
        <w:rPr>
          <w:rFonts w:hint="default" w:ascii="Times New Roman" w:hAnsi="Times New Roman" w:eastAsia="仿宋_GB2312" w:cs="Times New Roman"/>
          <w:color w:val="auto"/>
          <w:sz w:val="32"/>
          <w:szCs w:val="32"/>
          <w:u w:val="none"/>
          <w:shd w:val="clear" w:color="auto" w:fill="FFFFFF"/>
        </w:rPr>
        <w:t>）</w:t>
      </w:r>
      <w:r>
        <w:rPr>
          <w:rFonts w:hint="default" w:ascii="Times New Roman" w:hAnsi="Times New Roman" w:eastAsia="仿宋_GB2312" w:cs="Times New Roman"/>
          <w:color w:val="auto"/>
          <w:sz w:val="32"/>
          <w:szCs w:val="32"/>
          <w:u w:val="none"/>
          <w:shd w:val="clear" w:color="auto" w:fill="FFFFFF"/>
          <w:lang w:eastAsia="zh-CN"/>
        </w:rPr>
        <w:t>家庭常住人口</w:t>
      </w:r>
      <w:r>
        <w:rPr>
          <w:rFonts w:hint="default" w:ascii="Times New Roman" w:hAnsi="Times New Roman" w:eastAsia="仿宋_GB2312" w:cs="Times New Roman"/>
          <w:color w:val="auto"/>
          <w:sz w:val="32"/>
          <w:szCs w:val="32"/>
          <w:u w:val="none"/>
          <w:shd w:val="clear" w:color="auto" w:fill="FFFFFF"/>
        </w:rPr>
        <w:t>无论户籍是否已经分立，均按</w:t>
      </w:r>
      <w:r>
        <w:rPr>
          <w:rFonts w:hint="default" w:ascii="Times New Roman" w:hAnsi="Times New Roman" w:eastAsia="仿宋_GB2312" w:cs="Times New Roman"/>
          <w:color w:val="auto"/>
          <w:sz w:val="32"/>
          <w:szCs w:val="32"/>
          <w:u w:val="none"/>
          <w:shd w:val="clear" w:color="auto" w:fill="FFFFFF"/>
          <w:lang w:eastAsia="zh-CN"/>
        </w:rPr>
        <w:t>一个安置户</w:t>
      </w:r>
      <w:r>
        <w:rPr>
          <w:rFonts w:hint="default" w:ascii="Times New Roman" w:hAnsi="Times New Roman" w:eastAsia="仿宋_GB2312" w:cs="Times New Roman"/>
          <w:color w:val="auto"/>
          <w:sz w:val="32"/>
          <w:szCs w:val="32"/>
          <w:u w:val="none"/>
          <w:shd w:val="clear" w:color="auto" w:fill="FFFFFF"/>
        </w:rPr>
        <w:t>认定</w:t>
      </w:r>
      <w:r>
        <w:rPr>
          <w:rFonts w:hint="default" w:ascii="Times New Roman" w:hAnsi="Times New Roman" w:eastAsia="仿宋_GB2312" w:cs="Times New Roman"/>
          <w:color w:val="auto"/>
          <w:sz w:val="32"/>
          <w:szCs w:val="32"/>
          <w:u w:val="none"/>
          <w:shd w:val="clear" w:color="auto" w:fill="FFFFFF"/>
          <w:lang w:eastAsia="zh-CN"/>
        </w:rPr>
        <w:t>；</w:t>
      </w:r>
    </w:p>
    <w:p w14:paraId="25A9A373">
      <w:pPr>
        <w:pStyle w:val="16"/>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0" w:firstLineChars="200"/>
        <w:textAlignment w:val="auto"/>
        <w:rPr>
          <w:rFonts w:hint="default" w:ascii="Times New Roman" w:hAnsi="Times New Roman" w:eastAsia="仿宋_GB2312" w:cs="Times New Roman"/>
          <w:color w:val="auto"/>
          <w:sz w:val="32"/>
          <w:szCs w:val="32"/>
          <w:u w:val="none"/>
          <w:shd w:val="clear" w:color="auto" w:fill="FFFFFF"/>
          <w:lang w:eastAsia="zh-CN"/>
        </w:rPr>
      </w:pPr>
      <w:r>
        <w:rPr>
          <w:rFonts w:hint="default" w:ascii="Times New Roman" w:hAnsi="Times New Roman" w:eastAsia="仿宋_GB2312" w:cs="Times New Roman"/>
          <w:color w:val="auto"/>
          <w:sz w:val="32"/>
          <w:szCs w:val="32"/>
          <w:u w:val="none"/>
          <w:shd w:val="clear" w:color="auto" w:fill="FFFFFF"/>
        </w:rPr>
        <w:t>（</w:t>
      </w:r>
      <w:r>
        <w:rPr>
          <w:rFonts w:hint="default" w:ascii="Times New Roman" w:hAnsi="Times New Roman" w:eastAsia="仿宋_GB2312" w:cs="Times New Roman"/>
          <w:color w:val="auto"/>
          <w:sz w:val="32"/>
          <w:szCs w:val="32"/>
          <w:u w:val="none"/>
          <w:shd w:val="clear" w:color="auto" w:fill="FFFFFF"/>
          <w:lang w:eastAsia="zh-CN"/>
        </w:rPr>
        <w:t>二</w:t>
      </w:r>
      <w:r>
        <w:rPr>
          <w:rFonts w:hint="default" w:ascii="Times New Roman" w:hAnsi="Times New Roman" w:eastAsia="仿宋_GB2312" w:cs="Times New Roman"/>
          <w:color w:val="auto"/>
          <w:sz w:val="32"/>
          <w:szCs w:val="32"/>
          <w:u w:val="none"/>
          <w:shd w:val="clear" w:color="auto" w:fill="FFFFFF"/>
        </w:rPr>
        <w:t>）只有一个子女的家庭，只认定为一个安置户</w:t>
      </w:r>
      <w:r>
        <w:rPr>
          <w:rFonts w:hint="default" w:ascii="Times New Roman" w:hAnsi="Times New Roman" w:eastAsia="仿宋_GB2312" w:cs="Times New Roman"/>
          <w:color w:val="auto"/>
          <w:sz w:val="32"/>
          <w:szCs w:val="32"/>
          <w:u w:val="none"/>
          <w:shd w:val="clear" w:color="auto" w:fill="FFFFFF"/>
          <w:lang w:eastAsia="zh-CN"/>
        </w:rPr>
        <w:t>；</w:t>
      </w:r>
    </w:p>
    <w:p w14:paraId="162D3629">
      <w:pPr>
        <w:pStyle w:val="16"/>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0" w:firstLineChars="200"/>
        <w:textAlignment w:val="auto"/>
        <w:rPr>
          <w:rFonts w:hint="default" w:ascii="Times New Roman" w:hAnsi="Times New Roman" w:eastAsia="仿宋_GB2312" w:cs="Times New Roman"/>
          <w:color w:val="auto"/>
          <w:sz w:val="32"/>
          <w:szCs w:val="32"/>
          <w:u w:val="none"/>
          <w:shd w:val="clear" w:color="auto" w:fill="FFFFFF"/>
          <w:lang w:eastAsia="zh-CN"/>
        </w:rPr>
      </w:pPr>
      <w:r>
        <w:rPr>
          <w:rFonts w:hint="default" w:ascii="Times New Roman" w:hAnsi="Times New Roman" w:eastAsia="仿宋_GB2312" w:cs="Times New Roman"/>
          <w:color w:val="auto"/>
          <w:sz w:val="32"/>
          <w:szCs w:val="32"/>
          <w:u w:val="none"/>
          <w:shd w:val="clear" w:color="auto" w:fill="FFFFFF"/>
        </w:rPr>
        <w:t>（</w:t>
      </w:r>
      <w:r>
        <w:rPr>
          <w:rFonts w:hint="default" w:ascii="Times New Roman" w:hAnsi="Times New Roman" w:eastAsia="仿宋_GB2312" w:cs="Times New Roman"/>
          <w:color w:val="auto"/>
          <w:sz w:val="32"/>
          <w:szCs w:val="32"/>
          <w:u w:val="none"/>
          <w:shd w:val="clear" w:color="auto" w:fill="FFFFFF"/>
          <w:lang w:eastAsia="zh-CN"/>
        </w:rPr>
        <w:t>三</w:t>
      </w:r>
      <w:r>
        <w:rPr>
          <w:rFonts w:hint="default" w:ascii="Times New Roman" w:hAnsi="Times New Roman" w:eastAsia="仿宋_GB2312" w:cs="Times New Roman"/>
          <w:color w:val="auto"/>
          <w:sz w:val="32"/>
          <w:szCs w:val="32"/>
          <w:u w:val="none"/>
          <w:shd w:val="clear" w:color="auto" w:fill="FFFFFF"/>
        </w:rPr>
        <w:t>）有两个及以上子女的家庭，按照已达结婚年龄的子女数量增加认定相应的安置户，但至少应有一个子女与父母同在一个安置户</w:t>
      </w:r>
      <w:r>
        <w:rPr>
          <w:rFonts w:hint="default" w:ascii="Times New Roman" w:hAnsi="Times New Roman" w:eastAsia="仿宋_GB2312" w:cs="Times New Roman"/>
          <w:color w:val="auto"/>
          <w:sz w:val="32"/>
          <w:szCs w:val="32"/>
          <w:u w:val="none"/>
          <w:shd w:val="clear" w:color="auto" w:fill="FFFFFF"/>
          <w:lang w:eastAsia="zh-CN"/>
        </w:rPr>
        <w:t>；</w:t>
      </w:r>
    </w:p>
    <w:p w14:paraId="29491365">
      <w:pPr>
        <w:pStyle w:val="16"/>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0" w:firstLineChars="200"/>
        <w:textAlignment w:val="auto"/>
        <w:rPr>
          <w:rFonts w:hint="default" w:ascii="Times New Roman" w:hAnsi="Times New Roman" w:eastAsia="仿宋_GB2312" w:cs="Times New Roman"/>
          <w:color w:val="auto"/>
          <w:sz w:val="32"/>
          <w:szCs w:val="32"/>
          <w:u w:val="none"/>
          <w:shd w:val="clear" w:color="auto" w:fill="FFFFFF"/>
        </w:rPr>
      </w:pPr>
      <w:r>
        <w:rPr>
          <w:rFonts w:hint="default" w:ascii="Times New Roman" w:hAnsi="Times New Roman" w:eastAsia="仿宋_GB2312" w:cs="Times New Roman"/>
          <w:color w:val="auto"/>
          <w:sz w:val="32"/>
          <w:szCs w:val="32"/>
          <w:u w:val="none"/>
          <w:shd w:val="clear" w:color="auto" w:fill="FFFFFF"/>
        </w:rPr>
        <w:t>（</w:t>
      </w:r>
      <w:r>
        <w:rPr>
          <w:rFonts w:hint="default" w:ascii="Times New Roman" w:hAnsi="Times New Roman" w:eastAsia="仿宋_GB2312" w:cs="Times New Roman"/>
          <w:color w:val="auto"/>
          <w:sz w:val="32"/>
          <w:szCs w:val="32"/>
          <w:u w:val="none"/>
          <w:shd w:val="clear" w:color="auto" w:fill="FFFFFF"/>
          <w:lang w:eastAsia="zh-CN"/>
        </w:rPr>
        <w:t>四</w:t>
      </w:r>
      <w:r>
        <w:rPr>
          <w:rFonts w:hint="default" w:ascii="Times New Roman" w:hAnsi="Times New Roman" w:eastAsia="仿宋_GB2312" w:cs="Times New Roman"/>
          <w:color w:val="auto"/>
          <w:sz w:val="32"/>
          <w:szCs w:val="32"/>
          <w:u w:val="none"/>
          <w:shd w:val="clear" w:color="auto" w:fill="FFFFFF"/>
        </w:rPr>
        <w:t>）离婚分户必须同时具备以下条件，离婚双方才能各按一户享受征收补偿安置；未达到条件的，离婚双方只能对原家庭财产进行分割处理：</w:t>
      </w:r>
    </w:p>
    <w:p w14:paraId="36281274">
      <w:pPr>
        <w:pStyle w:val="16"/>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0" w:firstLineChars="200"/>
        <w:textAlignment w:val="auto"/>
        <w:rPr>
          <w:rFonts w:hint="default" w:ascii="Times New Roman" w:hAnsi="Times New Roman" w:eastAsia="仿宋_GB2312" w:cs="Times New Roman"/>
          <w:color w:val="auto"/>
          <w:kern w:val="2"/>
          <w:sz w:val="32"/>
          <w:szCs w:val="32"/>
          <w:u w:val="none"/>
        </w:rPr>
      </w:pPr>
      <w:r>
        <w:rPr>
          <w:rFonts w:hint="default" w:ascii="Times New Roman" w:hAnsi="Times New Roman" w:eastAsia="仿宋_GB2312" w:cs="Times New Roman"/>
          <w:color w:val="auto"/>
          <w:sz w:val="32"/>
          <w:szCs w:val="32"/>
          <w:u w:val="none"/>
          <w:shd w:val="clear" w:color="auto" w:fill="FFFFFF"/>
          <w:lang w:val="en-US" w:eastAsia="zh-CN"/>
        </w:rPr>
        <w:t>1.</w:t>
      </w:r>
      <w:r>
        <w:rPr>
          <w:rFonts w:hint="default" w:ascii="Times New Roman" w:hAnsi="Times New Roman" w:eastAsia="仿宋_GB2312" w:cs="Times New Roman"/>
          <w:color w:val="auto"/>
          <w:kern w:val="2"/>
          <w:sz w:val="32"/>
          <w:szCs w:val="32"/>
          <w:u w:val="none"/>
        </w:rPr>
        <w:t>离婚时间必须在《拟征收土地公告》发布之前；</w:t>
      </w:r>
    </w:p>
    <w:p w14:paraId="6E0FAA2C">
      <w:pPr>
        <w:pStyle w:val="16"/>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0" w:firstLineChars="200"/>
        <w:textAlignment w:val="auto"/>
        <w:rPr>
          <w:rFonts w:hint="default" w:ascii="Times New Roman" w:hAnsi="Times New Roman" w:eastAsia="仿宋_GB2312" w:cs="Times New Roman"/>
          <w:color w:val="auto"/>
          <w:kern w:val="2"/>
          <w:sz w:val="32"/>
          <w:szCs w:val="32"/>
          <w:u w:val="none"/>
        </w:rPr>
      </w:pPr>
      <w:r>
        <w:rPr>
          <w:rFonts w:hint="default" w:ascii="Times New Roman" w:hAnsi="Times New Roman" w:eastAsia="仿宋_GB2312" w:cs="Times New Roman"/>
          <w:color w:val="auto"/>
          <w:kern w:val="2"/>
          <w:sz w:val="32"/>
          <w:szCs w:val="32"/>
          <w:u w:val="none"/>
          <w:lang w:val="en-US" w:eastAsia="zh-CN"/>
        </w:rPr>
        <w:t>2.</w:t>
      </w:r>
      <w:r>
        <w:rPr>
          <w:rFonts w:hint="default" w:ascii="Times New Roman" w:hAnsi="Times New Roman" w:eastAsia="仿宋_GB2312" w:cs="Times New Roman"/>
          <w:color w:val="auto"/>
          <w:kern w:val="2"/>
          <w:sz w:val="32"/>
          <w:szCs w:val="32"/>
          <w:u w:val="none"/>
        </w:rPr>
        <w:t>凭民政部门颁发的离婚证或法院判决生效的离婚判决书（调解书）；</w:t>
      </w:r>
    </w:p>
    <w:p w14:paraId="429E81B5">
      <w:pPr>
        <w:pStyle w:val="16"/>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0" w:firstLineChars="200"/>
        <w:textAlignment w:val="auto"/>
        <w:rPr>
          <w:rFonts w:hint="default" w:ascii="Times New Roman" w:hAnsi="Times New Roman" w:eastAsia="仿宋_GB2312" w:cs="Times New Roman"/>
          <w:color w:val="auto"/>
          <w:kern w:val="2"/>
          <w:sz w:val="32"/>
          <w:szCs w:val="32"/>
          <w:u w:val="none"/>
        </w:rPr>
      </w:pPr>
      <w:r>
        <w:rPr>
          <w:rFonts w:hint="default" w:ascii="Times New Roman" w:hAnsi="Times New Roman" w:eastAsia="仿宋_GB2312" w:cs="Times New Roman"/>
          <w:color w:val="auto"/>
          <w:kern w:val="2"/>
          <w:sz w:val="32"/>
          <w:szCs w:val="32"/>
          <w:u w:val="none"/>
          <w:lang w:val="en-US" w:eastAsia="zh-CN"/>
        </w:rPr>
        <w:t>3.</w:t>
      </w:r>
      <w:r>
        <w:rPr>
          <w:rFonts w:hint="default" w:ascii="Times New Roman" w:hAnsi="Times New Roman" w:eastAsia="仿宋_GB2312" w:cs="Times New Roman"/>
          <w:color w:val="auto"/>
          <w:kern w:val="2"/>
          <w:sz w:val="32"/>
          <w:szCs w:val="32"/>
          <w:u w:val="none"/>
        </w:rPr>
        <w:t>有一方在《拟征收土地公告》发布之前再婚。</w:t>
      </w:r>
    </w:p>
    <w:p w14:paraId="34DF9FCE">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b/>
          <w:bCs/>
          <w:color w:val="auto"/>
          <w:sz w:val="32"/>
          <w:szCs w:val="32"/>
          <w:u w:val="none"/>
        </w:rPr>
        <w:t>第</w:t>
      </w:r>
      <w:r>
        <w:rPr>
          <w:rFonts w:hint="default" w:ascii="Times New Roman" w:hAnsi="Times New Roman" w:eastAsia="仿宋_GB2312" w:cs="Times New Roman"/>
          <w:b/>
          <w:bCs/>
          <w:color w:val="auto"/>
          <w:sz w:val="32"/>
          <w:szCs w:val="32"/>
          <w:u w:val="none"/>
          <w:lang w:eastAsia="zh-CN"/>
        </w:rPr>
        <w:t>三十</w:t>
      </w:r>
      <w:r>
        <w:rPr>
          <w:rFonts w:hint="default" w:ascii="Times New Roman" w:hAnsi="Times New Roman" w:eastAsia="仿宋_GB2312" w:cs="Times New Roman"/>
          <w:b/>
          <w:bCs/>
          <w:color w:val="auto"/>
          <w:sz w:val="32"/>
          <w:szCs w:val="32"/>
          <w:u w:val="none"/>
          <w:lang w:val="en-US" w:eastAsia="zh-CN"/>
        </w:rPr>
        <w:t>四</w:t>
      </w:r>
      <w:r>
        <w:rPr>
          <w:rFonts w:hint="default" w:ascii="Times New Roman" w:hAnsi="Times New Roman" w:eastAsia="仿宋_GB2312" w:cs="Times New Roman"/>
          <w:b/>
          <w:bCs/>
          <w:color w:val="auto"/>
          <w:sz w:val="32"/>
          <w:szCs w:val="32"/>
          <w:u w:val="none"/>
        </w:rPr>
        <w:t xml:space="preserve">条 </w:t>
      </w:r>
      <w:r>
        <w:rPr>
          <w:rFonts w:hint="default" w:ascii="Times New Roman" w:hAnsi="Times New Roman" w:eastAsia="仿宋_GB2312" w:cs="Times New Roman"/>
          <w:color w:val="auto"/>
          <w:sz w:val="32"/>
          <w:szCs w:val="32"/>
          <w:u w:val="none"/>
        </w:rPr>
        <w:t xml:space="preserve"> 征收</w:t>
      </w:r>
      <w:r>
        <w:rPr>
          <w:rFonts w:hint="default" w:ascii="Times New Roman" w:hAnsi="Times New Roman" w:eastAsia="仿宋_GB2312" w:cs="Times New Roman"/>
          <w:color w:val="auto"/>
          <w:sz w:val="32"/>
          <w:szCs w:val="32"/>
          <w:u w:val="none"/>
          <w:lang w:eastAsia="zh-CN"/>
        </w:rPr>
        <w:t>县</w:t>
      </w:r>
      <w:r>
        <w:rPr>
          <w:rFonts w:hint="default" w:ascii="Times New Roman" w:hAnsi="Times New Roman" w:eastAsia="仿宋_GB2312" w:cs="Times New Roman"/>
          <w:color w:val="auto"/>
          <w:sz w:val="32"/>
          <w:szCs w:val="32"/>
          <w:u w:val="none"/>
        </w:rPr>
        <w:t>城规划区范围内农村</w:t>
      </w:r>
      <w:r>
        <w:rPr>
          <w:rFonts w:hint="default" w:ascii="Times New Roman" w:hAnsi="Times New Roman" w:eastAsia="仿宋_GB2312" w:cs="Times New Roman"/>
          <w:color w:val="auto"/>
          <w:sz w:val="32"/>
          <w:szCs w:val="32"/>
          <w:u w:val="none"/>
          <w:lang w:eastAsia="zh-CN"/>
        </w:rPr>
        <w:t>集体土地上的</w:t>
      </w:r>
      <w:r>
        <w:rPr>
          <w:rFonts w:hint="default" w:ascii="Times New Roman" w:hAnsi="Times New Roman" w:eastAsia="仿宋_GB2312" w:cs="Times New Roman"/>
          <w:color w:val="auto"/>
          <w:sz w:val="32"/>
          <w:szCs w:val="32"/>
          <w:u w:val="none"/>
        </w:rPr>
        <w:t>村民住宅，按先补偿后搬迁、居住条件有改善的原则</w:t>
      </w:r>
      <w:r>
        <w:rPr>
          <w:rFonts w:hint="default" w:ascii="Times New Roman" w:hAnsi="Times New Roman" w:eastAsia="仿宋_GB2312" w:cs="Times New Roman"/>
          <w:color w:val="auto"/>
          <w:sz w:val="32"/>
          <w:szCs w:val="32"/>
          <w:u w:val="none"/>
          <w:lang w:eastAsia="zh-CN"/>
        </w:rPr>
        <w:t>予以</w:t>
      </w:r>
      <w:r>
        <w:rPr>
          <w:rFonts w:hint="default" w:ascii="Times New Roman" w:hAnsi="Times New Roman" w:eastAsia="仿宋_GB2312" w:cs="Times New Roman"/>
          <w:color w:val="auto"/>
          <w:sz w:val="32"/>
          <w:szCs w:val="32"/>
          <w:u w:val="none"/>
        </w:rPr>
        <w:t>安置。</w:t>
      </w:r>
    </w:p>
    <w:p w14:paraId="48FD1A84">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lang w:eastAsia="zh-CN"/>
        </w:rPr>
        <w:t>安置对象按照安置</w:t>
      </w:r>
      <w:r>
        <w:rPr>
          <w:rFonts w:hint="default" w:ascii="Times New Roman" w:hAnsi="Times New Roman" w:eastAsia="仿宋_GB2312" w:cs="Times New Roman"/>
          <w:color w:val="auto"/>
          <w:sz w:val="32"/>
          <w:szCs w:val="32"/>
          <w:u w:val="none"/>
        </w:rPr>
        <w:t>户</w:t>
      </w:r>
      <w:r>
        <w:rPr>
          <w:rFonts w:hint="default" w:ascii="Times New Roman" w:hAnsi="Times New Roman" w:eastAsia="仿宋_GB2312" w:cs="Times New Roman"/>
          <w:color w:val="auto"/>
          <w:sz w:val="32"/>
          <w:szCs w:val="32"/>
          <w:u w:val="none"/>
          <w:lang w:eastAsia="zh-CN"/>
        </w:rPr>
        <w:t>进行安置</w:t>
      </w:r>
      <w:r>
        <w:rPr>
          <w:rFonts w:hint="default" w:ascii="Times New Roman" w:hAnsi="Times New Roman" w:eastAsia="仿宋_GB2312" w:cs="Times New Roman"/>
          <w:color w:val="auto"/>
          <w:sz w:val="32"/>
          <w:szCs w:val="32"/>
          <w:u w:val="none"/>
        </w:rPr>
        <w:t>，</w:t>
      </w:r>
      <w:r>
        <w:rPr>
          <w:rFonts w:hint="default" w:ascii="Times New Roman" w:hAnsi="Times New Roman" w:eastAsia="仿宋_GB2312" w:cs="Times New Roman"/>
          <w:color w:val="auto"/>
          <w:sz w:val="32"/>
          <w:szCs w:val="32"/>
          <w:u w:val="none"/>
          <w:lang w:eastAsia="zh-CN"/>
        </w:rPr>
        <w:t>可以</w:t>
      </w:r>
      <w:r>
        <w:rPr>
          <w:rFonts w:hint="default" w:ascii="Times New Roman" w:hAnsi="Times New Roman" w:eastAsia="仿宋_GB2312" w:cs="Times New Roman"/>
          <w:color w:val="auto"/>
          <w:sz w:val="32"/>
          <w:szCs w:val="32"/>
          <w:u w:val="none"/>
        </w:rPr>
        <w:t>选择以下</w:t>
      </w:r>
      <w:r>
        <w:rPr>
          <w:rFonts w:hint="default" w:ascii="Times New Roman" w:hAnsi="Times New Roman" w:eastAsia="仿宋_GB2312" w:cs="Times New Roman"/>
          <w:color w:val="auto"/>
          <w:sz w:val="32"/>
          <w:szCs w:val="32"/>
          <w:u w:val="none"/>
          <w:lang w:eastAsia="zh-CN"/>
        </w:rPr>
        <w:t>任意</w:t>
      </w:r>
      <w:r>
        <w:rPr>
          <w:rFonts w:hint="default" w:ascii="Times New Roman" w:hAnsi="Times New Roman" w:eastAsia="仿宋_GB2312" w:cs="Times New Roman"/>
          <w:color w:val="auto"/>
          <w:sz w:val="32"/>
          <w:szCs w:val="32"/>
          <w:u w:val="none"/>
        </w:rPr>
        <w:t>一种方式进行安置</w:t>
      </w:r>
      <w:r>
        <w:rPr>
          <w:rFonts w:hint="default" w:ascii="Times New Roman" w:hAnsi="Times New Roman" w:eastAsia="仿宋_GB2312" w:cs="Times New Roman"/>
          <w:color w:val="auto"/>
          <w:sz w:val="32"/>
          <w:szCs w:val="32"/>
          <w:u w:val="none"/>
          <w:lang w:eastAsia="zh-CN"/>
        </w:rPr>
        <w:t>；选择</w:t>
      </w:r>
      <w:r>
        <w:rPr>
          <w:rFonts w:hint="default" w:ascii="Times New Roman" w:hAnsi="Times New Roman" w:eastAsia="仿宋_GB2312" w:cs="Times New Roman"/>
          <w:color w:val="auto"/>
          <w:sz w:val="32"/>
          <w:szCs w:val="32"/>
          <w:u w:val="none"/>
        </w:rPr>
        <w:t>货币安置</w:t>
      </w:r>
      <w:r>
        <w:rPr>
          <w:rFonts w:hint="default" w:ascii="Times New Roman" w:hAnsi="Times New Roman" w:eastAsia="仿宋_GB2312" w:cs="Times New Roman"/>
          <w:color w:val="auto"/>
          <w:sz w:val="32"/>
          <w:szCs w:val="32"/>
          <w:u w:val="none"/>
          <w:lang w:eastAsia="zh-CN"/>
        </w:rPr>
        <w:t>的</w:t>
      </w:r>
      <w:r>
        <w:rPr>
          <w:rFonts w:hint="default" w:ascii="Times New Roman" w:hAnsi="Times New Roman" w:eastAsia="仿宋_GB2312" w:cs="Times New Roman"/>
          <w:color w:val="auto"/>
          <w:sz w:val="32"/>
          <w:szCs w:val="32"/>
          <w:u w:val="none"/>
        </w:rPr>
        <w:t>，安置户不得</w:t>
      </w:r>
      <w:r>
        <w:rPr>
          <w:rFonts w:hint="default" w:ascii="Times New Roman" w:hAnsi="Times New Roman" w:eastAsia="仿宋_GB2312" w:cs="Times New Roman"/>
          <w:color w:val="auto"/>
          <w:sz w:val="32"/>
          <w:szCs w:val="32"/>
          <w:u w:val="none"/>
          <w:lang w:eastAsia="zh-CN"/>
        </w:rPr>
        <w:t>再申请宅基地建房：</w:t>
      </w:r>
    </w:p>
    <w:p w14:paraId="08A413B6">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rPr>
        <w:t>（一）</w:t>
      </w:r>
      <w:r>
        <w:rPr>
          <w:rFonts w:hint="default" w:ascii="Times New Roman" w:hAnsi="Times New Roman" w:eastAsia="仿宋_GB2312" w:cs="Times New Roman"/>
          <w:color w:val="auto"/>
          <w:sz w:val="32"/>
          <w:szCs w:val="32"/>
          <w:u w:val="none"/>
          <w:lang w:eastAsia="zh-CN"/>
        </w:rPr>
        <w:t>安置户</w:t>
      </w:r>
      <w:r>
        <w:rPr>
          <w:rFonts w:hint="default" w:ascii="Times New Roman" w:hAnsi="Times New Roman" w:eastAsia="仿宋_GB2312" w:cs="Times New Roman"/>
          <w:color w:val="auto"/>
          <w:sz w:val="32"/>
          <w:szCs w:val="32"/>
          <w:u w:val="none"/>
        </w:rPr>
        <w:t>选择房地合一方式评估房屋价值的货币</w:t>
      </w:r>
      <w:r>
        <w:rPr>
          <w:rFonts w:hint="default" w:ascii="Times New Roman" w:hAnsi="Times New Roman" w:eastAsia="仿宋_GB2312" w:cs="Times New Roman"/>
          <w:color w:val="auto"/>
          <w:sz w:val="32"/>
          <w:szCs w:val="32"/>
          <w:u w:val="none"/>
          <w:lang w:eastAsia="zh-CN"/>
        </w:rPr>
        <w:t>补偿</w:t>
      </w:r>
      <w:r>
        <w:rPr>
          <w:rFonts w:hint="default" w:ascii="Times New Roman" w:hAnsi="Times New Roman" w:eastAsia="仿宋_GB2312" w:cs="Times New Roman"/>
          <w:color w:val="auto"/>
          <w:sz w:val="32"/>
          <w:szCs w:val="32"/>
          <w:u w:val="none"/>
        </w:rPr>
        <w:t>安置方式。被征收房屋的价值由具有相应资质的评估机构参照国有土地上房屋评估确定，扣除</w:t>
      </w:r>
      <w:r>
        <w:rPr>
          <w:rFonts w:hint="default" w:ascii="Times New Roman" w:hAnsi="Times New Roman" w:eastAsia="仿宋_GB2312" w:cs="Times New Roman"/>
          <w:color w:val="auto"/>
          <w:sz w:val="32"/>
          <w:szCs w:val="32"/>
          <w:u w:val="none"/>
          <w:lang w:eastAsia="zh-CN"/>
        </w:rPr>
        <w:t>同等宅基地</w:t>
      </w:r>
      <w:r>
        <w:rPr>
          <w:rFonts w:hint="default" w:ascii="Times New Roman" w:hAnsi="Times New Roman" w:eastAsia="仿宋_GB2312" w:cs="Times New Roman"/>
          <w:color w:val="auto"/>
          <w:sz w:val="32"/>
          <w:szCs w:val="32"/>
          <w:u w:val="none"/>
        </w:rPr>
        <w:t>面积征地补偿费后，由</w:t>
      </w:r>
      <w:r>
        <w:rPr>
          <w:rFonts w:hint="default" w:ascii="Times New Roman" w:hAnsi="Times New Roman" w:eastAsia="仿宋_GB2312" w:cs="Times New Roman"/>
          <w:color w:val="auto"/>
          <w:sz w:val="32"/>
          <w:szCs w:val="32"/>
          <w:u w:val="none"/>
          <w:lang w:eastAsia="zh-CN"/>
        </w:rPr>
        <w:t>安置户</w:t>
      </w:r>
      <w:r>
        <w:rPr>
          <w:rFonts w:hint="default" w:ascii="Times New Roman" w:hAnsi="Times New Roman" w:eastAsia="仿宋_GB2312" w:cs="Times New Roman"/>
          <w:color w:val="auto"/>
          <w:sz w:val="32"/>
          <w:szCs w:val="32"/>
          <w:u w:val="none"/>
        </w:rPr>
        <w:t>全额领取，不再进行其他安置。</w:t>
      </w:r>
    </w:p>
    <w:p w14:paraId="7E59F6C6">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u w:val="none"/>
          <w:lang w:eastAsia="zh-CN"/>
        </w:rPr>
      </w:pPr>
      <w:r>
        <w:rPr>
          <w:rFonts w:hint="default" w:ascii="Times New Roman" w:hAnsi="Times New Roman" w:eastAsia="仿宋_GB2312" w:cs="Times New Roman"/>
          <w:color w:val="auto"/>
          <w:sz w:val="32"/>
          <w:szCs w:val="32"/>
          <w:u w:val="none"/>
        </w:rPr>
        <w:t>（二）领取一次性购房补助</w:t>
      </w:r>
      <w:r>
        <w:rPr>
          <w:rFonts w:hint="default" w:ascii="Times New Roman" w:hAnsi="Times New Roman" w:eastAsia="仿宋_GB2312" w:cs="Times New Roman"/>
          <w:color w:val="auto"/>
          <w:sz w:val="32"/>
          <w:szCs w:val="32"/>
          <w:u w:val="none"/>
          <w:lang w:eastAsia="zh-CN"/>
        </w:rPr>
        <w:t>费</w:t>
      </w:r>
      <w:r>
        <w:rPr>
          <w:rFonts w:hint="default" w:ascii="Times New Roman" w:hAnsi="Times New Roman" w:eastAsia="仿宋_GB2312" w:cs="Times New Roman"/>
          <w:color w:val="auto"/>
          <w:sz w:val="32"/>
          <w:szCs w:val="32"/>
          <w:u w:val="none"/>
        </w:rPr>
        <w:t>的货币安置方式。</w:t>
      </w:r>
      <w:r>
        <w:rPr>
          <w:rFonts w:hint="default" w:ascii="Times New Roman" w:hAnsi="Times New Roman" w:eastAsia="仿宋_GB2312" w:cs="Times New Roman"/>
          <w:color w:val="auto"/>
          <w:sz w:val="32"/>
          <w:szCs w:val="32"/>
          <w:u w:val="none"/>
          <w:lang w:eastAsia="zh-CN"/>
        </w:rPr>
        <w:t>具体按照以下规定执行：</w:t>
      </w:r>
    </w:p>
    <w:p w14:paraId="59D769B3">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rPr>
        <w:t>1.以每宗宅基地</w:t>
      </w:r>
      <w:r>
        <w:rPr>
          <w:rFonts w:hint="default" w:ascii="Times New Roman" w:hAnsi="Times New Roman" w:eastAsia="仿宋_GB2312" w:cs="Times New Roman"/>
          <w:color w:val="auto"/>
          <w:kern w:val="2"/>
          <w:sz w:val="32"/>
          <w:szCs w:val="32"/>
          <w:vertAlign w:val="baseline"/>
          <w:lang w:val="en-US" w:eastAsia="zh-CN" w:bidi="ar-SA"/>
        </w:rPr>
        <w:t>130</w:t>
      </w:r>
      <w:r>
        <w:rPr>
          <w:rFonts w:hint="default" w:ascii="Times New Roman" w:hAnsi="Times New Roman" w:eastAsia="仿宋_GB2312" w:cs="Times New Roman"/>
          <w:bCs/>
          <w:color w:val="auto"/>
          <w:sz w:val="32"/>
          <w:szCs w:val="32"/>
          <w:u w:val="none"/>
          <w:lang w:eastAsia="zh-CN"/>
        </w:rPr>
        <w:t>平方米</w:t>
      </w:r>
      <w:r>
        <w:rPr>
          <w:rFonts w:hint="default" w:ascii="Times New Roman" w:hAnsi="Times New Roman" w:eastAsia="仿宋_GB2312" w:cs="Times New Roman"/>
          <w:color w:val="auto"/>
          <w:sz w:val="32"/>
          <w:szCs w:val="32"/>
          <w:u w:val="none"/>
        </w:rPr>
        <w:t>为基数，按</w:t>
      </w:r>
      <w:r>
        <w:rPr>
          <w:rFonts w:hint="default" w:ascii="Times New Roman" w:hAnsi="Times New Roman" w:eastAsia="仿宋_GB2312" w:cs="Times New Roman"/>
          <w:color w:val="auto"/>
          <w:kern w:val="2"/>
          <w:sz w:val="32"/>
          <w:szCs w:val="32"/>
          <w:vertAlign w:val="baseline"/>
          <w:lang w:val="en-US" w:eastAsia="zh-CN" w:bidi="ar-SA"/>
        </w:rPr>
        <w:t>52</w:t>
      </w:r>
      <w:r>
        <w:rPr>
          <w:rFonts w:hint="default" w:ascii="Times New Roman" w:hAnsi="Times New Roman" w:eastAsia="仿宋_GB2312" w:cs="Times New Roman"/>
          <w:color w:val="auto"/>
          <w:sz w:val="32"/>
          <w:szCs w:val="32"/>
          <w:u w:val="none"/>
        </w:rPr>
        <w:t>万元/户的标准发放一次性购房</w:t>
      </w:r>
      <w:r>
        <w:rPr>
          <w:rFonts w:hint="default" w:ascii="Times New Roman" w:hAnsi="Times New Roman" w:eastAsia="仿宋_GB2312" w:cs="Times New Roman"/>
          <w:color w:val="auto"/>
          <w:sz w:val="32"/>
          <w:szCs w:val="32"/>
          <w:u w:val="none"/>
          <w:lang w:eastAsia="zh-CN"/>
        </w:rPr>
        <w:t>补助</w:t>
      </w:r>
      <w:r>
        <w:rPr>
          <w:rFonts w:hint="default" w:ascii="Times New Roman" w:hAnsi="Times New Roman" w:eastAsia="仿宋_GB2312" w:cs="Times New Roman"/>
          <w:color w:val="auto"/>
          <w:sz w:val="32"/>
          <w:szCs w:val="32"/>
          <w:u w:val="none"/>
        </w:rPr>
        <w:t>费。宅基地证内面积</w:t>
      </w:r>
      <w:r>
        <w:rPr>
          <w:rFonts w:hint="default" w:ascii="Times New Roman" w:hAnsi="Times New Roman" w:eastAsia="仿宋_GB2312" w:cs="Times New Roman"/>
          <w:color w:val="auto"/>
          <w:sz w:val="32"/>
          <w:szCs w:val="32"/>
          <w:u w:val="none"/>
          <w:lang w:eastAsia="zh-CN"/>
        </w:rPr>
        <w:t>超过</w:t>
      </w:r>
      <w:r>
        <w:rPr>
          <w:rFonts w:hint="default" w:ascii="Times New Roman" w:hAnsi="Times New Roman" w:eastAsia="仿宋_GB2312" w:cs="Times New Roman"/>
          <w:color w:val="auto"/>
          <w:kern w:val="2"/>
          <w:sz w:val="32"/>
          <w:szCs w:val="32"/>
          <w:vertAlign w:val="baseline"/>
          <w:lang w:val="en-US" w:eastAsia="zh-CN" w:bidi="ar-SA"/>
        </w:rPr>
        <w:t>130</w:t>
      </w:r>
      <w:r>
        <w:rPr>
          <w:rFonts w:hint="default" w:ascii="Times New Roman" w:hAnsi="Times New Roman" w:eastAsia="仿宋_GB2312" w:cs="Times New Roman"/>
          <w:bCs/>
          <w:color w:val="auto"/>
          <w:sz w:val="32"/>
          <w:szCs w:val="32"/>
          <w:u w:val="none"/>
        </w:rPr>
        <w:t xml:space="preserve"> </w:t>
      </w:r>
      <w:r>
        <w:rPr>
          <w:rFonts w:hint="default" w:ascii="Times New Roman" w:hAnsi="Times New Roman" w:eastAsia="仿宋_GB2312" w:cs="Times New Roman"/>
          <w:bCs/>
          <w:color w:val="auto"/>
          <w:sz w:val="32"/>
          <w:szCs w:val="32"/>
          <w:u w:val="none"/>
          <w:lang w:eastAsia="zh-CN"/>
        </w:rPr>
        <w:t>平方米</w:t>
      </w:r>
      <w:r>
        <w:rPr>
          <w:rFonts w:hint="default" w:ascii="Times New Roman" w:hAnsi="Times New Roman" w:eastAsia="仿宋_GB2312" w:cs="Times New Roman"/>
          <w:color w:val="auto"/>
          <w:sz w:val="32"/>
          <w:szCs w:val="32"/>
          <w:u w:val="none"/>
        </w:rPr>
        <w:t>的，超出</w:t>
      </w:r>
      <w:r>
        <w:rPr>
          <w:rFonts w:hint="default" w:ascii="Times New Roman" w:hAnsi="Times New Roman" w:eastAsia="仿宋_GB2312" w:cs="Times New Roman"/>
          <w:color w:val="auto"/>
          <w:sz w:val="32"/>
          <w:szCs w:val="32"/>
          <w:u w:val="none"/>
          <w:lang w:eastAsia="zh-CN"/>
        </w:rPr>
        <w:t>部分</w:t>
      </w:r>
      <w:r>
        <w:rPr>
          <w:rFonts w:hint="default" w:ascii="Times New Roman" w:hAnsi="Times New Roman" w:eastAsia="仿宋_GB2312" w:cs="Times New Roman"/>
          <w:color w:val="auto"/>
          <w:sz w:val="32"/>
          <w:szCs w:val="32"/>
          <w:u w:val="none"/>
        </w:rPr>
        <w:t>按新晃侗族自治县集体建设用地</w:t>
      </w:r>
      <w:r>
        <w:rPr>
          <w:rFonts w:hint="default" w:ascii="Times New Roman" w:hAnsi="Times New Roman" w:eastAsia="仿宋_GB2312" w:cs="Times New Roman"/>
          <w:color w:val="auto"/>
          <w:sz w:val="32"/>
          <w:szCs w:val="32"/>
          <w:u w:val="none"/>
          <w:lang w:eastAsia="zh-CN"/>
        </w:rPr>
        <w:t>征地补偿</w:t>
      </w:r>
      <w:r>
        <w:rPr>
          <w:rFonts w:hint="default" w:ascii="Times New Roman" w:hAnsi="Times New Roman" w:eastAsia="仿宋_GB2312" w:cs="Times New Roman"/>
          <w:color w:val="auto"/>
          <w:sz w:val="32"/>
          <w:szCs w:val="32"/>
          <w:u w:val="none"/>
        </w:rPr>
        <w:t>标准</w:t>
      </w:r>
      <w:r>
        <w:rPr>
          <w:rFonts w:hint="default" w:ascii="Times New Roman" w:hAnsi="Times New Roman" w:eastAsia="仿宋_GB2312" w:cs="Times New Roman"/>
          <w:color w:val="auto"/>
          <w:kern w:val="2"/>
          <w:sz w:val="32"/>
          <w:szCs w:val="32"/>
          <w:vertAlign w:val="baseline"/>
          <w:lang w:val="en-US" w:eastAsia="zh-CN" w:bidi="ar-SA"/>
        </w:rPr>
        <w:t>2</w:t>
      </w:r>
      <w:r>
        <w:rPr>
          <w:rFonts w:hint="default" w:ascii="Times New Roman" w:hAnsi="Times New Roman" w:eastAsia="仿宋_GB2312" w:cs="Times New Roman"/>
          <w:color w:val="auto"/>
          <w:sz w:val="32"/>
          <w:szCs w:val="32"/>
          <w:u w:val="none"/>
        </w:rPr>
        <w:t>倍补偿</w:t>
      </w:r>
      <w:r>
        <w:rPr>
          <w:rFonts w:hint="default" w:ascii="Times New Roman" w:hAnsi="Times New Roman" w:eastAsia="仿宋_GB2312" w:cs="Times New Roman"/>
          <w:color w:val="auto"/>
          <w:sz w:val="32"/>
          <w:szCs w:val="32"/>
          <w:u w:val="none"/>
          <w:lang w:eastAsia="zh-CN"/>
        </w:rPr>
        <w:t>；不足</w:t>
      </w:r>
      <w:r>
        <w:rPr>
          <w:rFonts w:hint="default" w:ascii="Times New Roman" w:hAnsi="Times New Roman" w:eastAsia="仿宋_GB2312" w:cs="Times New Roman"/>
          <w:color w:val="auto"/>
          <w:kern w:val="2"/>
          <w:sz w:val="32"/>
          <w:szCs w:val="32"/>
          <w:vertAlign w:val="baseline"/>
          <w:lang w:val="en-US" w:eastAsia="zh-CN" w:bidi="ar-SA"/>
        </w:rPr>
        <w:t>130</w:t>
      </w:r>
      <w:r>
        <w:rPr>
          <w:rFonts w:hint="default" w:ascii="Times New Roman" w:hAnsi="Times New Roman" w:eastAsia="仿宋_GB2312" w:cs="Times New Roman"/>
          <w:bCs/>
          <w:color w:val="auto"/>
          <w:sz w:val="32"/>
          <w:szCs w:val="32"/>
          <w:u w:val="none"/>
          <w:lang w:eastAsia="zh-CN"/>
        </w:rPr>
        <w:t>平方米</w:t>
      </w:r>
      <w:r>
        <w:rPr>
          <w:rFonts w:hint="default" w:ascii="Times New Roman" w:hAnsi="Times New Roman" w:eastAsia="仿宋_GB2312" w:cs="Times New Roman"/>
          <w:color w:val="auto"/>
          <w:sz w:val="32"/>
          <w:szCs w:val="32"/>
          <w:u w:val="none"/>
        </w:rPr>
        <w:t>的，</w:t>
      </w:r>
      <w:r>
        <w:rPr>
          <w:rFonts w:hint="default" w:ascii="Times New Roman" w:hAnsi="Times New Roman" w:eastAsia="仿宋_GB2312" w:cs="Times New Roman"/>
          <w:color w:val="auto"/>
          <w:sz w:val="32"/>
          <w:szCs w:val="32"/>
          <w:u w:val="none"/>
          <w:lang w:eastAsia="zh-CN"/>
        </w:rPr>
        <w:t>不足部分</w:t>
      </w:r>
      <w:r>
        <w:rPr>
          <w:rFonts w:hint="default" w:ascii="Times New Roman" w:hAnsi="Times New Roman" w:eastAsia="仿宋_GB2312" w:cs="Times New Roman"/>
          <w:color w:val="auto"/>
          <w:sz w:val="32"/>
          <w:szCs w:val="32"/>
          <w:u w:val="none"/>
        </w:rPr>
        <w:t>按新晃侗族自治县集体建设用地</w:t>
      </w:r>
      <w:r>
        <w:rPr>
          <w:rFonts w:hint="default" w:ascii="Times New Roman" w:hAnsi="Times New Roman" w:eastAsia="仿宋_GB2312" w:cs="Times New Roman"/>
          <w:color w:val="auto"/>
          <w:sz w:val="32"/>
          <w:szCs w:val="32"/>
          <w:u w:val="none"/>
          <w:lang w:eastAsia="zh-CN"/>
        </w:rPr>
        <w:t>征地补偿</w:t>
      </w:r>
      <w:r>
        <w:rPr>
          <w:rFonts w:hint="default" w:ascii="Times New Roman" w:hAnsi="Times New Roman" w:eastAsia="仿宋_GB2312" w:cs="Times New Roman"/>
          <w:color w:val="auto"/>
          <w:sz w:val="32"/>
          <w:szCs w:val="32"/>
          <w:u w:val="none"/>
        </w:rPr>
        <w:t>标准</w:t>
      </w:r>
      <w:r>
        <w:rPr>
          <w:rFonts w:hint="default" w:ascii="Times New Roman" w:hAnsi="Times New Roman" w:eastAsia="仿宋_GB2312" w:cs="Times New Roman"/>
          <w:color w:val="auto"/>
          <w:kern w:val="2"/>
          <w:sz w:val="32"/>
          <w:szCs w:val="32"/>
          <w:vertAlign w:val="baseline"/>
          <w:lang w:val="en-US" w:eastAsia="zh-CN" w:bidi="ar-SA"/>
        </w:rPr>
        <w:t>2</w:t>
      </w:r>
      <w:r>
        <w:rPr>
          <w:rFonts w:hint="default" w:ascii="Times New Roman" w:hAnsi="Times New Roman" w:eastAsia="仿宋_GB2312" w:cs="Times New Roman"/>
          <w:color w:val="auto"/>
          <w:sz w:val="32"/>
          <w:szCs w:val="32"/>
          <w:u w:val="none"/>
        </w:rPr>
        <w:t>倍核减。</w:t>
      </w:r>
    </w:p>
    <w:p w14:paraId="3DD59C46">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rPr>
        <w:t>2.单宗宅基地</w:t>
      </w:r>
      <w:r>
        <w:rPr>
          <w:rFonts w:hint="default" w:ascii="Times New Roman" w:hAnsi="Times New Roman" w:eastAsia="仿宋_GB2312" w:cs="Times New Roman"/>
          <w:color w:val="auto"/>
          <w:sz w:val="32"/>
          <w:szCs w:val="32"/>
          <w:u w:val="none"/>
          <w:lang w:eastAsia="zh-CN"/>
        </w:rPr>
        <w:t>面积达到</w:t>
      </w:r>
      <w:r>
        <w:rPr>
          <w:rFonts w:hint="default" w:ascii="Times New Roman" w:hAnsi="Times New Roman" w:eastAsia="仿宋_GB2312" w:cs="Times New Roman"/>
          <w:color w:val="auto"/>
          <w:kern w:val="2"/>
          <w:sz w:val="32"/>
          <w:szCs w:val="32"/>
          <w:vertAlign w:val="baseline"/>
          <w:lang w:val="en-US" w:eastAsia="zh-CN" w:bidi="ar-SA"/>
        </w:rPr>
        <w:t>130</w:t>
      </w:r>
      <w:r>
        <w:rPr>
          <w:rFonts w:hint="default" w:ascii="Times New Roman" w:hAnsi="Times New Roman" w:eastAsia="仿宋_GB2312" w:cs="Times New Roman"/>
          <w:bCs/>
          <w:color w:val="auto"/>
          <w:sz w:val="32"/>
          <w:szCs w:val="32"/>
          <w:u w:val="none"/>
          <w:lang w:eastAsia="zh-CN"/>
        </w:rPr>
        <w:t>平方米以上</w:t>
      </w:r>
      <w:r>
        <w:rPr>
          <w:rFonts w:hint="default" w:ascii="Times New Roman" w:hAnsi="Times New Roman" w:eastAsia="仿宋_GB2312" w:cs="Times New Roman"/>
          <w:color w:val="auto"/>
          <w:sz w:val="32"/>
          <w:szCs w:val="32"/>
          <w:u w:val="none"/>
        </w:rPr>
        <w:t>且</w:t>
      </w:r>
      <w:r>
        <w:rPr>
          <w:rFonts w:hint="default" w:ascii="Times New Roman" w:hAnsi="Times New Roman" w:eastAsia="仿宋_GB2312" w:cs="Times New Roman"/>
          <w:color w:val="auto"/>
          <w:sz w:val="32"/>
          <w:szCs w:val="32"/>
          <w:u w:val="none"/>
          <w:lang w:eastAsia="zh-CN"/>
        </w:rPr>
        <w:t>属于安置对象的家庭</w:t>
      </w:r>
      <w:r>
        <w:rPr>
          <w:rFonts w:hint="default" w:ascii="Times New Roman" w:hAnsi="Times New Roman" w:eastAsia="仿宋_GB2312" w:cs="Times New Roman"/>
          <w:color w:val="auto"/>
          <w:sz w:val="32"/>
          <w:szCs w:val="32"/>
          <w:u w:val="none"/>
        </w:rPr>
        <w:t>常住人口</w:t>
      </w:r>
      <w:r>
        <w:rPr>
          <w:rFonts w:hint="default" w:ascii="Times New Roman" w:hAnsi="Times New Roman" w:eastAsia="仿宋_GB2312" w:cs="Times New Roman"/>
          <w:color w:val="auto"/>
          <w:sz w:val="32"/>
          <w:szCs w:val="32"/>
          <w:u w:val="none"/>
          <w:lang w:eastAsia="zh-CN"/>
        </w:rPr>
        <w:t>中</w:t>
      </w:r>
      <w:r>
        <w:rPr>
          <w:rFonts w:hint="default" w:ascii="Times New Roman" w:hAnsi="Times New Roman" w:eastAsia="仿宋_GB2312" w:cs="Times New Roman"/>
          <w:color w:val="auto"/>
          <w:sz w:val="32"/>
          <w:szCs w:val="32"/>
          <w:u w:val="none"/>
        </w:rPr>
        <w:t>有已达</w:t>
      </w:r>
      <w:r>
        <w:rPr>
          <w:rFonts w:hint="default" w:ascii="Times New Roman" w:hAnsi="Times New Roman" w:eastAsia="仿宋_GB2312" w:cs="Times New Roman"/>
          <w:color w:val="auto"/>
          <w:sz w:val="32"/>
          <w:szCs w:val="32"/>
          <w:u w:val="none"/>
          <w:lang w:eastAsia="zh-CN"/>
        </w:rPr>
        <w:t>法定结婚</w:t>
      </w:r>
      <w:r>
        <w:rPr>
          <w:rFonts w:hint="default" w:ascii="Times New Roman" w:hAnsi="Times New Roman" w:eastAsia="仿宋_GB2312" w:cs="Times New Roman"/>
          <w:color w:val="auto"/>
          <w:sz w:val="32"/>
          <w:szCs w:val="32"/>
          <w:u w:val="none"/>
        </w:rPr>
        <w:t>年龄的多个子女家庭</w:t>
      </w:r>
      <w:r>
        <w:rPr>
          <w:rFonts w:hint="default" w:ascii="Times New Roman" w:hAnsi="Times New Roman" w:eastAsia="仿宋_GB2312" w:cs="Times New Roman"/>
          <w:color w:val="auto"/>
          <w:sz w:val="32"/>
          <w:szCs w:val="32"/>
          <w:u w:val="none"/>
          <w:lang w:eastAsia="zh-CN"/>
        </w:rPr>
        <w:t>，除</w:t>
      </w:r>
      <w:r>
        <w:rPr>
          <w:rFonts w:hint="default" w:ascii="Times New Roman" w:hAnsi="Times New Roman" w:eastAsia="仿宋_GB2312" w:cs="Times New Roman"/>
          <w:color w:val="auto"/>
          <w:sz w:val="32"/>
          <w:szCs w:val="32"/>
          <w:u w:val="none"/>
        </w:rPr>
        <w:t>一子或一女伴靠父母</w:t>
      </w:r>
      <w:r>
        <w:rPr>
          <w:rFonts w:hint="default" w:ascii="Times New Roman" w:hAnsi="Times New Roman" w:eastAsia="仿宋_GB2312" w:cs="Times New Roman"/>
          <w:color w:val="auto"/>
          <w:sz w:val="32"/>
          <w:szCs w:val="32"/>
          <w:u w:val="none"/>
          <w:lang w:eastAsia="zh-CN"/>
        </w:rPr>
        <w:t>外</w:t>
      </w:r>
      <w:r>
        <w:rPr>
          <w:rFonts w:hint="default" w:ascii="Times New Roman" w:hAnsi="Times New Roman" w:eastAsia="仿宋_GB2312" w:cs="Times New Roman"/>
          <w:color w:val="auto"/>
          <w:sz w:val="32"/>
          <w:szCs w:val="32"/>
          <w:u w:val="none"/>
        </w:rPr>
        <w:t>，每增加一户，另增加发放</w:t>
      </w:r>
      <w:r>
        <w:rPr>
          <w:rFonts w:hint="default" w:ascii="Times New Roman" w:hAnsi="Times New Roman" w:eastAsia="仿宋_GB2312" w:cs="Times New Roman"/>
          <w:color w:val="auto"/>
          <w:sz w:val="32"/>
          <w:szCs w:val="32"/>
          <w:u w:val="none"/>
          <w:lang w:eastAsia="zh-CN"/>
        </w:rPr>
        <w:t>一次性购房补助费</w:t>
      </w:r>
      <w:r>
        <w:rPr>
          <w:rFonts w:hint="default" w:ascii="Times New Roman" w:hAnsi="Times New Roman" w:eastAsia="仿宋_GB2312" w:cs="Times New Roman"/>
          <w:color w:val="auto"/>
          <w:kern w:val="2"/>
          <w:sz w:val="32"/>
          <w:szCs w:val="32"/>
          <w:vertAlign w:val="baseline"/>
          <w:lang w:val="en-US" w:eastAsia="zh-CN" w:bidi="ar-SA"/>
        </w:rPr>
        <w:t>20</w:t>
      </w:r>
      <w:r>
        <w:rPr>
          <w:rFonts w:hint="default" w:ascii="Times New Roman" w:hAnsi="Times New Roman" w:eastAsia="仿宋_GB2312" w:cs="Times New Roman"/>
          <w:color w:val="auto"/>
          <w:sz w:val="32"/>
          <w:szCs w:val="32"/>
          <w:u w:val="none"/>
        </w:rPr>
        <w:t>万元。</w:t>
      </w:r>
    </w:p>
    <w:p w14:paraId="244745AD">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rPr>
        <w:t>3.单宗宅基地证内面积</w:t>
      </w:r>
      <w:r>
        <w:rPr>
          <w:rFonts w:hint="default" w:ascii="Times New Roman" w:hAnsi="Times New Roman" w:eastAsia="仿宋_GB2312" w:cs="Times New Roman"/>
          <w:color w:val="auto"/>
          <w:sz w:val="32"/>
          <w:szCs w:val="32"/>
          <w:u w:val="none"/>
          <w:lang w:eastAsia="zh-CN"/>
        </w:rPr>
        <w:t>超过</w:t>
      </w:r>
      <w:r>
        <w:rPr>
          <w:rFonts w:hint="default" w:ascii="Times New Roman" w:hAnsi="Times New Roman" w:eastAsia="仿宋_GB2312" w:cs="Times New Roman"/>
          <w:color w:val="auto"/>
          <w:kern w:val="2"/>
          <w:sz w:val="32"/>
          <w:szCs w:val="32"/>
          <w:vertAlign w:val="baseline"/>
          <w:lang w:val="en-US" w:eastAsia="zh-CN" w:bidi="ar-SA"/>
        </w:rPr>
        <w:t>180</w:t>
      </w:r>
      <w:r>
        <w:rPr>
          <w:rFonts w:hint="default" w:ascii="Times New Roman" w:hAnsi="Times New Roman" w:eastAsia="仿宋_GB2312" w:cs="Times New Roman"/>
          <w:bCs/>
          <w:color w:val="auto"/>
          <w:sz w:val="32"/>
          <w:szCs w:val="32"/>
          <w:u w:val="none"/>
          <w:lang w:eastAsia="zh-CN"/>
        </w:rPr>
        <w:t>平方米</w:t>
      </w:r>
      <w:r>
        <w:rPr>
          <w:rFonts w:hint="default" w:ascii="Times New Roman" w:hAnsi="Times New Roman" w:eastAsia="仿宋_GB2312" w:cs="Times New Roman"/>
          <w:color w:val="auto"/>
          <w:sz w:val="32"/>
          <w:szCs w:val="32"/>
          <w:u w:val="none"/>
        </w:rPr>
        <w:t>且只享受</w:t>
      </w:r>
      <w:r>
        <w:rPr>
          <w:rFonts w:hint="default" w:ascii="Times New Roman" w:hAnsi="Times New Roman" w:eastAsia="仿宋_GB2312" w:cs="Times New Roman"/>
          <w:color w:val="auto"/>
          <w:kern w:val="2"/>
          <w:sz w:val="32"/>
          <w:szCs w:val="32"/>
          <w:vertAlign w:val="baseline"/>
          <w:lang w:val="en-US" w:eastAsia="zh-CN" w:bidi="ar-SA"/>
        </w:rPr>
        <w:t>52</w:t>
      </w:r>
      <w:r>
        <w:rPr>
          <w:rFonts w:hint="default" w:ascii="Times New Roman" w:hAnsi="Times New Roman" w:eastAsia="仿宋_GB2312" w:cs="Times New Roman"/>
          <w:color w:val="auto"/>
          <w:sz w:val="32"/>
          <w:szCs w:val="32"/>
          <w:u w:val="none"/>
        </w:rPr>
        <w:t>万元</w:t>
      </w:r>
      <w:r>
        <w:rPr>
          <w:rFonts w:hint="default" w:ascii="Times New Roman" w:hAnsi="Times New Roman" w:eastAsia="仿宋_GB2312" w:cs="Times New Roman"/>
          <w:color w:val="auto"/>
          <w:sz w:val="32"/>
          <w:szCs w:val="32"/>
          <w:u w:val="none"/>
          <w:lang w:eastAsia="zh-CN"/>
        </w:rPr>
        <w:t>一次性购房补助费的</w:t>
      </w:r>
      <w:r>
        <w:rPr>
          <w:rFonts w:hint="default" w:ascii="Times New Roman" w:hAnsi="Times New Roman" w:eastAsia="仿宋_GB2312" w:cs="Times New Roman"/>
          <w:color w:val="auto"/>
          <w:sz w:val="32"/>
          <w:szCs w:val="32"/>
          <w:u w:val="none"/>
        </w:rPr>
        <w:t>，超出部分按新晃侗族自治县集体建设用地</w:t>
      </w:r>
      <w:r>
        <w:rPr>
          <w:rFonts w:hint="default" w:ascii="Times New Roman" w:hAnsi="Times New Roman" w:eastAsia="仿宋_GB2312" w:cs="Times New Roman"/>
          <w:color w:val="auto"/>
          <w:sz w:val="32"/>
          <w:szCs w:val="32"/>
          <w:u w:val="none"/>
          <w:lang w:eastAsia="zh-CN"/>
        </w:rPr>
        <w:t>征地补偿</w:t>
      </w:r>
      <w:r>
        <w:rPr>
          <w:rFonts w:hint="default" w:ascii="Times New Roman" w:hAnsi="Times New Roman" w:eastAsia="仿宋_GB2312" w:cs="Times New Roman"/>
          <w:color w:val="auto"/>
          <w:sz w:val="32"/>
          <w:szCs w:val="32"/>
          <w:u w:val="none"/>
        </w:rPr>
        <w:t>标准</w:t>
      </w:r>
      <w:r>
        <w:rPr>
          <w:rFonts w:hint="default" w:ascii="Times New Roman" w:hAnsi="Times New Roman" w:eastAsia="仿宋_GB2312" w:cs="Times New Roman"/>
          <w:color w:val="auto"/>
          <w:kern w:val="2"/>
          <w:sz w:val="32"/>
          <w:szCs w:val="32"/>
          <w:vertAlign w:val="baseline"/>
          <w:lang w:val="en-US" w:eastAsia="zh-CN" w:bidi="ar-SA"/>
        </w:rPr>
        <w:t>4</w:t>
      </w:r>
      <w:r>
        <w:rPr>
          <w:rFonts w:hint="default" w:ascii="Times New Roman" w:hAnsi="Times New Roman" w:eastAsia="仿宋_GB2312" w:cs="Times New Roman"/>
          <w:color w:val="auto"/>
          <w:sz w:val="32"/>
          <w:szCs w:val="32"/>
          <w:u w:val="none"/>
        </w:rPr>
        <w:t>倍补偿。</w:t>
      </w:r>
    </w:p>
    <w:p w14:paraId="3E268924">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rPr>
        <w:t>4.单宗宅基地证内面积</w:t>
      </w:r>
      <w:r>
        <w:rPr>
          <w:rFonts w:hint="default" w:ascii="Times New Roman" w:hAnsi="Times New Roman" w:eastAsia="仿宋_GB2312" w:cs="Times New Roman"/>
          <w:color w:val="auto"/>
          <w:sz w:val="32"/>
          <w:szCs w:val="32"/>
          <w:u w:val="none"/>
          <w:lang w:eastAsia="zh-CN"/>
        </w:rPr>
        <w:t>不足</w:t>
      </w:r>
      <w:r>
        <w:rPr>
          <w:rFonts w:hint="default" w:ascii="Times New Roman" w:hAnsi="Times New Roman" w:eastAsia="仿宋_GB2312" w:cs="Times New Roman"/>
          <w:color w:val="auto"/>
          <w:kern w:val="2"/>
          <w:sz w:val="32"/>
          <w:szCs w:val="32"/>
          <w:vertAlign w:val="baseline"/>
          <w:lang w:val="en-US" w:eastAsia="zh-CN" w:bidi="ar-SA"/>
        </w:rPr>
        <w:t>65</w:t>
      </w:r>
      <w:r>
        <w:rPr>
          <w:rFonts w:hint="default" w:ascii="Times New Roman" w:hAnsi="Times New Roman" w:eastAsia="仿宋_GB2312" w:cs="Times New Roman"/>
          <w:bCs/>
          <w:color w:val="auto"/>
          <w:sz w:val="32"/>
          <w:szCs w:val="32"/>
          <w:u w:val="none"/>
          <w:lang w:eastAsia="zh-CN"/>
        </w:rPr>
        <w:t>平方米的</w:t>
      </w:r>
      <w:r>
        <w:rPr>
          <w:rFonts w:hint="default" w:ascii="Times New Roman" w:hAnsi="Times New Roman" w:eastAsia="仿宋_GB2312" w:cs="Times New Roman"/>
          <w:color w:val="auto"/>
          <w:sz w:val="32"/>
          <w:szCs w:val="32"/>
          <w:u w:val="none"/>
        </w:rPr>
        <w:t>，按</w:t>
      </w:r>
      <w:r>
        <w:rPr>
          <w:rFonts w:hint="default" w:ascii="Times New Roman" w:hAnsi="Times New Roman" w:eastAsia="仿宋_GB2312" w:cs="Times New Roman"/>
          <w:color w:val="auto"/>
          <w:kern w:val="2"/>
          <w:sz w:val="32"/>
          <w:szCs w:val="32"/>
          <w:vertAlign w:val="baseline"/>
          <w:lang w:val="en-US" w:eastAsia="zh-CN" w:bidi="ar-SA"/>
        </w:rPr>
        <w:t>26</w:t>
      </w:r>
      <w:r>
        <w:rPr>
          <w:rFonts w:hint="default" w:ascii="Times New Roman" w:hAnsi="Times New Roman" w:eastAsia="仿宋_GB2312" w:cs="Times New Roman"/>
          <w:color w:val="auto"/>
          <w:sz w:val="32"/>
          <w:szCs w:val="32"/>
          <w:u w:val="none"/>
        </w:rPr>
        <w:t>万元发放一次性购房</w:t>
      </w:r>
      <w:r>
        <w:rPr>
          <w:rFonts w:hint="default" w:ascii="Times New Roman" w:hAnsi="Times New Roman" w:eastAsia="仿宋_GB2312" w:cs="Times New Roman"/>
          <w:color w:val="auto"/>
          <w:sz w:val="32"/>
          <w:szCs w:val="32"/>
          <w:u w:val="none"/>
          <w:lang w:eastAsia="zh-CN"/>
        </w:rPr>
        <w:t>补助</w:t>
      </w:r>
      <w:r>
        <w:rPr>
          <w:rFonts w:hint="default" w:ascii="Times New Roman" w:hAnsi="Times New Roman" w:eastAsia="仿宋_GB2312" w:cs="Times New Roman"/>
          <w:color w:val="auto"/>
          <w:sz w:val="32"/>
          <w:szCs w:val="32"/>
          <w:u w:val="none"/>
        </w:rPr>
        <w:t>费，不足部分按新晃侗族自治县集体建设用地</w:t>
      </w:r>
      <w:r>
        <w:rPr>
          <w:rFonts w:hint="default" w:ascii="Times New Roman" w:hAnsi="Times New Roman" w:eastAsia="仿宋_GB2312" w:cs="Times New Roman"/>
          <w:color w:val="auto"/>
          <w:sz w:val="32"/>
          <w:szCs w:val="32"/>
          <w:u w:val="none"/>
          <w:lang w:eastAsia="zh-CN"/>
        </w:rPr>
        <w:t>征地补偿</w:t>
      </w:r>
      <w:r>
        <w:rPr>
          <w:rFonts w:hint="default" w:ascii="Times New Roman" w:hAnsi="Times New Roman" w:eastAsia="仿宋_GB2312" w:cs="Times New Roman"/>
          <w:color w:val="auto"/>
          <w:sz w:val="32"/>
          <w:szCs w:val="32"/>
          <w:u w:val="none"/>
        </w:rPr>
        <w:t>标准予以核减。</w:t>
      </w:r>
    </w:p>
    <w:p w14:paraId="6D035D39">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rPr>
        <w:t>5.同一安置户有两栋以上房屋及宅基地被同时征收的</w:t>
      </w:r>
      <w:r>
        <w:rPr>
          <w:rFonts w:hint="default" w:ascii="Times New Roman" w:hAnsi="Times New Roman" w:eastAsia="仿宋_GB2312" w:cs="Times New Roman"/>
          <w:color w:val="auto"/>
          <w:sz w:val="32"/>
          <w:szCs w:val="32"/>
          <w:u w:val="none"/>
          <w:lang w:eastAsia="zh-CN"/>
        </w:rPr>
        <w:t>，以</w:t>
      </w:r>
      <w:r>
        <w:rPr>
          <w:rFonts w:hint="default" w:ascii="Times New Roman" w:hAnsi="Times New Roman" w:eastAsia="仿宋_GB2312" w:cs="Times New Roman"/>
          <w:color w:val="auto"/>
          <w:sz w:val="32"/>
          <w:szCs w:val="32"/>
          <w:u w:val="none"/>
        </w:rPr>
        <w:t>合并方式计算面积，仍按一个</w:t>
      </w:r>
      <w:r>
        <w:rPr>
          <w:rFonts w:hint="default" w:ascii="Times New Roman" w:hAnsi="Times New Roman" w:eastAsia="仿宋_GB2312" w:cs="Times New Roman"/>
          <w:color w:val="auto"/>
          <w:sz w:val="32"/>
          <w:szCs w:val="32"/>
          <w:u w:val="none"/>
          <w:lang w:eastAsia="zh-CN"/>
        </w:rPr>
        <w:t>安置</w:t>
      </w:r>
      <w:r>
        <w:rPr>
          <w:rFonts w:hint="default" w:ascii="Times New Roman" w:hAnsi="Times New Roman" w:eastAsia="仿宋_GB2312" w:cs="Times New Roman"/>
          <w:color w:val="auto"/>
          <w:sz w:val="32"/>
          <w:szCs w:val="32"/>
          <w:u w:val="none"/>
        </w:rPr>
        <w:t>户进行安置。</w:t>
      </w:r>
    </w:p>
    <w:p w14:paraId="6DD73AAB">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rPr>
        <w:t>6.领取一次性购房补助费</w:t>
      </w:r>
      <w:r>
        <w:rPr>
          <w:rFonts w:hint="default" w:ascii="Times New Roman" w:hAnsi="Times New Roman" w:eastAsia="仿宋_GB2312" w:cs="Times New Roman"/>
          <w:color w:val="auto"/>
          <w:sz w:val="32"/>
          <w:szCs w:val="32"/>
          <w:u w:val="none"/>
          <w:lang w:eastAsia="zh-CN"/>
        </w:rPr>
        <w:t>的</w:t>
      </w:r>
      <w:r>
        <w:rPr>
          <w:rFonts w:hint="default" w:ascii="Times New Roman" w:hAnsi="Times New Roman" w:eastAsia="仿宋_GB2312" w:cs="Times New Roman"/>
          <w:color w:val="auto"/>
          <w:sz w:val="32"/>
          <w:szCs w:val="32"/>
          <w:u w:val="none"/>
        </w:rPr>
        <w:t>安置户</w:t>
      </w:r>
      <w:r>
        <w:rPr>
          <w:rFonts w:hint="default" w:ascii="Times New Roman" w:hAnsi="Times New Roman" w:eastAsia="仿宋_GB2312" w:cs="Times New Roman"/>
          <w:color w:val="auto"/>
          <w:sz w:val="32"/>
          <w:szCs w:val="32"/>
          <w:u w:val="none"/>
          <w:lang w:eastAsia="zh-CN"/>
        </w:rPr>
        <w:t>，自</w:t>
      </w:r>
      <w:r>
        <w:rPr>
          <w:rFonts w:hint="default" w:ascii="Times New Roman" w:hAnsi="Times New Roman" w:eastAsia="仿宋_GB2312" w:cs="Times New Roman"/>
          <w:color w:val="auto"/>
          <w:sz w:val="32"/>
          <w:szCs w:val="32"/>
          <w:u w:val="none"/>
        </w:rPr>
        <w:t>签订补偿安置协议</w:t>
      </w:r>
      <w:r>
        <w:rPr>
          <w:rFonts w:hint="default" w:ascii="Times New Roman" w:hAnsi="Times New Roman" w:eastAsia="仿宋_GB2312" w:cs="Times New Roman"/>
          <w:color w:val="auto"/>
          <w:sz w:val="32"/>
          <w:szCs w:val="32"/>
          <w:u w:val="none"/>
          <w:lang w:eastAsia="zh-CN"/>
        </w:rPr>
        <w:t>之日起</w:t>
      </w:r>
      <w:r>
        <w:rPr>
          <w:rFonts w:hint="default" w:ascii="Times New Roman" w:hAnsi="Times New Roman" w:eastAsia="仿宋_GB2312" w:cs="Times New Roman"/>
          <w:color w:val="auto"/>
          <w:sz w:val="32"/>
          <w:szCs w:val="32"/>
          <w:u w:val="none"/>
        </w:rPr>
        <w:t>一年内</w:t>
      </w:r>
      <w:r>
        <w:rPr>
          <w:rFonts w:hint="default" w:ascii="Times New Roman" w:hAnsi="Times New Roman" w:eastAsia="仿宋_GB2312" w:cs="Times New Roman"/>
          <w:color w:val="auto"/>
          <w:sz w:val="32"/>
          <w:szCs w:val="32"/>
          <w:u w:val="none"/>
          <w:lang w:eastAsia="zh-CN"/>
        </w:rPr>
        <w:t>，</w:t>
      </w:r>
      <w:r>
        <w:rPr>
          <w:rFonts w:hint="default" w:ascii="Times New Roman" w:hAnsi="Times New Roman" w:eastAsia="仿宋_GB2312" w:cs="Times New Roman"/>
          <w:color w:val="auto"/>
          <w:sz w:val="32"/>
          <w:szCs w:val="32"/>
          <w:u w:val="none"/>
        </w:rPr>
        <w:t>在</w:t>
      </w:r>
      <w:r>
        <w:rPr>
          <w:rFonts w:hint="default" w:ascii="Times New Roman" w:hAnsi="Times New Roman" w:eastAsia="仿宋_GB2312" w:cs="Times New Roman"/>
          <w:color w:val="auto"/>
          <w:sz w:val="32"/>
          <w:szCs w:val="32"/>
          <w:u w:val="none"/>
          <w:lang w:eastAsia="zh-CN"/>
        </w:rPr>
        <w:t>县城规划区内依法购买商品住房的</w:t>
      </w:r>
      <w:r>
        <w:rPr>
          <w:rFonts w:hint="default" w:ascii="Times New Roman" w:hAnsi="Times New Roman" w:eastAsia="仿宋_GB2312" w:cs="Times New Roman"/>
          <w:color w:val="auto"/>
          <w:sz w:val="32"/>
          <w:szCs w:val="32"/>
          <w:u w:val="none"/>
        </w:rPr>
        <w:t>，另按</w:t>
      </w:r>
      <w:r>
        <w:rPr>
          <w:rFonts w:hint="default" w:ascii="Times New Roman" w:hAnsi="Times New Roman" w:eastAsia="仿宋_GB2312" w:cs="Times New Roman"/>
          <w:color w:val="auto"/>
          <w:kern w:val="2"/>
          <w:sz w:val="32"/>
          <w:szCs w:val="32"/>
          <w:vertAlign w:val="baseline"/>
          <w:lang w:val="en-US" w:eastAsia="zh-CN" w:bidi="ar-SA"/>
        </w:rPr>
        <w:t>1000</w:t>
      </w:r>
      <w:r>
        <w:rPr>
          <w:rFonts w:hint="default" w:ascii="Times New Roman" w:hAnsi="Times New Roman" w:eastAsia="仿宋_GB2312" w:cs="Times New Roman"/>
          <w:color w:val="auto"/>
          <w:sz w:val="32"/>
          <w:szCs w:val="32"/>
          <w:u w:val="none"/>
        </w:rPr>
        <w:t>元/平方米的标准</w:t>
      </w:r>
      <w:r>
        <w:rPr>
          <w:rFonts w:hint="default" w:ascii="Times New Roman" w:hAnsi="Times New Roman" w:eastAsia="仿宋_GB2312" w:cs="Times New Roman"/>
          <w:color w:val="auto"/>
          <w:sz w:val="32"/>
          <w:szCs w:val="32"/>
          <w:u w:val="none"/>
          <w:lang w:eastAsia="zh-CN"/>
        </w:rPr>
        <w:t>给予</w:t>
      </w:r>
      <w:r>
        <w:rPr>
          <w:rFonts w:hint="default" w:ascii="Times New Roman" w:hAnsi="Times New Roman" w:eastAsia="仿宋_GB2312" w:cs="Times New Roman"/>
          <w:color w:val="auto"/>
          <w:sz w:val="32"/>
          <w:szCs w:val="32"/>
          <w:u w:val="none"/>
        </w:rPr>
        <w:t>基本装饰装修补助费和</w:t>
      </w:r>
      <w:r>
        <w:rPr>
          <w:rFonts w:hint="default" w:ascii="Times New Roman" w:hAnsi="Times New Roman" w:eastAsia="仿宋_GB2312" w:cs="Times New Roman"/>
          <w:color w:val="auto"/>
          <w:kern w:val="2"/>
          <w:sz w:val="32"/>
          <w:szCs w:val="32"/>
          <w:vertAlign w:val="baseline"/>
          <w:lang w:val="en-US" w:eastAsia="zh-CN" w:bidi="ar-SA"/>
        </w:rPr>
        <w:t>100元</w:t>
      </w:r>
      <w:r>
        <w:rPr>
          <w:rFonts w:hint="default" w:ascii="Times New Roman" w:hAnsi="Times New Roman" w:eastAsia="仿宋_GB2312" w:cs="Times New Roman"/>
          <w:color w:val="auto"/>
          <w:sz w:val="32"/>
          <w:szCs w:val="32"/>
          <w:u w:val="none"/>
        </w:rPr>
        <w:t>/平方米的物业</w:t>
      </w:r>
      <w:r>
        <w:rPr>
          <w:rFonts w:hint="default" w:ascii="Times New Roman" w:hAnsi="Times New Roman" w:eastAsia="仿宋_GB2312" w:cs="Times New Roman"/>
          <w:color w:val="auto"/>
          <w:sz w:val="32"/>
          <w:szCs w:val="32"/>
          <w:u w:val="none"/>
          <w:lang w:eastAsia="zh-CN"/>
        </w:rPr>
        <w:t>服务</w:t>
      </w:r>
      <w:r>
        <w:rPr>
          <w:rFonts w:hint="default" w:ascii="Times New Roman" w:hAnsi="Times New Roman" w:eastAsia="仿宋_GB2312" w:cs="Times New Roman"/>
          <w:color w:val="auto"/>
          <w:sz w:val="32"/>
          <w:szCs w:val="32"/>
          <w:u w:val="none"/>
        </w:rPr>
        <w:t>补助费，最高补助不超人均</w:t>
      </w:r>
      <w:r>
        <w:rPr>
          <w:rFonts w:hint="default" w:ascii="Times New Roman" w:hAnsi="Times New Roman" w:eastAsia="仿宋_GB2312" w:cs="Times New Roman"/>
          <w:color w:val="auto"/>
          <w:kern w:val="2"/>
          <w:sz w:val="32"/>
          <w:szCs w:val="32"/>
          <w:vertAlign w:val="baseline"/>
          <w:lang w:val="en-US" w:eastAsia="zh-CN" w:bidi="ar-SA"/>
        </w:rPr>
        <w:t>40</w:t>
      </w:r>
      <w:r>
        <w:rPr>
          <w:rFonts w:hint="default" w:ascii="Times New Roman" w:hAnsi="Times New Roman" w:eastAsia="仿宋_GB2312" w:cs="Times New Roman"/>
          <w:color w:val="auto"/>
          <w:sz w:val="32"/>
          <w:szCs w:val="32"/>
          <w:u w:val="none"/>
        </w:rPr>
        <w:t>平方米；有《独生子女父母光荣证》的家庭，可增加</w:t>
      </w:r>
      <w:r>
        <w:rPr>
          <w:rFonts w:hint="default" w:ascii="Times New Roman" w:hAnsi="Times New Roman" w:eastAsia="仿宋_GB2312" w:cs="Times New Roman"/>
          <w:color w:val="auto"/>
          <w:kern w:val="2"/>
          <w:sz w:val="32"/>
          <w:szCs w:val="32"/>
          <w:vertAlign w:val="baseline"/>
          <w:lang w:val="en-US" w:eastAsia="zh-CN" w:bidi="ar-SA"/>
        </w:rPr>
        <w:t>1</w:t>
      </w:r>
      <w:r>
        <w:rPr>
          <w:rFonts w:hint="default" w:ascii="Times New Roman" w:hAnsi="Times New Roman" w:eastAsia="仿宋_GB2312" w:cs="Times New Roman"/>
          <w:color w:val="auto"/>
          <w:sz w:val="32"/>
          <w:szCs w:val="32"/>
          <w:u w:val="none"/>
        </w:rPr>
        <w:t>人进行计算。</w:t>
      </w:r>
    </w:p>
    <w:p w14:paraId="1FE703BE">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rPr>
        <w:t>（三）统规自建</w:t>
      </w:r>
      <w:r>
        <w:rPr>
          <w:rFonts w:hint="default" w:ascii="Times New Roman" w:hAnsi="Times New Roman" w:eastAsia="仿宋_GB2312" w:cs="Times New Roman"/>
          <w:color w:val="auto"/>
          <w:sz w:val="32"/>
          <w:szCs w:val="32"/>
          <w:u w:val="none"/>
          <w:lang w:eastAsia="zh-CN"/>
        </w:rPr>
        <w:t>安置。具备条件的，可以选择统规自建安置，由征收实施机构组织相关部门在</w:t>
      </w:r>
      <w:r>
        <w:rPr>
          <w:rFonts w:hint="default" w:ascii="Times New Roman" w:hAnsi="Times New Roman" w:eastAsia="仿宋_GB2312" w:cs="Times New Roman"/>
          <w:color w:val="auto"/>
          <w:sz w:val="32"/>
          <w:szCs w:val="32"/>
          <w:u w:val="none"/>
        </w:rPr>
        <w:t>县城现状建设用地范围外</w:t>
      </w:r>
      <w:r>
        <w:rPr>
          <w:rFonts w:hint="default" w:ascii="Times New Roman" w:hAnsi="Times New Roman" w:eastAsia="仿宋_GB2312" w:cs="Times New Roman"/>
          <w:color w:val="auto"/>
          <w:sz w:val="32"/>
          <w:szCs w:val="32"/>
          <w:u w:val="none"/>
          <w:lang w:eastAsia="zh-CN"/>
        </w:rPr>
        <w:t>依法确定安置用地</w:t>
      </w:r>
      <w:r>
        <w:rPr>
          <w:rFonts w:hint="default" w:ascii="Times New Roman" w:hAnsi="Times New Roman" w:eastAsia="仿宋_GB2312" w:cs="Times New Roman"/>
          <w:color w:val="auto"/>
          <w:sz w:val="32"/>
          <w:szCs w:val="32"/>
          <w:u w:val="none"/>
        </w:rPr>
        <w:t>。</w:t>
      </w:r>
    </w:p>
    <w:p w14:paraId="33AEB25B">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rPr>
        <w:t>1.安置户按照统一规划、统一标准、统一管理、自行建设的原则进行集中安置，鼓励多户联建、委托代建</w:t>
      </w:r>
      <w:r>
        <w:rPr>
          <w:rFonts w:hint="default" w:ascii="Times New Roman" w:hAnsi="Times New Roman" w:eastAsia="仿宋_GB2312" w:cs="Times New Roman"/>
          <w:color w:val="auto"/>
          <w:sz w:val="32"/>
          <w:szCs w:val="32"/>
          <w:u w:val="none"/>
          <w:lang w:eastAsia="zh-CN"/>
        </w:rPr>
        <w:t>，</w:t>
      </w:r>
      <w:r>
        <w:rPr>
          <w:rFonts w:hint="default" w:ascii="Times New Roman" w:hAnsi="Times New Roman" w:eastAsia="仿宋_GB2312" w:cs="Times New Roman"/>
          <w:color w:val="auto"/>
          <w:sz w:val="32"/>
          <w:szCs w:val="32"/>
          <w:u w:val="none"/>
        </w:rPr>
        <w:t>在集中安置区内，每宗安置地面积不超过</w:t>
      </w:r>
      <w:r>
        <w:rPr>
          <w:rFonts w:hint="default" w:ascii="Times New Roman" w:hAnsi="Times New Roman" w:eastAsia="仿宋_GB2312" w:cs="Times New Roman"/>
          <w:color w:val="auto"/>
          <w:kern w:val="2"/>
          <w:sz w:val="32"/>
          <w:szCs w:val="32"/>
          <w:vertAlign w:val="baseline"/>
          <w:lang w:val="en-US" w:eastAsia="zh-CN" w:bidi="ar-SA"/>
        </w:rPr>
        <w:t>120</w:t>
      </w:r>
      <w:r>
        <w:rPr>
          <w:rFonts w:hint="default" w:ascii="Times New Roman" w:hAnsi="Times New Roman" w:eastAsia="仿宋_GB2312" w:cs="Times New Roman"/>
          <w:bCs/>
          <w:color w:val="auto"/>
          <w:sz w:val="32"/>
          <w:szCs w:val="32"/>
          <w:u w:val="none"/>
          <w:lang w:eastAsia="zh-CN"/>
        </w:rPr>
        <w:t>平方米</w:t>
      </w:r>
      <w:r>
        <w:rPr>
          <w:rFonts w:hint="default" w:ascii="Times New Roman" w:hAnsi="Times New Roman" w:eastAsia="仿宋_GB2312" w:cs="Times New Roman"/>
          <w:color w:val="auto"/>
          <w:sz w:val="32"/>
          <w:szCs w:val="32"/>
          <w:u w:val="none"/>
        </w:rPr>
        <w:t>、临街安置</w:t>
      </w:r>
      <w:r>
        <w:rPr>
          <w:rFonts w:hint="default" w:ascii="Times New Roman" w:hAnsi="Times New Roman" w:eastAsia="仿宋_GB2312" w:cs="Times New Roman"/>
          <w:color w:val="auto"/>
          <w:sz w:val="32"/>
          <w:szCs w:val="32"/>
          <w:u w:val="none"/>
          <w:lang w:eastAsia="zh-CN"/>
        </w:rPr>
        <w:t>地</w:t>
      </w:r>
      <w:r>
        <w:rPr>
          <w:rFonts w:hint="default" w:ascii="Times New Roman" w:hAnsi="Times New Roman" w:eastAsia="仿宋_GB2312" w:cs="Times New Roman"/>
          <w:color w:val="auto"/>
          <w:sz w:val="32"/>
          <w:szCs w:val="32"/>
          <w:u w:val="none"/>
        </w:rPr>
        <w:t>面积不超过</w:t>
      </w:r>
      <w:r>
        <w:rPr>
          <w:rFonts w:hint="default" w:ascii="Times New Roman" w:hAnsi="Times New Roman" w:eastAsia="仿宋_GB2312" w:cs="Times New Roman"/>
          <w:color w:val="auto"/>
          <w:kern w:val="2"/>
          <w:sz w:val="32"/>
          <w:szCs w:val="32"/>
          <w:vertAlign w:val="baseline"/>
          <w:lang w:val="en-US" w:eastAsia="zh-CN" w:bidi="ar-SA"/>
        </w:rPr>
        <w:t>96</w:t>
      </w:r>
      <w:r>
        <w:rPr>
          <w:rFonts w:hint="default" w:ascii="Times New Roman" w:hAnsi="Times New Roman" w:eastAsia="仿宋_GB2312" w:cs="Times New Roman"/>
          <w:bCs/>
          <w:color w:val="auto"/>
          <w:sz w:val="32"/>
          <w:szCs w:val="32"/>
          <w:u w:val="none"/>
          <w:lang w:eastAsia="zh-CN"/>
        </w:rPr>
        <w:t>平方米</w:t>
      </w:r>
      <w:r>
        <w:rPr>
          <w:rFonts w:hint="default" w:ascii="Times New Roman" w:hAnsi="Times New Roman" w:eastAsia="仿宋_GB2312" w:cs="Times New Roman"/>
          <w:color w:val="auto"/>
          <w:sz w:val="32"/>
          <w:szCs w:val="32"/>
          <w:u w:val="none"/>
        </w:rPr>
        <w:t>。</w:t>
      </w:r>
    </w:p>
    <w:p w14:paraId="761BF6A1">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rPr>
        <w:t>2.一个安置户的多栋房屋及宅基地被征收的，只分配一宗安置地；同一栋房屋有两个以上的安置户，且无其他宅基地的，每户可分配一宗安置地。</w:t>
      </w:r>
    </w:p>
    <w:p w14:paraId="5ED3CB0D">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rPr>
        <w:t>3.原宅基地面积与安置地面积相等的，不计算差价；原宅基地面积与安置地面积不相等的，按宅基地征收补偿标准</w:t>
      </w:r>
      <w:r>
        <w:rPr>
          <w:rFonts w:hint="default" w:ascii="Times New Roman" w:hAnsi="Times New Roman" w:eastAsia="仿宋_GB2312" w:cs="Times New Roman"/>
          <w:color w:val="auto"/>
          <w:sz w:val="32"/>
          <w:szCs w:val="32"/>
          <w:u w:val="none"/>
          <w:lang w:eastAsia="zh-CN"/>
        </w:rPr>
        <w:t>结算</w:t>
      </w:r>
      <w:r>
        <w:rPr>
          <w:rFonts w:hint="default" w:ascii="Times New Roman" w:hAnsi="Times New Roman" w:eastAsia="仿宋_GB2312" w:cs="Times New Roman"/>
          <w:color w:val="auto"/>
          <w:sz w:val="32"/>
          <w:szCs w:val="32"/>
          <w:u w:val="none"/>
        </w:rPr>
        <w:t>差价。</w:t>
      </w:r>
    </w:p>
    <w:p w14:paraId="23145874">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rPr>
        <w:t>4.安置房建设的用地审批、规划审批、施工审批、房屋产权证等的办理由征收</w:t>
      </w:r>
      <w:r>
        <w:rPr>
          <w:rFonts w:hint="default" w:ascii="Times New Roman" w:hAnsi="Times New Roman" w:eastAsia="仿宋_GB2312" w:cs="Times New Roman"/>
          <w:color w:val="auto"/>
          <w:sz w:val="32"/>
          <w:szCs w:val="32"/>
          <w:u w:val="none"/>
          <w:lang w:eastAsia="zh-CN"/>
        </w:rPr>
        <w:t>实施机构</w:t>
      </w:r>
      <w:r>
        <w:rPr>
          <w:rFonts w:hint="default" w:ascii="Times New Roman" w:hAnsi="Times New Roman" w:eastAsia="仿宋_GB2312" w:cs="Times New Roman"/>
          <w:color w:val="auto"/>
          <w:sz w:val="32"/>
          <w:szCs w:val="32"/>
          <w:u w:val="none"/>
        </w:rPr>
        <w:t>负责；安置户在</w:t>
      </w:r>
      <w:r>
        <w:rPr>
          <w:rFonts w:hint="default" w:ascii="Times New Roman" w:hAnsi="Times New Roman" w:eastAsia="仿宋_GB2312" w:cs="Times New Roman"/>
          <w:color w:val="auto"/>
          <w:sz w:val="32"/>
          <w:szCs w:val="32"/>
          <w:u w:val="none"/>
          <w:lang w:eastAsia="zh-CN"/>
        </w:rPr>
        <w:t>规定时间内</w:t>
      </w:r>
      <w:r>
        <w:rPr>
          <w:rFonts w:hint="default" w:ascii="Times New Roman" w:hAnsi="Times New Roman" w:eastAsia="仿宋_GB2312" w:cs="Times New Roman"/>
          <w:color w:val="auto"/>
          <w:sz w:val="32"/>
          <w:szCs w:val="32"/>
          <w:u w:val="none"/>
        </w:rPr>
        <w:t>建房产生的相关税费及房屋基础超深部分（即基础超过</w:t>
      </w:r>
      <w:r>
        <w:rPr>
          <w:rFonts w:hint="default" w:ascii="Times New Roman" w:hAnsi="Times New Roman" w:eastAsia="仿宋_GB2312" w:cs="Times New Roman"/>
          <w:color w:val="auto"/>
          <w:kern w:val="2"/>
          <w:sz w:val="32"/>
          <w:szCs w:val="32"/>
          <w:vertAlign w:val="baseline"/>
          <w:lang w:val="en-US" w:eastAsia="zh-CN" w:bidi="ar-SA"/>
        </w:rPr>
        <w:t>1.5</w:t>
      </w:r>
      <w:r>
        <w:rPr>
          <w:rFonts w:hint="default" w:ascii="Times New Roman" w:hAnsi="Times New Roman" w:eastAsia="仿宋_GB2312" w:cs="Times New Roman"/>
          <w:color w:val="auto"/>
          <w:sz w:val="32"/>
          <w:szCs w:val="32"/>
          <w:u w:val="none"/>
        </w:rPr>
        <w:t>米）的费用</w:t>
      </w:r>
      <w:r>
        <w:rPr>
          <w:rFonts w:hint="default" w:ascii="Times New Roman" w:hAnsi="Times New Roman" w:eastAsia="仿宋_GB2312" w:cs="Times New Roman"/>
          <w:color w:val="auto"/>
          <w:sz w:val="32"/>
          <w:szCs w:val="32"/>
          <w:u w:val="none"/>
          <w:lang w:eastAsia="zh-CN"/>
        </w:rPr>
        <w:t>，</w:t>
      </w:r>
      <w:r>
        <w:rPr>
          <w:rFonts w:hint="default" w:ascii="Times New Roman" w:hAnsi="Times New Roman" w:eastAsia="仿宋_GB2312" w:cs="Times New Roman"/>
          <w:color w:val="auto"/>
          <w:sz w:val="32"/>
          <w:szCs w:val="32"/>
          <w:u w:val="none"/>
        </w:rPr>
        <w:t>由征收</w:t>
      </w:r>
      <w:r>
        <w:rPr>
          <w:rFonts w:hint="default" w:ascii="Times New Roman" w:hAnsi="Times New Roman" w:eastAsia="仿宋_GB2312" w:cs="Times New Roman"/>
          <w:color w:val="auto"/>
          <w:sz w:val="32"/>
          <w:szCs w:val="32"/>
          <w:u w:val="none"/>
          <w:lang w:eastAsia="zh-CN"/>
        </w:rPr>
        <w:t>实施机构</w:t>
      </w:r>
      <w:r>
        <w:rPr>
          <w:rFonts w:hint="default" w:ascii="Times New Roman" w:hAnsi="Times New Roman" w:eastAsia="仿宋_GB2312" w:cs="Times New Roman"/>
          <w:color w:val="auto"/>
          <w:sz w:val="32"/>
          <w:szCs w:val="32"/>
          <w:u w:val="none"/>
        </w:rPr>
        <w:t>承担。</w:t>
      </w:r>
    </w:p>
    <w:p w14:paraId="2388DA38">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rPr>
        <w:t>5.安置房建设统一标高、统一楼层、统一格调、统一外墙颜色等，对不按</w:t>
      </w:r>
      <w:r>
        <w:rPr>
          <w:rFonts w:hint="default" w:ascii="Times New Roman" w:hAnsi="Times New Roman" w:eastAsia="仿宋_GB2312" w:cs="Times New Roman"/>
          <w:color w:val="auto"/>
          <w:sz w:val="32"/>
          <w:szCs w:val="32"/>
          <w:u w:val="none"/>
          <w:lang w:eastAsia="zh-CN"/>
        </w:rPr>
        <w:t>规定进行</w:t>
      </w:r>
      <w:r>
        <w:rPr>
          <w:rFonts w:hint="default" w:ascii="Times New Roman" w:hAnsi="Times New Roman" w:eastAsia="仿宋_GB2312" w:cs="Times New Roman"/>
          <w:color w:val="auto"/>
          <w:sz w:val="32"/>
          <w:szCs w:val="32"/>
          <w:u w:val="none"/>
        </w:rPr>
        <w:t>建设的，</w:t>
      </w:r>
      <w:r>
        <w:rPr>
          <w:rFonts w:hint="default" w:ascii="Times New Roman" w:hAnsi="Times New Roman" w:eastAsia="仿宋_GB2312" w:cs="Times New Roman"/>
          <w:color w:val="auto"/>
          <w:sz w:val="32"/>
          <w:szCs w:val="32"/>
          <w:u w:val="none"/>
          <w:lang w:eastAsia="zh-CN"/>
        </w:rPr>
        <w:t>由有关</w:t>
      </w:r>
      <w:r>
        <w:rPr>
          <w:rFonts w:hint="default" w:ascii="Times New Roman" w:hAnsi="Times New Roman" w:eastAsia="仿宋_GB2312" w:cs="Times New Roman"/>
          <w:color w:val="auto"/>
          <w:sz w:val="32"/>
          <w:szCs w:val="32"/>
          <w:u w:val="none"/>
        </w:rPr>
        <w:t>部门</w:t>
      </w:r>
      <w:r>
        <w:rPr>
          <w:rFonts w:hint="default" w:ascii="Times New Roman" w:hAnsi="Times New Roman" w:eastAsia="仿宋_GB2312" w:cs="Times New Roman"/>
          <w:color w:val="auto"/>
          <w:sz w:val="32"/>
          <w:szCs w:val="32"/>
          <w:u w:val="none"/>
          <w:lang w:eastAsia="zh-CN"/>
        </w:rPr>
        <w:t>依法处理</w:t>
      </w:r>
      <w:r>
        <w:rPr>
          <w:rFonts w:hint="default" w:ascii="Times New Roman" w:hAnsi="Times New Roman" w:eastAsia="仿宋_GB2312" w:cs="Times New Roman"/>
          <w:color w:val="auto"/>
          <w:sz w:val="32"/>
          <w:szCs w:val="32"/>
          <w:u w:val="none"/>
        </w:rPr>
        <w:t>。</w:t>
      </w:r>
    </w:p>
    <w:p w14:paraId="465747FC">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color w:val="auto"/>
          <w:sz w:val="32"/>
          <w:szCs w:val="32"/>
          <w:u w:val="none"/>
          <w:lang w:eastAsia="zh-CN"/>
        </w:rPr>
      </w:pPr>
      <w:r>
        <w:rPr>
          <w:rFonts w:hint="default" w:ascii="Times New Roman" w:hAnsi="Times New Roman" w:eastAsia="仿宋_GB2312" w:cs="Times New Roman"/>
          <w:b/>
          <w:bCs/>
          <w:color w:val="auto"/>
          <w:sz w:val="32"/>
          <w:szCs w:val="32"/>
          <w:u w:val="none"/>
        </w:rPr>
        <w:t>第三十</w:t>
      </w:r>
      <w:r>
        <w:rPr>
          <w:rFonts w:hint="default" w:ascii="Times New Roman" w:hAnsi="Times New Roman" w:eastAsia="仿宋_GB2312" w:cs="Times New Roman"/>
          <w:b/>
          <w:bCs/>
          <w:color w:val="auto"/>
          <w:sz w:val="32"/>
          <w:szCs w:val="32"/>
          <w:u w:val="none"/>
          <w:lang w:val="en-US" w:eastAsia="zh-CN"/>
        </w:rPr>
        <w:t>五</w:t>
      </w:r>
      <w:r>
        <w:rPr>
          <w:rFonts w:hint="default" w:ascii="Times New Roman" w:hAnsi="Times New Roman" w:eastAsia="仿宋_GB2312" w:cs="Times New Roman"/>
          <w:b/>
          <w:bCs/>
          <w:color w:val="auto"/>
          <w:sz w:val="32"/>
          <w:szCs w:val="32"/>
          <w:u w:val="none"/>
        </w:rPr>
        <w:t xml:space="preserve">条 </w:t>
      </w:r>
      <w:r>
        <w:rPr>
          <w:rFonts w:hint="default" w:ascii="Times New Roman" w:hAnsi="Times New Roman" w:eastAsia="仿宋_GB2312" w:cs="Times New Roman"/>
          <w:color w:val="auto"/>
          <w:sz w:val="32"/>
          <w:szCs w:val="32"/>
          <w:u w:val="none"/>
        </w:rPr>
        <w:t xml:space="preserve"> 征收</w:t>
      </w:r>
      <w:r>
        <w:rPr>
          <w:rFonts w:hint="default" w:ascii="Times New Roman" w:hAnsi="Times New Roman" w:eastAsia="仿宋_GB2312" w:cs="Times New Roman"/>
          <w:color w:val="auto"/>
          <w:sz w:val="32"/>
          <w:szCs w:val="32"/>
          <w:u w:val="none"/>
          <w:lang w:eastAsia="zh-CN"/>
        </w:rPr>
        <w:t>县</w:t>
      </w:r>
      <w:r>
        <w:rPr>
          <w:rFonts w:hint="default" w:ascii="Times New Roman" w:hAnsi="Times New Roman" w:eastAsia="仿宋_GB2312" w:cs="Times New Roman"/>
          <w:color w:val="auto"/>
          <w:sz w:val="32"/>
          <w:szCs w:val="32"/>
          <w:u w:val="none"/>
        </w:rPr>
        <w:t>城规划区范围外的农村村民住宅，以</w:t>
      </w:r>
      <w:r>
        <w:rPr>
          <w:rFonts w:hint="default" w:ascii="Times New Roman" w:hAnsi="Times New Roman" w:eastAsia="仿宋_GB2312" w:cs="Times New Roman"/>
          <w:color w:val="auto"/>
          <w:sz w:val="32"/>
          <w:szCs w:val="32"/>
          <w:u w:val="none"/>
          <w:lang w:eastAsia="zh-CN"/>
        </w:rPr>
        <w:t>安置</w:t>
      </w:r>
      <w:r>
        <w:rPr>
          <w:rFonts w:hint="default" w:ascii="Times New Roman" w:hAnsi="Times New Roman" w:eastAsia="仿宋_GB2312" w:cs="Times New Roman"/>
          <w:color w:val="auto"/>
          <w:sz w:val="32"/>
          <w:szCs w:val="32"/>
          <w:u w:val="none"/>
        </w:rPr>
        <w:t>户为单位按照“一户一宅、相对集中”的原则，在符合乡镇国土空间规划、村庄规划的前提下，采取货币</w:t>
      </w:r>
      <w:r>
        <w:rPr>
          <w:rFonts w:hint="default" w:ascii="Times New Roman" w:hAnsi="Times New Roman" w:eastAsia="仿宋_GB2312" w:cs="Times New Roman"/>
          <w:color w:val="auto"/>
          <w:sz w:val="32"/>
          <w:szCs w:val="32"/>
          <w:u w:val="none"/>
          <w:lang w:eastAsia="zh-CN"/>
        </w:rPr>
        <w:t>补偿</w:t>
      </w:r>
      <w:r>
        <w:rPr>
          <w:rFonts w:hint="default" w:ascii="Times New Roman" w:hAnsi="Times New Roman" w:eastAsia="仿宋_GB2312" w:cs="Times New Roman"/>
          <w:color w:val="auto"/>
          <w:sz w:val="32"/>
          <w:szCs w:val="32"/>
          <w:u w:val="none"/>
        </w:rPr>
        <w:t>安置、集中联建</w:t>
      </w:r>
      <w:r>
        <w:rPr>
          <w:rFonts w:hint="default" w:ascii="Times New Roman" w:hAnsi="Times New Roman" w:eastAsia="仿宋_GB2312" w:cs="Times New Roman"/>
          <w:color w:val="auto"/>
          <w:sz w:val="32"/>
          <w:szCs w:val="32"/>
          <w:u w:val="none"/>
          <w:lang w:eastAsia="zh-CN"/>
        </w:rPr>
        <w:t>安置或</w:t>
      </w:r>
      <w:r>
        <w:rPr>
          <w:rFonts w:hint="default" w:ascii="Times New Roman" w:hAnsi="Times New Roman" w:eastAsia="仿宋_GB2312" w:cs="Times New Roman"/>
          <w:color w:val="auto"/>
          <w:sz w:val="32"/>
          <w:szCs w:val="32"/>
          <w:u w:val="none"/>
        </w:rPr>
        <w:t>分散迁建安置。</w:t>
      </w:r>
      <w:r>
        <w:rPr>
          <w:rFonts w:hint="default" w:ascii="Times New Roman" w:hAnsi="Times New Roman" w:eastAsia="仿宋_GB2312" w:cs="Times New Roman"/>
          <w:color w:val="auto"/>
          <w:sz w:val="32"/>
          <w:szCs w:val="32"/>
          <w:u w:val="none"/>
          <w:lang w:eastAsia="zh-CN"/>
        </w:rPr>
        <w:t>选择货币安置的，安置户不得再申请宅基地建房：</w:t>
      </w:r>
    </w:p>
    <w:p w14:paraId="447627E5">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lang w:eastAsia="zh-CN"/>
        </w:rPr>
        <w:t>（一）</w:t>
      </w:r>
      <w:r>
        <w:rPr>
          <w:rFonts w:hint="default" w:ascii="Times New Roman" w:hAnsi="Times New Roman" w:eastAsia="仿宋_GB2312" w:cs="Times New Roman"/>
          <w:color w:val="auto"/>
          <w:sz w:val="32"/>
          <w:szCs w:val="32"/>
          <w:u w:val="none"/>
        </w:rPr>
        <w:t>货币安置，按房地合一方式评估</w:t>
      </w:r>
      <w:r>
        <w:rPr>
          <w:rFonts w:hint="default" w:ascii="Times New Roman" w:hAnsi="Times New Roman" w:eastAsia="仿宋_GB2312" w:cs="Times New Roman"/>
          <w:color w:val="auto"/>
          <w:sz w:val="32"/>
          <w:szCs w:val="32"/>
          <w:u w:val="none"/>
          <w:lang w:eastAsia="zh-CN"/>
        </w:rPr>
        <w:t>被征收</w:t>
      </w:r>
      <w:r>
        <w:rPr>
          <w:rFonts w:hint="default" w:ascii="Times New Roman" w:hAnsi="Times New Roman" w:eastAsia="仿宋_GB2312" w:cs="Times New Roman"/>
          <w:color w:val="auto"/>
          <w:sz w:val="32"/>
          <w:szCs w:val="32"/>
          <w:u w:val="none"/>
        </w:rPr>
        <w:t>房屋价值的方式进行货币补偿安置。即被征收房屋的价值由具有相应资质的评估机构参照国有土地上房屋评估确定，扣除同等宅基地面积征地补偿费后，由被征收人全额领取，不再进行其他安置。</w:t>
      </w:r>
    </w:p>
    <w:p w14:paraId="614EFFED">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Cs/>
          <w:color w:val="auto"/>
          <w:kern w:val="0"/>
          <w:sz w:val="32"/>
          <w:szCs w:val="32"/>
          <w:u w:val="none"/>
          <w:lang w:val="zh-CN"/>
        </w:rPr>
      </w:pPr>
      <w:r>
        <w:rPr>
          <w:rFonts w:hint="default" w:ascii="Times New Roman" w:hAnsi="Times New Roman" w:eastAsia="仿宋_GB2312" w:cs="Times New Roman"/>
          <w:color w:val="auto"/>
          <w:sz w:val="32"/>
          <w:szCs w:val="32"/>
          <w:u w:val="none"/>
          <w:lang w:eastAsia="zh-CN"/>
        </w:rPr>
        <w:t>（二）</w:t>
      </w:r>
      <w:r>
        <w:rPr>
          <w:rFonts w:hint="default" w:ascii="Times New Roman" w:hAnsi="Times New Roman" w:eastAsia="仿宋_GB2312" w:cs="Times New Roman"/>
          <w:color w:val="auto"/>
          <w:sz w:val="32"/>
          <w:szCs w:val="32"/>
          <w:u w:val="none"/>
          <w:lang w:val="zh-CN"/>
        </w:rPr>
        <w:t>集中联建</w:t>
      </w:r>
      <w:r>
        <w:rPr>
          <w:rFonts w:hint="default" w:ascii="Times New Roman" w:hAnsi="Times New Roman" w:eastAsia="仿宋_GB2312" w:cs="Times New Roman"/>
          <w:color w:val="auto"/>
          <w:sz w:val="32"/>
          <w:szCs w:val="32"/>
          <w:u w:val="none"/>
        </w:rPr>
        <w:t>安置</w:t>
      </w:r>
      <w:r>
        <w:rPr>
          <w:rFonts w:hint="default" w:ascii="Times New Roman" w:hAnsi="Times New Roman" w:eastAsia="仿宋_GB2312" w:cs="Times New Roman"/>
          <w:color w:val="auto"/>
          <w:sz w:val="32"/>
          <w:szCs w:val="32"/>
          <w:u w:val="none"/>
          <w:lang w:val="zh-CN"/>
        </w:rPr>
        <w:t>，</w:t>
      </w:r>
      <w:r>
        <w:rPr>
          <w:rFonts w:hint="default" w:ascii="Times New Roman" w:hAnsi="Times New Roman" w:eastAsia="仿宋_GB2312" w:cs="Times New Roman"/>
          <w:color w:val="auto"/>
          <w:sz w:val="32"/>
          <w:szCs w:val="32"/>
          <w:u w:val="none"/>
        </w:rPr>
        <w:t>根据规划设计要求，统一标高、统一楼层、统一格调、统一外观。</w:t>
      </w:r>
      <w:r>
        <w:rPr>
          <w:rFonts w:hint="default" w:ascii="Times New Roman" w:hAnsi="Times New Roman" w:eastAsia="仿宋_GB2312" w:cs="Times New Roman"/>
          <w:color w:val="auto"/>
          <w:sz w:val="32"/>
          <w:szCs w:val="32"/>
          <w:u w:val="none"/>
          <w:lang w:val="zh-CN"/>
        </w:rPr>
        <w:t>安置用地的土地、土地平整、通水、通电、道路以及房</w:t>
      </w:r>
      <w:r>
        <w:rPr>
          <w:rFonts w:hint="default" w:ascii="Times New Roman" w:hAnsi="Times New Roman" w:eastAsia="仿宋_GB2312" w:cs="Times New Roman"/>
          <w:bCs/>
          <w:color w:val="auto"/>
          <w:kern w:val="0"/>
          <w:sz w:val="32"/>
          <w:szCs w:val="32"/>
          <w:u w:val="none"/>
          <w:lang w:val="zh-CN"/>
        </w:rPr>
        <w:t>屋基础超深部分（即基础超过</w:t>
      </w:r>
      <w:r>
        <w:rPr>
          <w:rFonts w:hint="default" w:ascii="Times New Roman" w:hAnsi="Times New Roman" w:eastAsia="仿宋_GB2312" w:cs="Times New Roman"/>
          <w:color w:val="auto"/>
          <w:kern w:val="2"/>
          <w:sz w:val="32"/>
          <w:szCs w:val="32"/>
          <w:vertAlign w:val="baseline"/>
          <w:lang w:val="zh-CN" w:eastAsia="zh-CN" w:bidi="ar-SA"/>
        </w:rPr>
        <w:t>1.5</w:t>
      </w:r>
      <w:r>
        <w:rPr>
          <w:rFonts w:hint="default" w:ascii="Times New Roman" w:hAnsi="Times New Roman" w:eastAsia="仿宋_GB2312" w:cs="Times New Roman"/>
          <w:bCs/>
          <w:color w:val="auto"/>
          <w:kern w:val="0"/>
          <w:sz w:val="32"/>
          <w:szCs w:val="32"/>
          <w:u w:val="none"/>
          <w:lang w:val="zh-CN"/>
        </w:rPr>
        <w:t>米）的费用，纳入征收成本。</w:t>
      </w:r>
    </w:p>
    <w:p w14:paraId="76D20A4E">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lang w:val="en-US" w:eastAsia="zh-CN"/>
        </w:rPr>
        <w:t>1</w:t>
      </w:r>
      <w:r>
        <w:rPr>
          <w:rFonts w:hint="default" w:ascii="Times New Roman" w:hAnsi="Times New Roman" w:eastAsia="仿宋_GB2312" w:cs="Times New Roman"/>
          <w:color w:val="auto"/>
          <w:sz w:val="32"/>
          <w:szCs w:val="32"/>
          <w:u w:val="none"/>
        </w:rPr>
        <w:t>.一个安置户的多栋房屋及宅基地被征收的，只分配一宗安置地；同一栋房屋有两个以上的安置户，且无其他宅基地的，每户可分配一宗安置地。</w:t>
      </w:r>
    </w:p>
    <w:p w14:paraId="7F374915">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lang w:val="en-US" w:eastAsia="zh-CN"/>
        </w:rPr>
        <w:t>2</w:t>
      </w:r>
      <w:r>
        <w:rPr>
          <w:rFonts w:hint="default" w:ascii="Times New Roman" w:hAnsi="Times New Roman" w:eastAsia="仿宋_GB2312" w:cs="Times New Roman"/>
          <w:color w:val="auto"/>
          <w:sz w:val="32"/>
          <w:szCs w:val="32"/>
          <w:u w:val="none"/>
        </w:rPr>
        <w:t>.原宅基地面积与安置地面积相等的，不计算差价；原宅基地面积与安置地面积不相等的，按宅基地征收补偿标准</w:t>
      </w:r>
      <w:r>
        <w:rPr>
          <w:rFonts w:hint="default" w:ascii="Times New Roman" w:hAnsi="Times New Roman" w:eastAsia="仿宋_GB2312" w:cs="Times New Roman"/>
          <w:color w:val="auto"/>
          <w:sz w:val="32"/>
          <w:szCs w:val="32"/>
          <w:u w:val="none"/>
          <w:lang w:eastAsia="zh-CN"/>
        </w:rPr>
        <w:t>结算</w:t>
      </w:r>
      <w:r>
        <w:rPr>
          <w:rFonts w:hint="default" w:ascii="Times New Roman" w:hAnsi="Times New Roman" w:eastAsia="仿宋_GB2312" w:cs="Times New Roman"/>
          <w:color w:val="auto"/>
          <w:sz w:val="32"/>
          <w:szCs w:val="32"/>
          <w:u w:val="none"/>
        </w:rPr>
        <w:t>差价。</w:t>
      </w:r>
    </w:p>
    <w:p w14:paraId="2C6CA786">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Cs/>
          <w:color w:val="auto"/>
          <w:kern w:val="0"/>
          <w:sz w:val="32"/>
          <w:szCs w:val="32"/>
          <w:u w:val="none"/>
          <w:lang w:val="zh-CN"/>
        </w:rPr>
      </w:pPr>
      <w:r>
        <w:rPr>
          <w:rFonts w:hint="default" w:ascii="Times New Roman" w:hAnsi="Times New Roman" w:eastAsia="仿宋_GB2312" w:cs="Times New Roman"/>
          <w:color w:val="auto"/>
          <w:sz w:val="32"/>
          <w:szCs w:val="32"/>
          <w:u w:val="none"/>
          <w:lang w:eastAsia="zh-CN"/>
        </w:rPr>
        <w:t>（三）</w:t>
      </w:r>
      <w:r>
        <w:rPr>
          <w:rFonts w:hint="default" w:ascii="Times New Roman" w:hAnsi="Times New Roman" w:eastAsia="仿宋_GB2312" w:cs="Times New Roman"/>
          <w:color w:val="auto"/>
          <w:sz w:val="32"/>
          <w:szCs w:val="32"/>
          <w:u w:val="none"/>
          <w:lang w:val="zh-CN"/>
        </w:rPr>
        <w:t>分散迁建</w:t>
      </w:r>
      <w:r>
        <w:rPr>
          <w:rFonts w:hint="default" w:ascii="Times New Roman" w:hAnsi="Times New Roman" w:eastAsia="仿宋_GB2312" w:cs="Times New Roman"/>
          <w:bCs/>
          <w:color w:val="auto"/>
          <w:kern w:val="0"/>
          <w:sz w:val="32"/>
          <w:szCs w:val="32"/>
          <w:u w:val="none"/>
          <w:lang w:val="zh-CN"/>
        </w:rPr>
        <w:t>安置，安置用地的土地平整、通水、通电、道路以及房屋基础超深</w:t>
      </w:r>
      <w:r>
        <w:rPr>
          <w:rFonts w:hint="default" w:ascii="Times New Roman" w:hAnsi="Times New Roman" w:eastAsia="仿宋_GB2312" w:cs="Times New Roman"/>
          <w:bCs/>
          <w:color w:val="auto"/>
          <w:kern w:val="0"/>
          <w:sz w:val="32"/>
          <w:szCs w:val="32"/>
          <w:u w:val="none"/>
        </w:rPr>
        <w:t>部分</w:t>
      </w:r>
      <w:r>
        <w:rPr>
          <w:rFonts w:hint="default" w:ascii="Times New Roman" w:hAnsi="Times New Roman" w:eastAsia="仿宋_GB2312" w:cs="Times New Roman"/>
          <w:bCs/>
          <w:color w:val="auto"/>
          <w:kern w:val="0"/>
          <w:sz w:val="32"/>
          <w:szCs w:val="32"/>
          <w:u w:val="none"/>
          <w:lang w:val="zh-CN"/>
        </w:rPr>
        <w:t>（即基础超过</w:t>
      </w:r>
      <w:r>
        <w:rPr>
          <w:rFonts w:hint="default" w:ascii="Times New Roman" w:hAnsi="Times New Roman" w:eastAsia="仿宋_GB2312" w:cs="Times New Roman"/>
          <w:color w:val="auto"/>
          <w:kern w:val="2"/>
          <w:sz w:val="32"/>
          <w:szCs w:val="32"/>
          <w:vertAlign w:val="baseline"/>
          <w:lang w:val="zh-CN" w:eastAsia="zh-CN" w:bidi="ar-SA"/>
        </w:rPr>
        <w:t>1.5</w:t>
      </w:r>
      <w:r>
        <w:rPr>
          <w:rFonts w:hint="default" w:ascii="Times New Roman" w:hAnsi="Times New Roman" w:eastAsia="仿宋_GB2312" w:cs="Times New Roman"/>
          <w:bCs/>
          <w:color w:val="auto"/>
          <w:kern w:val="0"/>
          <w:sz w:val="32"/>
          <w:szCs w:val="32"/>
          <w:u w:val="none"/>
          <w:lang w:val="zh-CN"/>
        </w:rPr>
        <w:t>米）等相关费用，根据实际情况，按不高于</w:t>
      </w:r>
      <w:r>
        <w:rPr>
          <w:rFonts w:hint="default" w:ascii="Times New Roman" w:hAnsi="Times New Roman" w:eastAsia="仿宋_GB2312" w:cs="Times New Roman"/>
          <w:color w:val="auto"/>
          <w:kern w:val="2"/>
          <w:sz w:val="32"/>
          <w:szCs w:val="32"/>
          <w:vertAlign w:val="baseline"/>
          <w:lang w:val="zh-CN" w:eastAsia="zh-CN" w:bidi="ar-SA"/>
        </w:rPr>
        <w:t>3</w:t>
      </w:r>
      <w:r>
        <w:rPr>
          <w:rFonts w:hint="default" w:ascii="Times New Roman" w:hAnsi="Times New Roman" w:eastAsia="仿宋_GB2312" w:cs="Times New Roman"/>
          <w:bCs/>
          <w:color w:val="auto"/>
          <w:kern w:val="0"/>
          <w:sz w:val="32"/>
          <w:szCs w:val="32"/>
          <w:u w:val="none"/>
          <w:lang w:val="zh-CN"/>
        </w:rPr>
        <w:t>万元/户的标准予以补偿，</w:t>
      </w:r>
      <w:r>
        <w:rPr>
          <w:rFonts w:hint="default" w:ascii="Times New Roman" w:hAnsi="Times New Roman" w:eastAsia="仿宋_GB2312" w:cs="Times New Roman"/>
          <w:bCs/>
          <w:color w:val="auto"/>
          <w:kern w:val="0"/>
          <w:sz w:val="32"/>
          <w:szCs w:val="32"/>
          <w:u w:val="none"/>
        </w:rPr>
        <w:t>纳入征收成本</w:t>
      </w:r>
      <w:r>
        <w:rPr>
          <w:rFonts w:hint="default" w:ascii="Times New Roman" w:hAnsi="Times New Roman" w:eastAsia="仿宋_GB2312" w:cs="Times New Roman"/>
          <w:bCs/>
          <w:color w:val="auto"/>
          <w:kern w:val="0"/>
          <w:sz w:val="32"/>
          <w:szCs w:val="32"/>
          <w:u w:val="none"/>
          <w:lang w:val="zh-CN"/>
        </w:rPr>
        <w:t>。</w:t>
      </w:r>
    </w:p>
    <w:p w14:paraId="7D7501C5">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lang w:val="en-US" w:eastAsia="zh-CN"/>
        </w:rPr>
        <w:t>1</w:t>
      </w:r>
      <w:r>
        <w:rPr>
          <w:rFonts w:hint="default" w:ascii="Times New Roman" w:hAnsi="Times New Roman" w:eastAsia="仿宋_GB2312" w:cs="Times New Roman"/>
          <w:color w:val="auto"/>
          <w:sz w:val="32"/>
          <w:szCs w:val="32"/>
          <w:u w:val="none"/>
        </w:rPr>
        <w:t>.一个安置户的多栋房屋及宅基地被征收的，只分配一宗安置地；同一栋房屋有两个以上的安置户，且无其他宅基地的，每户可分配一宗安置地。</w:t>
      </w:r>
    </w:p>
    <w:p w14:paraId="465865C3">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lang w:val="en-US" w:eastAsia="zh-CN"/>
        </w:rPr>
        <w:t>2</w:t>
      </w:r>
      <w:r>
        <w:rPr>
          <w:rFonts w:hint="default" w:ascii="Times New Roman" w:hAnsi="Times New Roman" w:eastAsia="仿宋_GB2312" w:cs="Times New Roman"/>
          <w:color w:val="auto"/>
          <w:sz w:val="32"/>
          <w:szCs w:val="32"/>
          <w:u w:val="none"/>
        </w:rPr>
        <w:t>.原宅基地面积与安置地面积相等的，不计算差价；原宅基地面积与安置地面积不相等的，按宅基地征收补偿标准</w:t>
      </w:r>
      <w:r>
        <w:rPr>
          <w:rFonts w:hint="default" w:ascii="Times New Roman" w:hAnsi="Times New Roman" w:eastAsia="仿宋_GB2312" w:cs="Times New Roman"/>
          <w:color w:val="auto"/>
          <w:sz w:val="32"/>
          <w:szCs w:val="32"/>
          <w:u w:val="none"/>
          <w:lang w:eastAsia="zh-CN"/>
        </w:rPr>
        <w:t>结算</w:t>
      </w:r>
      <w:r>
        <w:rPr>
          <w:rFonts w:hint="default" w:ascii="Times New Roman" w:hAnsi="Times New Roman" w:eastAsia="仿宋_GB2312" w:cs="Times New Roman"/>
          <w:color w:val="auto"/>
          <w:sz w:val="32"/>
          <w:szCs w:val="32"/>
          <w:u w:val="none"/>
        </w:rPr>
        <w:t>差价。</w:t>
      </w:r>
    </w:p>
    <w:p w14:paraId="12AB4BF3">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u w:val="none"/>
        </w:rPr>
      </w:pPr>
    </w:p>
    <w:p w14:paraId="0D9D2AA6">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第</w:t>
      </w:r>
      <w:r>
        <w:rPr>
          <w:rFonts w:hint="eastAsia" w:ascii="Times New Roman" w:hAnsi="Times New Roman" w:eastAsia="黑体" w:cs="Times New Roman"/>
          <w:b w:val="0"/>
          <w:bCs w:val="0"/>
          <w:sz w:val="32"/>
          <w:szCs w:val="32"/>
          <w:lang w:eastAsia="zh-CN"/>
        </w:rPr>
        <w:t>五</w:t>
      </w:r>
      <w:r>
        <w:rPr>
          <w:rFonts w:hint="default" w:ascii="Times New Roman" w:hAnsi="Times New Roman" w:eastAsia="黑体" w:cs="Times New Roman"/>
          <w:b w:val="0"/>
          <w:bCs w:val="0"/>
          <w:sz w:val="32"/>
          <w:szCs w:val="32"/>
        </w:rPr>
        <w:t>章  优惠政策</w:t>
      </w:r>
    </w:p>
    <w:p w14:paraId="2D1FC300">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b/>
          <w:bCs/>
          <w:color w:val="auto"/>
          <w:sz w:val="32"/>
          <w:szCs w:val="32"/>
        </w:rPr>
        <w:t>第三十</w:t>
      </w:r>
      <w:r>
        <w:rPr>
          <w:rFonts w:hint="default" w:ascii="Times New Roman" w:hAnsi="Times New Roman" w:eastAsia="仿宋_GB2312" w:cs="Times New Roman"/>
          <w:b/>
          <w:bCs/>
          <w:color w:val="auto"/>
          <w:sz w:val="32"/>
          <w:szCs w:val="32"/>
          <w:lang w:val="en-US" w:eastAsia="zh-CN"/>
        </w:rPr>
        <w:t>六</w:t>
      </w:r>
      <w:r>
        <w:rPr>
          <w:rFonts w:hint="default" w:ascii="Times New Roman" w:hAnsi="Times New Roman" w:eastAsia="仿宋_GB2312" w:cs="Times New Roman"/>
          <w:b/>
          <w:bCs/>
          <w:color w:val="auto"/>
          <w:sz w:val="32"/>
          <w:szCs w:val="32"/>
        </w:rPr>
        <w:t>条</w:t>
      </w:r>
      <w:r>
        <w:rPr>
          <w:rFonts w:hint="default" w:ascii="Times New Roman" w:hAnsi="Times New Roman" w:eastAsia="仿宋_GB2312" w:cs="Times New Roman"/>
          <w:b/>
          <w:bCs/>
          <w:color w:val="auto"/>
          <w:sz w:val="32"/>
          <w:szCs w:val="32"/>
          <w:u w:val="none"/>
        </w:rPr>
        <w:t xml:space="preserve"> </w:t>
      </w:r>
      <w:r>
        <w:rPr>
          <w:rFonts w:hint="default" w:ascii="Times New Roman" w:hAnsi="Times New Roman" w:eastAsia="仿宋_GB2312" w:cs="Times New Roman"/>
          <w:color w:val="auto"/>
          <w:sz w:val="32"/>
          <w:szCs w:val="32"/>
          <w:u w:val="none"/>
        </w:rPr>
        <w:t xml:space="preserve"> </w:t>
      </w:r>
      <w:r>
        <w:rPr>
          <w:rFonts w:hint="default" w:ascii="Times New Roman" w:hAnsi="Times New Roman" w:eastAsia="仿宋_GB2312" w:cs="Times New Roman"/>
          <w:bCs/>
          <w:color w:val="auto"/>
          <w:sz w:val="32"/>
          <w:szCs w:val="32"/>
          <w:lang w:eastAsia="zh-CN"/>
        </w:rPr>
        <w:t>积极</w:t>
      </w:r>
      <w:r>
        <w:rPr>
          <w:rFonts w:hint="default" w:ascii="Times New Roman" w:hAnsi="Times New Roman" w:eastAsia="仿宋_GB2312" w:cs="Times New Roman"/>
          <w:bCs/>
          <w:color w:val="auto"/>
          <w:sz w:val="32"/>
          <w:szCs w:val="32"/>
        </w:rPr>
        <w:t>配合</w:t>
      </w:r>
      <w:r>
        <w:rPr>
          <w:rFonts w:hint="default" w:ascii="Times New Roman" w:hAnsi="Times New Roman" w:eastAsia="仿宋_GB2312" w:cs="Times New Roman"/>
          <w:bCs/>
          <w:color w:val="auto"/>
          <w:sz w:val="32"/>
          <w:szCs w:val="32"/>
          <w:lang w:eastAsia="zh-CN"/>
        </w:rPr>
        <w:t>土地征收补偿安置</w:t>
      </w:r>
      <w:r>
        <w:rPr>
          <w:rFonts w:hint="default" w:ascii="Times New Roman" w:hAnsi="Times New Roman" w:eastAsia="仿宋_GB2312" w:cs="Times New Roman"/>
          <w:bCs/>
          <w:color w:val="auto"/>
          <w:sz w:val="32"/>
          <w:szCs w:val="32"/>
        </w:rPr>
        <w:t>工作，</w:t>
      </w:r>
      <w:r>
        <w:rPr>
          <w:rFonts w:hint="default" w:ascii="Times New Roman" w:hAnsi="Times New Roman" w:eastAsia="仿宋_GB2312" w:cs="Times New Roman"/>
          <w:bCs/>
          <w:color w:val="auto"/>
          <w:sz w:val="32"/>
          <w:szCs w:val="32"/>
          <w:lang w:eastAsia="zh-CN"/>
        </w:rPr>
        <w:t>按时</w:t>
      </w:r>
      <w:r>
        <w:rPr>
          <w:rFonts w:hint="default" w:ascii="Times New Roman" w:hAnsi="Times New Roman" w:eastAsia="仿宋_GB2312" w:cs="Times New Roman"/>
          <w:color w:val="auto"/>
          <w:sz w:val="32"/>
          <w:szCs w:val="32"/>
        </w:rPr>
        <w:t>签订《房屋征收补偿安置协议》，在规定时间内完成搬迁腾地，</w:t>
      </w:r>
      <w:r>
        <w:rPr>
          <w:rFonts w:hint="default" w:ascii="Times New Roman" w:hAnsi="Times New Roman" w:eastAsia="仿宋_GB2312" w:cs="Times New Roman"/>
          <w:color w:val="auto"/>
          <w:sz w:val="32"/>
          <w:szCs w:val="32"/>
          <w:lang w:eastAsia="zh-CN"/>
        </w:rPr>
        <w:t>依法进行安置房建设等，</w:t>
      </w:r>
      <w:r>
        <w:rPr>
          <w:rFonts w:hint="default" w:ascii="Times New Roman" w:hAnsi="Times New Roman" w:eastAsia="仿宋_GB2312" w:cs="Times New Roman"/>
          <w:color w:val="auto"/>
          <w:sz w:val="32"/>
          <w:szCs w:val="32"/>
        </w:rPr>
        <w:t>经验收</w:t>
      </w:r>
      <w:r>
        <w:rPr>
          <w:rFonts w:hint="default" w:ascii="Times New Roman" w:hAnsi="Times New Roman" w:eastAsia="仿宋_GB2312" w:cs="Times New Roman"/>
          <w:color w:val="auto"/>
          <w:sz w:val="32"/>
          <w:szCs w:val="32"/>
          <w:lang w:eastAsia="zh-CN"/>
        </w:rPr>
        <w:t>通过的</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eastAsia="zh-CN"/>
        </w:rPr>
        <w:t>按规定</w:t>
      </w:r>
      <w:r>
        <w:rPr>
          <w:rFonts w:hint="default" w:ascii="Times New Roman" w:hAnsi="Times New Roman" w:eastAsia="仿宋_GB2312" w:cs="Times New Roman"/>
          <w:color w:val="auto"/>
          <w:sz w:val="32"/>
          <w:szCs w:val="32"/>
        </w:rPr>
        <w:t>分别给予</w:t>
      </w:r>
      <w:r>
        <w:rPr>
          <w:rFonts w:hint="default" w:ascii="Times New Roman" w:hAnsi="Times New Roman" w:eastAsia="仿宋_GB2312" w:cs="Times New Roman"/>
          <w:color w:val="auto"/>
          <w:sz w:val="32"/>
          <w:szCs w:val="32"/>
          <w:lang w:eastAsia="zh-CN"/>
        </w:rPr>
        <w:t>有关奖补。</w:t>
      </w:r>
    </w:p>
    <w:p w14:paraId="22A22821">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lang w:eastAsia="zh-CN"/>
        </w:rPr>
        <w:t>第三十</w:t>
      </w:r>
      <w:r>
        <w:rPr>
          <w:rFonts w:hint="default" w:ascii="Times New Roman" w:hAnsi="Times New Roman" w:eastAsia="仿宋_GB2312" w:cs="Times New Roman"/>
          <w:b/>
          <w:bCs/>
          <w:color w:val="auto"/>
          <w:sz w:val="32"/>
          <w:szCs w:val="32"/>
          <w:lang w:val="en-US" w:eastAsia="zh-CN"/>
        </w:rPr>
        <w:t>七</w:t>
      </w:r>
      <w:r>
        <w:rPr>
          <w:rFonts w:hint="default" w:ascii="Times New Roman" w:hAnsi="Times New Roman" w:eastAsia="仿宋_GB2312" w:cs="Times New Roman"/>
          <w:b/>
          <w:bCs/>
          <w:color w:val="auto"/>
          <w:sz w:val="32"/>
          <w:szCs w:val="32"/>
          <w:lang w:eastAsia="zh-CN"/>
        </w:rPr>
        <w:t>条</w:t>
      </w:r>
      <w:r>
        <w:rPr>
          <w:rFonts w:hint="default" w:ascii="Times New Roman" w:hAnsi="Times New Roman" w:eastAsia="仿宋_GB2312" w:cs="Times New Roman"/>
          <w:b/>
          <w:bCs/>
          <w:color w:val="auto"/>
          <w:sz w:val="32"/>
          <w:szCs w:val="32"/>
          <w:u w:val="none"/>
        </w:rPr>
        <w:t xml:space="preserve"> </w:t>
      </w:r>
      <w:r>
        <w:rPr>
          <w:rFonts w:hint="default" w:ascii="Times New Roman" w:hAnsi="Times New Roman" w:eastAsia="仿宋_GB2312" w:cs="Times New Roman"/>
          <w:color w:val="auto"/>
          <w:sz w:val="32"/>
          <w:szCs w:val="32"/>
          <w:u w:val="none"/>
        </w:rPr>
        <w:t xml:space="preserve"> </w:t>
      </w:r>
      <w:r>
        <w:rPr>
          <w:rFonts w:hint="default" w:ascii="Times New Roman" w:hAnsi="Times New Roman" w:eastAsia="仿宋_GB2312" w:cs="Times New Roman"/>
          <w:color w:val="auto"/>
          <w:sz w:val="32"/>
          <w:szCs w:val="32"/>
          <w:lang w:eastAsia="zh-CN"/>
        </w:rPr>
        <w:t>因合法住宅房屋被征收，</w:t>
      </w:r>
      <w:r>
        <w:rPr>
          <w:rFonts w:hint="default" w:ascii="Times New Roman" w:hAnsi="Times New Roman" w:eastAsia="仿宋_GB2312" w:cs="Times New Roman"/>
          <w:color w:val="auto"/>
          <w:sz w:val="32"/>
          <w:szCs w:val="32"/>
        </w:rPr>
        <w:t>选择货币安置的</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给予</w:t>
      </w:r>
      <w:r>
        <w:rPr>
          <w:rFonts w:hint="default" w:ascii="Times New Roman" w:hAnsi="Times New Roman" w:eastAsia="仿宋_GB2312" w:cs="Times New Roman"/>
          <w:color w:val="auto"/>
          <w:kern w:val="2"/>
          <w:sz w:val="32"/>
          <w:szCs w:val="32"/>
          <w:vertAlign w:val="baseline"/>
          <w:lang w:val="zh-CN" w:eastAsia="zh-CN" w:bidi="ar-SA"/>
        </w:rPr>
        <w:t>3</w:t>
      </w:r>
      <w:r>
        <w:rPr>
          <w:rFonts w:hint="default" w:ascii="Times New Roman" w:hAnsi="Times New Roman" w:eastAsia="仿宋_GB2312" w:cs="Times New Roman"/>
          <w:bCs/>
          <w:color w:val="auto"/>
          <w:kern w:val="0"/>
          <w:sz w:val="32"/>
          <w:szCs w:val="32"/>
          <w:u w:val="none"/>
          <w:lang w:val="zh-CN"/>
        </w:rPr>
        <w:t>万元/户</w:t>
      </w:r>
      <w:r>
        <w:rPr>
          <w:rFonts w:hint="default" w:ascii="Times New Roman" w:hAnsi="Times New Roman" w:eastAsia="仿宋_GB2312" w:cs="Times New Roman"/>
          <w:color w:val="auto"/>
          <w:sz w:val="32"/>
          <w:szCs w:val="32"/>
          <w:lang w:eastAsia="zh-CN"/>
        </w:rPr>
        <w:t>的货币安置</w:t>
      </w:r>
      <w:r>
        <w:rPr>
          <w:rFonts w:hint="default" w:ascii="Times New Roman" w:hAnsi="Times New Roman" w:eastAsia="仿宋_GB2312" w:cs="Times New Roman"/>
          <w:color w:val="auto"/>
          <w:sz w:val="32"/>
          <w:szCs w:val="32"/>
        </w:rPr>
        <w:t>奖励。</w:t>
      </w:r>
    </w:p>
    <w:p w14:paraId="7C252F3E">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bCs/>
          <w:color w:val="auto"/>
          <w:sz w:val="32"/>
          <w:szCs w:val="32"/>
        </w:rPr>
      </w:pPr>
      <w:r>
        <w:rPr>
          <w:rFonts w:hint="default" w:ascii="Times New Roman" w:hAnsi="Times New Roman" w:eastAsia="仿宋_GB2312" w:cs="Times New Roman"/>
          <w:b/>
          <w:color w:val="auto"/>
          <w:sz w:val="32"/>
          <w:szCs w:val="32"/>
        </w:rPr>
        <w:t>第三十</w:t>
      </w:r>
      <w:r>
        <w:rPr>
          <w:rFonts w:hint="default" w:ascii="Times New Roman" w:hAnsi="Times New Roman" w:eastAsia="仿宋_GB2312" w:cs="Times New Roman"/>
          <w:b/>
          <w:color w:val="auto"/>
          <w:sz w:val="32"/>
          <w:szCs w:val="32"/>
          <w:lang w:val="en-US" w:eastAsia="zh-CN"/>
        </w:rPr>
        <w:t>八</w:t>
      </w:r>
      <w:r>
        <w:rPr>
          <w:rFonts w:hint="default" w:ascii="Times New Roman" w:hAnsi="Times New Roman" w:eastAsia="仿宋_GB2312" w:cs="Times New Roman"/>
          <w:b/>
          <w:color w:val="auto"/>
          <w:sz w:val="32"/>
          <w:szCs w:val="32"/>
        </w:rPr>
        <w:t>条</w:t>
      </w:r>
      <w:r>
        <w:rPr>
          <w:rFonts w:hint="default" w:ascii="Times New Roman" w:hAnsi="Times New Roman" w:eastAsia="仿宋_GB2312" w:cs="Times New Roman"/>
          <w:b/>
          <w:bCs/>
          <w:color w:val="auto"/>
          <w:sz w:val="32"/>
          <w:szCs w:val="32"/>
          <w:u w:val="none"/>
        </w:rPr>
        <w:t xml:space="preserve"> </w:t>
      </w:r>
      <w:r>
        <w:rPr>
          <w:rFonts w:hint="default" w:ascii="Times New Roman" w:hAnsi="Times New Roman" w:eastAsia="仿宋_GB2312" w:cs="Times New Roman"/>
          <w:color w:val="auto"/>
          <w:sz w:val="32"/>
          <w:szCs w:val="32"/>
          <w:u w:val="none"/>
        </w:rPr>
        <w:t xml:space="preserve"> </w:t>
      </w:r>
      <w:r>
        <w:rPr>
          <w:rFonts w:hint="default" w:ascii="Times New Roman" w:hAnsi="Times New Roman" w:eastAsia="仿宋_GB2312" w:cs="Times New Roman"/>
          <w:bCs/>
          <w:color w:val="auto"/>
          <w:sz w:val="32"/>
          <w:szCs w:val="32"/>
          <w:lang w:eastAsia="zh-CN"/>
        </w:rPr>
        <w:t>因合法住宅房屋被征收，</w:t>
      </w:r>
      <w:r>
        <w:rPr>
          <w:rFonts w:hint="default" w:ascii="Times New Roman" w:hAnsi="Times New Roman" w:eastAsia="仿宋_GB2312" w:cs="Times New Roman"/>
          <w:color w:val="auto"/>
          <w:sz w:val="32"/>
          <w:szCs w:val="32"/>
        </w:rPr>
        <w:t>在规定期限内签订征收补偿</w:t>
      </w:r>
      <w:r>
        <w:rPr>
          <w:rFonts w:hint="default" w:ascii="Times New Roman" w:hAnsi="Times New Roman" w:eastAsia="仿宋_GB2312" w:cs="Times New Roman"/>
          <w:color w:val="auto"/>
          <w:sz w:val="32"/>
          <w:szCs w:val="32"/>
          <w:lang w:eastAsia="zh-CN"/>
        </w:rPr>
        <w:t>安置</w:t>
      </w:r>
      <w:r>
        <w:rPr>
          <w:rFonts w:hint="default" w:ascii="Times New Roman" w:hAnsi="Times New Roman" w:eastAsia="仿宋_GB2312" w:cs="Times New Roman"/>
          <w:color w:val="auto"/>
          <w:sz w:val="32"/>
          <w:szCs w:val="32"/>
        </w:rPr>
        <w:t>协议的，按被征收房屋主房建筑面积给予</w:t>
      </w:r>
      <w:r>
        <w:rPr>
          <w:rFonts w:hint="default" w:ascii="Times New Roman" w:hAnsi="Times New Roman" w:eastAsia="仿宋_GB2312" w:cs="Times New Roman"/>
          <w:color w:val="auto"/>
          <w:kern w:val="2"/>
          <w:sz w:val="32"/>
          <w:szCs w:val="32"/>
          <w:vertAlign w:val="baseline"/>
          <w:lang w:val="zh-CN" w:eastAsia="zh-CN" w:bidi="ar-SA"/>
        </w:rPr>
        <w:t>100</w:t>
      </w:r>
      <w:r>
        <w:rPr>
          <w:rFonts w:hint="default" w:ascii="Times New Roman" w:hAnsi="Times New Roman" w:eastAsia="仿宋_GB2312" w:cs="Times New Roman"/>
          <w:color w:val="auto"/>
          <w:sz w:val="32"/>
          <w:szCs w:val="32"/>
        </w:rPr>
        <w:t>元/</w:t>
      </w:r>
      <w:r>
        <w:rPr>
          <w:rFonts w:hint="default" w:ascii="Times New Roman" w:hAnsi="Times New Roman" w:eastAsia="仿宋_GB2312" w:cs="Times New Roman"/>
          <w:bCs/>
          <w:color w:val="auto"/>
          <w:sz w:val="32"/>
          <w:szCs w:val="32"/>
          <w:lang w:eastAsia="zh-CN"/>
        </w:rPr>
        <w:t>平方米</w:t>
      </w:r>
      <w:r>
        <w:rPr>
          <w:rFonts w:hint="default" w:ascii="Times New Roman" w:hAnsi="Times New Roman" w:eastAsia="仿宋_GB2312" w:cs="Times New Roman"/>
          <w:color w:val="auto"/>
          <w:sz w:val="32"/>
          <w:szCs w:val="32"/>
        </w:rPr>
        <w:t>的</w:t>
      </w:r>
      <w:r>
        <w:rPr>
          <w:rFonts w:hint="default" w:ascii="Times New Roman" w:hAnsi="Times New Roman" w:eastAsia="仿宋_GB2312" w:cs="Times New Roman"/>
          <w:color w:val="auto"/>
          <w:sz w:val="32"/>
          <w:szCs w:val="32"/>
          <w:lang w:eastAsia="zh-CN"/>
        </w:rPr>
        <w:t>按时签约</w:t>
      </w:r>
      <w:r>
        <w:rPr>
          <w:rFonts w:hint="default" w:ascii="Times New Roman" w:hAnsi="Times New Roman" w:eastAsia="仿宋_GB2312" w:cs="Times New Roman"/>
          <w:color w:val="auto"/>
          <w:sz w:val="32"/>
          <w:szCs w:val="32"/>
        </w:rPr>
        <w:t>奖励。</w:t>
      </w:r>
    </w:p>
    <w:p w14:paraId="1180473E">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Cs/>
          <w:color w:val="auto"/>
          <w:sz w:val="32"/>
          <w:szCs w:val="32"/>
          <w:lang w:eastAsia="zh-CN"/>
        </w:rPr>
        <w:t>征收补偿安置协议签订后，在</w:t>
      </w:r>
      <w:r>
        <w:rPr>
          <w:rFonts w:hint="default" w:ascii="Times New Roman" w:hAnsi="Times New Roman" w:eastAsia="仿宋_GB2312" w:cs="Times New Roman"/>
          <w:color w:val="auto"/>
          <w:sz w:val="32"/>
          <w:szCs w:val="32"/>
        </w:rPr>
        <w:t>规定期限内</w:t>
      </w:r>
      <w:r>
        <w:rPr>
          <w:rFonts w:hint="default" w:ascii="Times New Roman" w:hAnsi="Times New Roman" w:eastAsia="仿宋_GB2312" w:cs="Times New Roman"/>
          <w:color w:val="auto"/>
          <w:sz w:val="32"/>
          <w:szCs w:val="32"/>
          <w:lang w:eastAsia="zh-CN"/>
        </w:rPr>
        <w:t>完成</w:t>
      </w:r>
      <w:r>
        <w:rPr>
          <w:rFonts w:hint="default" w:ascii="Times New Roman" w:hAnsi="Times New Roman" w:eastAsia="仿宋_GB2312" w:cs="Times New Roman"/>
          <w:color w:val="auto"/>
          <w:sz w:val="32"/>
          <w:szCs w:val="32"/>
        </w:rPr>
        <w:t>腾房搬迁交地</w:t>
      </w:r>
      <w:r>
        <w:rPr>
          <w:rFonts w:hint="default" w:ascii="Times New Roman" w:hAnsi="Times New Roman" w:eastAsia="仿宋_GB2312" w:cs="Times New Roman"/>
          <w:color w:val="auto"/>
          <w:sz w:val="32"/>
          <w:szCs w:val="32"/>
          <w:lang w:eastAsia="zh-CN"/>
        </w:rPr>
        <w:t>的</w:t>
      </w:r>
      <w:r>
        <w:rPr>
          <w:rFonts w:hint="default" w:ascii="Times New Roman" w:hAnsi="Times New Roman" w:eastAsia="仿宋_GB2312" w:cs="Times New Roman"/>
          <w:color w:val="auto"/>
          <w:sz w:val="32"/>
          <w:szCs w:val="32"/>
        </w:rPr>
        <w:t>，按被征收房屋主房建筑面积给予</w:t>
      </w:r>
      <w:r>
        <w:rPr>
          <w:rFonts w:hint="default" w:ascii="Times New Roman" w:hAnsi="Times New Roman" w:eastAsia="仿宋_GB2312" w:cs="Times New Roman"/>
          <w:color w:val="auto"/>
          <w:kern w:val="2"/>
          <w:sz w:val="32"/>
          <w:szCs w:val="32"/>
          <w:vertAlign w:val="baseline"/>
          <w:lang w:val="zh-CN" w:eastAsia="zh-CN" w:bidi="ar-SA"/>
        </w:rPr>
        <w:t>100</w:t>
      </w:r>
      <w:r>
        <w:rPr>
          <w:rFonts w:hint="default" w:ascii="Times New Roman" w:hAnsi="Times New Roman" w:eastAsia="仿宋_GB2312" w:cs="Times New Roman"/>
          <w:color w:val="auto"/>
          <w:sz w:val="32"/>
          <w:szCs w:val="32"/>
        </w:rPr>
        <w:t>元/</w:t>
      </w:r>
      <w:r>
        <w:rPr>
          <w:rFonts w:hint="default" w:ascii="Times New Roman" w:hAnsi="Times New Roman" w:eastAsia="仿宋_GB2312" w:cs="Times New Roman"/>
          <w:bCs/>
          <w:color w:val="auto"/>
          <w:sz w:val="32"/>
          <w:szCs w:val="32"/>
          <w:lang w:eastAsia="zh-CN"/>
        </w:rPr>
        <w:t>平方米</w:t>
      </w:r>
      <w:r>
        <w:rPr>
          <w:rFonts w:hint="default" w:ascii="Times New Roman" w:hAnsi="Times New Roman" w:eastAsia="仿宋_GB2312" w:cs="Times New Roman"/>
          <w:color w:val="auto"/>
          <w:sz w:val="32"/>
          <w:szCs w:val="32"/>
        </w:rPr>
        <w:t>的</w:t>
      </w:r>
      <w:r>
        <w:rPr>
          <w:rFonts w:hint="default" w:ascii="Times New Roman" w:hAnsi="Times New Roman" w:eastAsia="仿宋_GB2312" w:cs="Times New Roman"/>
          <w:color w:val="auto"/>
          <w:sz w:val="32"/>
          <w:szCs w:val="32"/>
          <w:lang w:eastAsia="zh-CN"/>
        </w:rPr>
        <w:t>腾房搬迁</w:t>
      </w:r>
      <w:r>
        <w:rPr>
          <w:rFonts w:hint="default" w:ascii="Times New Roman" w:hAnsi="Times New Roman" w:eastAsia="仿宋_GB2312" w:cs="Times New Roman"/>
          <w:color w:val="auto"/>
          <w:sz w:val="32"/>
          <w:szCs w:val="32"/>
        </w:rPr>
        <w:t>奖励。</w:t>
      </w:r>
    </w:p>
    <w:p w14:paraId="01308342">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color w:val="auto"/>
          <w:sz w:val="32"/>
          <w:szCs w:val="32"/>
          <w:u w:val="single"/>
        </w:rPr>
      </w:pPr>
      <w:r>
        <w:rPr>
          <w:rFonts w:hint="default" w:ascii="Times New Roman" w:hAnsi="Times New Roman" w:eastAsia="仿宋_GB2312" w:cs="Times New Roman"/>
          <w:b/>
          <w:bCs w:val="0"/>
          <w:color w:val="auto"/>
          <w:sz w:val="32"/>
          <w:szCs w:val="32"/>
          <w:lang w:eastAsia="zh-CN"/>
        </w:rPr>
        <w:t>第三十</w:t>
      </w:r>
      <w:r>
        <w:rPr>
          <w:rFonts w:hint="default" w:ascii="Times New Roman" w:hAnsi="Times New Roman" w:eastAsia="仿宋_GB2312" w:cs="Times New Roman"/>
          <w:b/>
          <w:bCs w:val="0"/>
          <w:color w:val="auto"/>
          <w:sz w:val="32"/>
          <w:szCs w:val="32"/>
          <w:lang w:val="en-US" w:eastAsia="zh-CN"/>
        </w:rPr>
        <w:t>九</w:t>
      </w:r>
      <w:r>
        <w:rPr>
          <w:rFonts w:hint="default" w:ascii="Times New Roman" w:hAnsi="Times New Roman" w:eastAsia="仿宋_GB2312" w:cs="Times New Roman"/>
          <w:b/>
          <w:bCs w:val="0"/>
          <w:color w:val="auto"/>
          <w:sz w:val="32"/>
          <w:szCs w:val="32"/>
          <w:lang w:eastAsia="zh-CN"/>
        </w:rPr>
        <w:t>条</w:t>
      </w:r>
      <w:r>
        <w:rPr>
          <w:rFonts w:hint="default" w:ascii="Times New Roman" w:hAnsi="Times New Roman" w:eastAsia="仿宋_GB2312" w:cs="Times New Roman"/>
          <w:b/>
          <w:bCs/>
          <w:color w:val="auto"/>
          <w:sz w:val="32"/>
          <w:szCs w:val="32"/>
          <w:u w:val="none"/>
        </w:rPr>
        <w:t xml:space="preserve"> </w:t>
      </w:r>
      <w:r>
        <w:rPr>
          <w:rFonts w:hint="default" w:ascii="Times New Roman" w:hAnsi="Times New Roman" w:eastAsia="仿宋_GB2312" w:cs="Times New Roman"/>
          <w:color w:val="auto"/>
          <w:sz w:val="32"/>
          <w:szCs w:val="32"/>
          <w:u w:val="none"/>
        </w:rPr>
        <w:t xml:space="preserve"> </w:t>
      </w:r>
      <w:r>
        <w:rPr>
          <w:rFonts w:hint="default" w:ascii="Times New Roman" w:hAnsi="Times New Roman" w:eastAsia="仿宋_GB2312" w:cs="Times New Roman"/>
          <w:bCs/>
          <w:color w:val="auto"/>
          <w:sz w:val="32"/>
          <w:szCs w:val="32"/>
          <w:lang w:eastAsia="zh-CN"/>
        </w:rPr>
        <w:t>因合法住宅房屋被征收，选择</w:t>
      </w:r>
      <w:r>
        <w:rPr>
          <w:rFonts w:hint="default" w:ascii="Times New Roman" w:hAnsi="Times New Roman" w:eastAsia="仿宋_GB2312" w:cs="Times New Roman"/>
          <w:color w:val="auto"/>
          <w:kern w:val="0"/>
          <w:sz w:val="32"/>
          <w:szCs w:val="32"/>
        </w:rPr>
        <w:t>统规自建安置</w:t>
      </w:r>
      <w:r>
        <w:rPr>
          <w:rFonts w:hint="default" w:ascii="Times New Roman" w:hAnsi="Times New Roman" w:eastAsia="仿宋_GB2312" w:cs="Times New Roman"/>
          <w:color w:val="auto"/>
          <w:kern w:val="0"/>
          <w:sz w:val="32"/>
          <w:szCs w:val="32"/>
          <w:lang w:eastAsia="zh-CN"/>
        </w:rPr>
        <w:t>、集中联建安置、分散迁建安置方式，</w:t>
      </w:r>
      <w:r>
        <w:rPr>
          <w:rFonts w:hint="default" w:ascii="Times New Roman" w:hAnsi="Times New Roman" w:eastAsia="仿宋_GB2312" w:cs="Times New Roman"/>
          <w:color w:val="auto"/>
          <w:kern w:val="0"/>
          <w:sz w:val="32"/>
          <w:szCs w:val="32"/>
        </w:rPr>
        <w:t>按照规划设计要求进行建设，经验收合格的，按被征收</w:t>
      </w:r>
      <w:r>
        <w:rPr>
          <w:rFonts w:hint="default" w:ascii="Times New Roman" w:hAnsi="Times New Roman" w:eastAsia="仿宋_GB2312" w:cs="Times New Roman"/>
          <w:color w:val="auto"/>
          <w:sz w:val="32"/>
          <w:szCs w:val="32"/>
          <w:lang w:eastAsia="zh-CN"/>
        </w:rPr>
        <w:t>房屋主房建筑</w:t>
      </w:r>
      <w:r>
        <w:rPr>
          <w:rFonts w:hint="default" w:ascii="Times New Roman" w:hAnsi="Times New Roman" w:eastAsia="仿宋_GB2312" w:cs="Times New Roman"/>
          <w:color w:val="auto"/>
          <w:kern w:val="0"/>
          <w:sz w:val="32"/>
          <w:szCs w:val="32"/>
        </w:rPr>
        <w:t>面积给予</w:t>
      </w:r>
      <w:r>
        <w:rPr>
          <w:rFonts w:hint="default" w:ascii="Times New Roman" w:hAnsi="Times New Roman" w:eastAsia="仿宋_GB2312" w:cs="Times New Roman"/>
          <w:color w:val="auto"/>
          <w:kern w:val="2"/>
          <w:sz w:val="32"/>
          <w:szCs w:val="32"/>
          <w:vertAlign w:val="baseline"/>
          <w:lang w:val="zh-CN" w:eastAsia="zh-CN" w:bidi="ar-SA"/>
        </w:rPr>
        <w:t>100</w:t>
      </w:r>
      <w:r>
        <w:rPr>
          <w:rFonts w:hint="default" w:ascii="Times New Roman" w:hAnsi="Times New Roman" w:eastAsia="仿宋_GB2312" w:cs="Times New Roman"/>
          <w:color w:val="auto"/>
          <w:kern w:val="0"/>
          <w:sz w:val="32"/>
          <w:szCs w:val="32"/>
        </w:rPr>
        <w:t>元/</w:t>
      </w:r>
      <w:r>
        <w:rPr>
          <w:rFonts w:hint="default" w:ascii="Times New Roman" w:hAnsi="Times New Roman" w:eastAsia="仿宋_GB2312" w:cs="Times New Roman"/>
          <w:bCs/>
          <w:color w:val="auto"/>
          <w:sz w:val="32"/>
          <w:szCs w:val="32"/>
          <w:lang w:eastAsia="zh-CN"/>
        </w:rPr>
        <w:t>平方米</w:t>
      </w:r>
      <w:r>
        <w:rPr>
          <w:rFonts w:hint="default" w:ascii="Times New Roman" w:hAnsi="Times New Roman" w:eastAsia="仿宋_GB2312" w:cs="Times New Roman"/>
          <w:color w:val="auto"/>
          <w:kern w:val="0"/>
          <w:sz w:val="32"/>
          <w:szCs w:val="32"/>
        </w:rPr>
        <w:t>的执行规划奖励。</w:t>
      </w:r>
      <w:r>
        <w:rPr>
          <w:rFonts w:hint="default" w:ascii="Times New Roman" w:hAnsi="Times New Roman" w:eastAsia="仿宋_GB2312" w:cs="Times New Roman"/>
          <w:color w:val="auto"/>
          <w:kern w:val="0"/>
          <w:sz w:val="32"/>
          <w:szCs w:val="32"/>
          <w:u w:val="none"/>
          <w:lang w:eastAsia="zh-CN"/>
        </w:rPr>
        <w:t>但</w:t>
      </w:r>
      <w:r>
        <w:rPr>
          <w:rFonts w:hint="default" w:ascii="Times New Roman" w:hAnsi="Times New Roman" w:eastAsia="仿宋_GB2312" w:cs="Times New Roman"/>
          <w:color w:val="auto"/>
          <w:sz w:val="32"/>
          <w:szCs w:val="32"/>
          <w:u w:val="none"/>
        </w:rPr>
        <w:t>从安置地交付之日起，两年内未建成的，</w:t>
      </w:r>
      <w:r>
        <w:rPr>
          <w:rFonts w:hint="default" w:ascii="Times New Roman" w:hAnsi="Times New Roman" w:eastAsia="仿宋_GB2312" w:cs="Times New Roman"/>
          <w:color w:val="auto"/>
          <w:sz w:val="32"/>
          <w:szCs w:val="32"/>
          <w:u w:val="none"/>
          <w:lang w:eastAsia="zh-CN"/>
        </w:rPr>
        <w:t>不再给予</w:t>
      </w:r>
      <w:r>
        <w:rPr>
          <w:rFonts w:hint="default" w:ascii="Times New Roman" w:hAnsi="Times New Roman" w:eastAsia="仿宋_GB2312" w:cs="Times New Roman"/>
          <w:color w:val="auto"/>
          <w:sz w:val="32"/>
          <w:szCs w:val="32"/>
          <w:u w:val="none"/>
        </w:rPr>
        <w:t>执行规划</w:t>
      </w:r>
      <w:r>
        <w:rPr>
          <w:rFonts w:hint="default" w:ascii="Times New Roman" w:hAnsi="Times New Roman" w:eastAsia="仿宋_GB2312" w:cs="Times New Roman"/>
          <w:color w:val="auto"/>
          <w:sz w:val="32"/>
          <w:szCs w:val="32"/>
          <w:u w:val="none"/>
          <w:lang w:eastAsia="zh-CN"/>
        </w:rPr>
        <w:t>奖励</w:t>
      </w:r>
      <w:r>
        <w:rPr>
          <w:rFonts w:hint="default" w:ascii="Times New Roman" w:hAnsi="Times New Roman" w:eastAsia="仿宋_GB2312" w:cs="Times New Roman"/>
          <w:color w:val="auto"/>
          <w:sz w:val="32"/>
          <w:szCs w:val="32"/>
          <w:u w:val="none"/>
        </w:rPr>
        <w:t>。</w:t>
      </w:r>
    </w:p>
    <w:p w14:paraId="2794C472">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eastAsia="zh-CN"/>
        </w:rPr>
        <w:t>第</w:t>
      </w:r>
      <w:r>
        <w:rPr>
          <w:rFonts w:hint="default" w:ascii="Times New Roman" w:hAnsi="Times New Roman" w:eastAsia="仿宋_GB2312" w:cs="Times New Roman"/>
          <w:b/>
          <w:bCs/>
          <w:color w:val="auto"/>
          <w:sz w:val="32"/>
          <w:szCs w:val="32"/>
          <w:lang w:val="en-US" w:eastAsia="zh-CN"/>
        </w:rPr>
        <w:t>四十</w:t>
      </w:r>
      <w:r>
        <w:rPr>
          <w:rFonts w:hint="default" w:ascii="Times New Roman" w:hAnsi="Times New Roman" w:eastAsia="仿宋_GB2312" w:cs="Times New Roman"/>
          <w:b/>
          <w:bCs/>
          <w:color w:val="auto"/>
          <w:sz w:val="32"/>
          <w:szCs w:val="32"/>
          <w:lang w:eastAsia="zh-CN"/>
        </w:rPr>
        <w:t>条</w:t>
      </w:r>
      <w:r>
        <w:rPr>
          <w:rFonts w:hint="default" w:ascii="Times New Roman" w:hAnsi="Times New Roman" w:eastAsia="仿宋_GB2312" w:cs="Times New Roman"/>
          <w:b/>
          <w:bCs/>
          <w:color w:val="auto"/>
          <w:sz w:val="32"/>
          <w:szCs w:val="32"/>
          <w:u w:val="none"/>
        </w:rPr>
        <w:t xml:space="preserve"> </w:t>
      </w:r>
      <w:r>
        <w:rPr>
          <w:rFonts w:hint="default" w:ascii="Times New Roman" w:hAnsi="Times New Roman" w:eastAsia="仿宋_GB2312" w:cs="Times New Roman"/>
          <w:color w:val="auto"/>
          <w:sz w:val="32"/>
          <w:szCs w:val="32"/>
          <w:u w:val="none"/>
        </w:rPr>
        <w:t xml:space="preserve"> </w:t>
      </w:r>
      <w:r>
        <w:rPr>
          <w:rFonts w:hint="default" w:ascii="Times New Roman" w:hAnsi="Times New Roman" w:eastAsia="仿宋_GB2312" w:cs="Times New Roman"/>
          <w:color w:val="auto"/>
          <w:sz w:val="32"/>
          <w:szCs w:val="32"/>
          <w:lang w:val="en-US" w:eastAsia="zh-CN"/>
        </w:rPr>
        <w:t>在县城规划区外，</w:t>
      </w:r>
      <w:r>
        <w:rPr>
          <w:rFonts w:hint="default" w:ascii="Times New Roman" w:hAnsi="Times New Roman" w:eastAsia="仿宋_GB2312" w:cs="Times New Roman"/>
          <w:bCs/>
          <w:color w:val="auto"/>
          <w:sz w:val="32"/>
          <w:szCs w:val="32"/>
          <w:lang w:eastAsia="zh-CN"/>
        </w:rPr>
        <w:t>因合法住宅房屋被征收，选择</w:t>
      </w:r>
      <w:r>
        <w:rPr>
          <w:rFonts w:hint="default" w:ascii="Times New Roman" w:hAnsi="Times New Roman" w:eastAsia="仿宋_GB2312" w:cs="Times New Roman"/>
          <w:color w:val="auto"/>
          <w:sz w:val="32"/>
          <w:szCs w:val="32"/>
        </w:rPr>
        <w:t>分散迁建</w:t>
      </w:r>
      <w:r>
        <w:rPr>
          <w:rFonts w:hint="default" w:ascii="Times New Roman" w:hAnsi="Times New Roman" w:eastAsia="仿宋_GB2312" w:cs="Times New Roman"/>
          <w:color w:val="auto"/>
          <w:sz w:val="32"/>
          <w:szCs w:val="32"/>
          <w:lang w:eastAsia="zh-CN"/>
        </w:rPr>
        <w:t>安置，</w:t>
      </w:r>
      <w:r>
        <w:rPr>
          <w:rFonts w:hint="default" w:ascii="Times New Roman" w:hAnsi="Times New Roman" w:eastAsia="仿宋_GB2312" w:cs="Times New Roman"/>
          <w:color w:val="auto"/>
          <w:sz w:val="32"/>
          <w:szCs w:val="32"/>
        </w:rPr>
        <w:t>并自备</w:t>
      </w:r>
      <w:r>
        <w:rPr>
          <w:rFonts w:hint="default" w:ascii="Times New Roman" w:hAnsi="Times New Roman" w:eastAsia="仿宋_GB2312" w:cs="Times New Roman"/>
          <w:color w:val="auto"/>
          <w:sz w:val="32"/>
          <w:szCs w:val="32"/>
          <w:lang w:eastAsia="zh-CN"/>
        </w:rPr>
        <w:t>宅基地</w:t>
      </w:r>
      <w:r>
        <w:rPr>
          <w:rFonts w:hint="default" w:ascii="Times New Roman" w:hAnsi="Times New Roman" w:eastAsia="仿宋_GB2312" w:cs="Times New Roman"/>
          <w:color w:val="auto"/>
          <w:sz w:val="32"/>
          <w:szCs w:val="32"/>
        </w:rPr>
        <w:t>建房的</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给予</w:t>
      </w:r>
      <w:r>
        <w:rPr>
          <w:rFonts w:hint="default" w:ascii="Times New Roman" w:hAnsi="Times New Roman" w:eastAsia="仿宋_GB2312" w:cs="Times New Roman"/>
          <w:color w:val="auto"/>
          <w:kern w:val="2"/>
          <w:sz w:val="32"/>
          <w:szCs w:val="32"/>
          <w:vertAlign w:val="baseline"/>
          <w:lang w:val="zh-CN" w:eastAsia="zh-CN" w:bidi="ar-SA"/>
        </w:rPr>
        <w:t>3</w:t>
      </w:r>
      <w:r>
        <w:rPr>
          <w:rFonts w:hint="default" w:ascii="Times New Roman" w:hAnsi="Times New Roman" w:eastAsia="仿宋_GB2312" w:cs="Times New Roman"/>
          <w:bCs/>
          <w:color w:val="auto"/>
          <w:kern w:val="0"/>
          <w:sz w:val="32"/>
          <w:szCs w:val="32"/>
          <w:u w:val="none"/>
          <w:lang w:val="zh-CN"/>
        </w:rPr>
        <w:t>万元/户</w:t>
      </w:r>
      <w:r>
        <w:rPr>
          <w:rFonts w:hint="default" w:ascii="Times New Roman" w:hAnsi="Times New Roman" w:eastAsia="仿宋_GB2312" w:cs="Times New Roman"/>
          <w:color w:val="auto"/>
          <w:sz w:val="32"/>
          <w:szCs w:val="32"/>
          <w:lang w:eastAsia="zh-CN"/>
        </w:rPr>
        <w:t>的自备宅基地</w:t>
      </w:r>
      <w:r>
        <w:rPr>
          <w:rFonts w:hint="default" w:ascii="Times New Roman" w:hAnsi="Times New Roman" w:eastAsia="仿宋_GB2312" w:cs="Times New Roman"/>
          <w:color w:val="auto"/>
          <w:sz w:val="32"/>
          <w:szCs w:val="32"/>
        </w:rPr>
        <w:t>奖励。</w:t>
      </w:r>
    </w:p>
    <w:p w14:paraId="530E3654">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color w:val="auto"/>
          <w:sz w:val="32"/>
          <w:szCs w:val="32"/>
          <w:u w:val="none"/>
          <w:lang w:eastAsia="zh-CN"/>
        </w:rPr>
      </w:pPr>
      <w:r>
        <w:rPr>
          <w:rFonts w:hint="default" w:ascii="Times New Roman" w:hAnsi="Times New Roman" w:eastAsia="仿宋_GB2312" w:cs="Times New Roman"/>
          <w:b/>
          <w:bCs/>
          <w:color w:val="auto"/>
          <w:sz w:val="32"/>
          <w:szCs w:val="32"/>
          <w:lang w:eastAsia="zh-CN"/>
        </w:rPr>
        <w:t>第</w:t>
      </w:r>
      <w:r>
        <w:rPr>
          <w:rFonts w:hint="default" w:ascii="Times New Roman" w:hAnsi="Times New Roman" w:eastAsia="仿宋_GB2312" w:cs="Times New Roman"/>
          <w:b/>
          <w:bCs/>
          <w:color w:val="auto"/>
          <w:sz w:val="32"/>
          <w:szCs w:val="32"/>
          <w:lang w:val="en-US" w:eastAsia="zh-CN"/>
        </w:rPr>
        <w:t>四十一</w:t>
      </w:r>
      <w:r>
        <w:rPr>
          <w:rFonts w:hint="default" w:ascii="Times New Roman" w:hAnsi="Times New Roman" w:eastAsia="仿宋_GB2312" w:cs="Times New Roman"/>
          <w:b/>
          <w:bCs/>
          <w:color w:val="auto"/>
          <w:sz w:val="32"/>
          <w:szCs w:val="32"/>
          <w:lang w:eastAsia="zh-CN"/>
        </w:rPr>
        <w:t>条</w:t>
      </w:r>
      <w:r>
        <w:rPr>
          <w:rFonts w:hint="default" w:ascii="Times New Roman" w:hAnsi="Times New Roman" w:eastAsia="仿宋_GB2312" w:cs="Times New Roman"/>
          <w:b/>
          <w:bCs/>
          <w:color w:val="auto"/>
          <w:sz w:val="32"/>
          <w:szCs w:val="32"/>
        </w:rPr>
        <w:t xml:space="preserve"> </w:t>
      </w:r>
      <w:r>
        <w:rPr>
          <w:rFonts w:hint="default" w:ascii="Times New Roman" w:hAnsi="Times New Roman" w:eastAsia="仿宋_GB2312" w:cs="Times New Roman"/>
          <w:color w:val="auto"/>
          <w:sz w:val="32"/>
          <w:szCs w:val="32"/>
        </w:rPr>
        <w:t xml:space="preserve"> </w:t>
      </w:r>
      <w:r>
        <w:rPr>
          <w:rFonts w:hint="default" w:ascii="Times New Roman" w:hAnsi="Times New Roman" w:eastAsia="仿宋_GB2312" w:cs="Times New Roman"/>
          <w:bCs/>
          <w:color w:val="auto"/>
          <w:sz w:val="32"/>
          <w:szCs w:val="32"/>
          <w:lang w:eastAsia="zh-CN"/>
        </w:rPr>
        <w:t>因合法住宅房屋被征收，在规定期限内签订补偿安置协议，</w:t>
      </w:r>
      <w:r>
        <w:rPr>
          <w:rFonts w:hint="default" w:ascii="Times New Roman" w:hAnsi="Times New Roman" w:eastAsia="仿宋_GB2312" w:cs="Times New Roman"/>
          <w:color w:val="auto"/>
          <w:sz w:val="32"/>
          <w:szCs w:val="32"/>
        </w:rPr>
        <w:t>因重大疾病、丧失劳动能力</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突发重大意外事故</w:t>
      </w:r>
      <w:r>
        <w:rPr>
          <w:rFonts w:hint="default" w:ascii="Times New Roman" w:hAnsi="Times New Roman" w:eastAsia="仿宋_GB2312" w:cs="Times New Roman"/>
          <w:color w:val="auto"/>
          <w:sz w:val="32"/>
          <w:szCs w:val="32"/>
          <w:lang w:eastAsia="zh-CN"/>
        </w:rPr>
        <w:t>或</w:t>
      </w:r>
      <w:r>
        <w:rPr>
          <w:rFonts w:hint="default" w:ascii="Times New Roman" w:hAnsi="Times New Roman" w:eastAsia="仿宋_GB2312" w:cs="Times New Roman"/>
          <w:color w:val="auto"/>
          <w:sz w:val="32"/>
          <w:szCs w:val="32"/>
        </w:rPr>
        <w:t>遭受重大自然灾害等情况，确有搬迁困难的，经</w:t>
      </w:r>
      <w:r>
        <w:rPr>
          <w:rFonts w:hint="default" w:ascii="Times New Roman" w:hAnsi="Times New Roman" w:eastAsia="仿宋_GB2312" w:cs="Times New Roman"/>
          <w:color w:val="auto"/>
          <w:sz w:val="32"/>
          <w:szCs w:val="32"/>
          <w:lang w:eastAsia="zh-CN"/>
        </w:rPr>
        <w:t>所</w:t>
      </w:r>
      <w:r>
        <w:rPr>
          <w:rFonts w:hint="default" w:ascii="Times New Roman" w:hAnsi="Times New Roman" w:eastAsia="仿宋_GB2312" w:cs="Times New Roman"/>
          <w:color w:val="auto"/>
          <w:sz w:val="32"/>
          <w:szCs w:val="32"/>
        </w:rPr>
        <w:t>在地的乡镇人民政府</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房</w:t>
      </w:r>
      <w:r>
        <w:rPr>
          <w:rFonts w:hint="default" w:ascii="Times New Roman" w:hAnsi="Times New Roman" w:eastAsia="仿宋_GB2312" w:cs="Times New Roman"/>
          <w:color w:val="auto"/>
          <w:sz w:val="32"/>
          <w:szCs w:val="32"/>
          <w:u w:val="none"/>
        </w:rPr>
        <w:t>屋征收实施</w:t>
      </w:r>
      <w:r>
        <w:rPr>
          <w:rFonts w:hint="default" w:ascii="Times New Roman" w:hAnsi="Times New Roman" w:eastAsia="仿宋_GB2312" w:cs="Times New Roman"/>
          <w:color w:val="auto"/>
          <w:sz w:val="32"/>
          <w:szCs w:val="32"/>
          <w:u w:val="none"/>
          <w:lang w:eastAsia="zh-CN"/>
        </w:rPr>
        <w:t>机构</w:t>
      </w:r>
      <w:r>
        <w:rPr>
          <w:rFonts w:hint="default" w:ascii="Times New Roman" w:hAnsi="Times New Roman" w:eastAsia="仿宋_GB2312" w:cs="Times New Roman"/>
          <w:color w:val="auto"/>
          <w:sz w:val="32"/>
          <w:szCs w:val="32"/>
          <w:u w:val="none"/>
        </w:rPr>
        <w:t>、民政等部门核实</w:t>
      </w:r>
      <w:r>
        <w:rPr>
          <w:rFonts w:hint="default" w:ascii="Times New Roman" w:hAnsi="Times New Roman" w:eastAsia="仿宋_GB2312" w:cs="Times New Roman"/>
          <w:color w:val="auto"/>
          <w:sz w:val="32"/>
          <w:szCs w:val="32"/>
          <w:u w:val="none"/>
          <w:lang w:eastAsia="zh-CN"/>
        </w:rPr>
        <w:t>后</w:t>
      </w:r>
      <w:r>
        <w:rPr>
          <w:rFonts w:hint="default" w:ascii="Times New Roman" w:hAnsi="Times New Roman" w:eastAsia="仿宋_GB2312" w:cs="Times New Roman"/>
          <w:color w:val="auto"/>
          <w:sz w:val="32"/>
          <w:szCs w:val="32"/>
          <w:u w:val="none"/>
        </w:rPr>
        <w:t>，由房屋征收部门</w:t>
      </w:r>
      <w:r>
        <w:rPr>
          <w:rFonts w:hint="default" w:ascii="Times New Roman" w:hAnsi="Times New Roman" w:eastAsia="仿宋_GB2312" w:cs="Times New Roman"/>
          <w:color w:val="auto"/>
          <w:sz w:val="32"/>
          <w:szCs w:val="32"/>
          <w:u w:val="none"/>
          <w:lang w:eastAsia="zh-CN"/>
        </w:rPr>
        <w:t>按下列规定给予</w:t>
      </w:r>
      <w:r>
        <w:rPr>
          <w:rFonts w:hint="default" w:ascii="Times New Roman" w:hAnsi="Times New Roman" w:eastAsia="仿宋_GB2312" w:cs="Times New Roman"/>
          <w:color w:val="auto"/>
          <w:sz w:val="32"/>
          <w:szCs w:val="32"/>
          <w:u w:val="none"/>
        </w:rPr>
        <w:t>搬迁困难补助</w:t>
      </w:r>
      <w:r>
        <w:rPr>
          <w:rFonts w:hint="default" w:ascii="Times New Roman" w:hAnsi="Times New Roman" w:eastAsia="仿宋_GB2312" w:cs="Times New Roman"/>
          <w:color w:val="auto"/>
          <w:sz w:val="32"/>
          <w:szCs w:val="32"/>
          <w:u w:val="none"/>
          <w:lang w:eastAsia="zh-CN"/>
        </w:rPr>
        <w:t>：</w:t>
      </w:r>
    </w:p>
    <w:p w14:paraId="078934F7">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u w:val="none"/>
          <w:lang w:eastAsia="zh-CN"/>
        </w:rPr>
        <w:t>（一）被征收户安置对象</w:t>
      </w:r>
      <w:r>
        <w:rPr>
          <w:rFonts w:hint="default" w:ascii="Times New Roman" w:hAnsi="Times New Roman" w:eastAsia="仿宋_GB2312" w:cs="Times New Roman"/>
          <w:color w:val="auto"/>
          <w:sz w:val="32"/>
          <w:szCs w:val="32"/>
          <w:u w:val="none"/>
        </w:rPr>
        <w:t>患有下列</w:t>
      </w:r>
      <w:r>
        <w:rPr>
          <w:rFonts w:hint="default" w:ascii="Times New Roman" w:hAnsi="Times New Roman" w:eastAsia="仿宋_GB2312" w:cs="Times New Roman"/>
          <w:color w:val="auto"/>
          <w:sz w:val="32"/>
          <w:szCs w:val="32"/>
        </w:rPr>
        <w:t>重大疾病</w:t>
      </w:r>
      <w:r>
        <w:rPr>
          <w:rFonts w:hint="default" w:ascii="Times New Roman" w:hAnsi="Times New Roman" w:eastAsia="仿宋_GB2312" w:cs="Times New Roman"/>
          <w:color w:val="auto"/>
          <w:sz w:val="32"/>
          <w:szCs w:val="32"/>
          <w:lang w:eastAsia="zh-CN"/>
        </w:rPr>
        <w:t>之一</w:t>
      </w:r>
      <w:r>
        <w:rPr>
          <w:rFonts w:hint="default" w:ascii="Times New Roman" w:hAnsi="Times New Roman" w:eastAsia="仿宋_GB2312" w:cs="Times New Roman"/>
          <w:color w:val="auto"/>
          <w:sz w:val="32"/>
          <w:szCs w:val="32"/>
        </w:rPr>
        <w:t>，经二级甲等以上医院诊断并出具疾病证明</w:t>
      </w:r>
      <w:r>
        <w:rPr>
          <w:rFonts w:hint="default" w:ascii="Times New Roman" w:hAnsi="Times New Roman" w:eastAsia="仿宋_GB2312" w:cs="Times New Roman"/>
          <w:color w:val="auto"/>
          <w:sz w:val="32"/>
          <w:szCs w:val="32"/>
          <w:lang w:eastAsia="zh-CN"/>
        </w:rPr>
        <w:t>的</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eastAsia="zh-CN"/>
        </w:rPr>
        <w:t>每户</w:t>
      </w:r>
      <w:r>
        <w:rPr>
          <w:rFonts w:hint="default" w:ascii="Times New Roman" w:hAnsi="Times New Roman" w:eastAsia="仿宋_GB2312" w:cs="Times New Roman"/>
          <w:color w:val="auto"/>
          <w:sz w:val="32"/>
          <w:szCs w:val="32"/>
        </w:rPr>
        <w:t>给予</w:t>
      </w:r>
      <w:r>
        <w:rPr>
          <w:rFonts w:hint="default" w:ascii="Times New Roman" w:hAnsi="Times New Roman" w:eastAsia="仿宋_GB2312" w:cs="Times New Roman"/>
          <w:color w:val="auto"/>
          <w:kern w:val="2"/>
          <w:sz w:val="32"/>
          <w:szCs w:val="32"/>
          <w:vertAlign w:val="baseline"/>
          <w:lang w:val="zh-CN" w:eastAsia="zh-CN" w:bidi="ar-SA"/>
        </w:rPr>
        <w:t>10000</w:t>
      </w:r>
      <w:r>
        <w:rPr>
          <w:rFonts w:hint="default" w:ascii="Times New Roman" w:hAnsi="Times New Roman" w:eastAsia="仿宋_GB2312" w:cs="Times New Roman"/>
          <w:color w:val="auto"/>
          <w:sz w:val="32"/>
          <w:szCs w:val="32"/>
        </w:rPr>
        <w:t>元补助</w:t>
      </w:r>
      <w:r>
        <w:rPr>
          <w:rFonts w:hint="default" w:ascii="Times New Roman" w:hAnsi="Times New Roman" w:eastAsia="仿宋_GB2312" w:cs="Times New Roman"/>
          <w:color w:val="auto"/>
          <w:sz w:val="32"/>
          <w:szCs w:val="32"/>
          <w:lang w:eastAsia="zh-CN"/>
        </w:rPr>
        <w:t>：</w:t>
      </w:r>
    </w:p>
    <w:p w14:paraId="58B8878E">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系统性红斑狼疮并发肾功能损害、终末期肾病（慢性肾功能衰竭尿毒症期）；</w:t>
      </w:r>
    </w:p>
    <w:p w14:paraId="6854D79D">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恶性肿瘤；</w:t>
      </w:r>
    </w:p>
    <w:p w14:paraId="46585BD0">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严重传染性肝炎、中晚期慢性重型肝炎及并发症；</w:t>
      </w:r>
    </w:p>
    <w:p w14:paraId="3223F3E3">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4.</w:t>
      </w:r>
      <w:r>
        <w:rPr>
          <w:rFonts w:hint="default" w:ascii="Times New Roman" w:hAnsi="Times New Roman" w:eastAsia="仿宋_GB2312" w:cs="Times New Roman"/>
          <w:color w:val="auto"/>
          <w:sz w:val="32"/>
          <w:szCs w:val="32"/>
        </w:rPr>
        <w:t>急性白血病、重型再生障碍性贫血；</w:t>
      </w:r>
    </w:p>
    <w:p w14:paraId="7D0F41EC">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急性心力衰竭和心肌梗塞、风湿热导致的心脏瓣膜疾病；</w:t>
      </w:r>
    </w:p>
    <w:p w14:paraId="14A299D4">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rPr>
        <w:t>脑中风后遗症。</w:t>
      </w:r>
    </w:p>
    <w:p w14:paraId="6C28208B">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lang w:eastAsia="zh-CN"/>
        </w:rPr>
        <w:t>（二）被征收户安置对象中主要劳动力</w:t>
      </w:r>
      <w:r>
        <w:rPr>
          <w:rFonts w:hint="default" w:ascii="Times New Roman" w:hAnsi="Times New Roman" w:eastAsia="仿宋_GB2312" w:cs="Times New Roman"/>
          <w:color w:val="auto"/>
          <w:sz w:val="32"/>
          <w:szCs w:val="32"/>
          <w:u w:val="none"/>
        </w:rPr>
        <w:t>因伤残丧失劳动能力，经司法鉴定机构、人力资源和社会保障部门认定或残疾人联合会出具证明，属</w:t>
      </w:r>
      <w:r>
        <w:rPr>
          <w:rFonts w:hint="default" w:ascii="Times New Roman" w:hAnsi="Times New Roman" w:eastAsia="仿宋_GB2312" w:cs="Times New Roman"/>
          <w:color w:val="auto"/>
          <w:kern w:val="2"/>
          <w:sz w:val="32"/>
          <w:szCs w:val="32"/>
          <w:vertAlign w:val="baseline"/>
          <w:lang w:val="zh-CN" w:eastAsia="zh-CN" w:bidi="ar-SA"/>
        </w:rPr>
        <w:t>1-4</w:t>
      </w:r>
      <w:r>
        <w:rPr>
          <w:rFonts w:hint="default" w:ascii="Times New Roman" w:hAnsi="Times New Roman" w:eastAsia="仿宋_GB2312" w:cs="Times New Roman"/>
          <w:color w:val="auto"/>
          <w:sz w:val="32"/>
          <w:szCs w:val="32"/>
          <w:u w:val="none"/>
        </w:rPr>
        <w:t>级伤残的</w:t>
      </w:r>
      <w:r>
        <w:rPr>
          <w:rFonts w:hint="default" w:ascii="Times New Roman" w:hAnsi="Times New Roman" w:eastAsia="仿宋_GB2312" w:cs="Times New Roman"/>
          <w:color w:val="auto"/>
          <w:sz w:val="32"/>
          <w:szCs w:val="32"/>
          <w:u w:val="none"/>
          <w:lang w:eastAsia="zh-CN"/>
        </w:rPr>
        <w:t>，每户</w:t>
      </w:r>
      <w:r>
        <w:rPr>
          <w:rFonts w:hint="default" w:ascii="Times New Roman" w:hAnsi="Times New Roman" w:eastAsia="仿宋_GB2312" w:cs="Times New Roman"/>
          <w:color w:val="auto"/>
          <w:sz w:val="32"/>
          <w:szCs w:val="32"/>
          <w:u w:val="none"/>
        </w:rPr>
        <w:t>给予</w:t>
      </w:r>
      <w:r>
        <w:rPr>
          <w:rFonts w:hint="default" w:ascii="Times New Roman" w:hAnsi="Times New Roman" w:eastAsia="仿宋_GB2312" w:cs="Times New Roman"/>
          <w:color w:val="auto"/>
          <w:kern w:val="2"/>
          <w:sz w:val="32"/>
          <w:szCs w:val="32"/>
          <w:vertAlign w:val="baseline"/>
          <w:lang w:val="zh-CN" w:eastAsia="zh-CN" w:bidi="ar-SA"/>
        </w:rPr>
        <w:t>10000</w:t>
      </w:r>
      <w:r>
        <w:rPr>
          <w:rFonts w:hint="default" w:ascii="Times New Roman" w:hAnsi="Times New Roman" w:eastAsia="仿宋_GB2312" w:cs="Times New Roman"/>
          <w:color w:val="auto"/>
          <w:sz w:val="32"/>
          <w:szCs w:val="32"/>
          <w:u w:val="none"/>
        </w:rPr>
        <w:t>元补助</w:t>
      </w:r>
      <w:r>
        <w:rPr>
          <w:rFonts w:hint="default" w:ascii="Times New Roman" w:hAnsi="Times New Roman" w:eastAsia="仿宋_GB2312" w:cs="Times New Roman"/>
          <w:color w:val="auto"/>
          <w:sz w:val="32"/>
          <w:szCs w:val="32"/>
          <w:u w:val="none"/>
          <w:lang w:eastAsia="zh-CN"/>
        </w:rPr>
        <w:t>；</w:t>
      </w:r>
      <w:r>
        <w:rPr>
          <w:rFonts w:hint="default" w:ascii="Times New Roman" w:hAnsi="Times New Roman" w:eastAsia="仿宋_GB2312" w:cs="Times New Roman"/>
          <w:color w:val="auto"/>
          <w:sz w:val="32"/>
          <w:szCs w:val="32"/>
          <w:u w:val="none"/>
        </w:rPr>
        <w:t>属</w:t>
      </w:r>
      <w:r>
        <w:rPr>
          <w:rFonts w:hint="default" w:ascii="Times New Roman" w:hAnsi="Times New Roman" w:eastAsia="仿宋_GB2312" w:cs="Times New Roman"/>
          <w:color w:val="auto"/>
          <w:kern w:val="2"/>
          <w:sz w:val="32"/>
          <w:szCs w:val="32"/>
          <w:vertAlign w:val="baseline"/>
          <w:lang w:val="zh-CN" w:eastAsia="zh-CN" w:bidi="ar-SA"/>
        </w:rPr>
        <w:t>5-7</w:t>
      </w:r>
      <w:r>
        <w:rPr>
          <w:rFonts w:hint="default" w:ascii="Times New Roman" w:hAnsi="Times New Roman" w:eastAsia="仿宋_GB2312" w:cs="Times New Roman"/>
          <w:color w:val="auto"/>
          <w:sz w:val="32"/>
          <w:szCs w:val="32"/>
          <w:u w:val="none"/>
        </w:rPr>
        <w:t>级伤残的</w:t>
      </w:r>
      <w:r>
        <w:rPr>
          <w:rFonts w:hint="default" w:ascii="Times New Roman" w:hAnsi="Times New Roman" w:eastAsia="仿宋_GB2312" w:cs="Times New Roman"/>
          <w:color w:val="auto"/>
          <w:sz w:val="32"/>
          <w:szCs w:val="32"/>
          <w:u w:val="none"/>
          <w:lang w:eastAsia="zh-CN"/>
        </w:rPr>
        <w:t>，每户</w:t>
      </w:r>
      <w:r>
        <w:rPr>
          <w:rFonts w:hint="default" w:ascii="Times New Roman" w:hAnsi="Times New Roman" w:eastAsia="仿宋_GB2312" w:cs="Times New Roman"/>
          <w:color w:val="auto"/>
          <w:sz w:val="32"/>
          <w:szCs w:val="32"/>
          <w:u w:val="none"/>
        </w:rPr>
        <w:t>给予</w:t>
      </w:r>
      <w:r>
        <w:rPr>
          <w:rFonts w:hint="default" w:ascii="Times New Roman" w:hAnsi="Times New Roman" w:eastAsia="仿宋_GB2312" w:cs="Times New Roman"/>
          <w:color w:val="auto"/>
          <w:kern w:val="2"/>
          <w:sz w:val="32"/>
          <w:szCs w:val="32"/>
          <w:vertAlign w:val="baseline"/>
          <w:lang w:val="zh-CN" w:eastAsia="zh-CN" w:bidi="ar-SA"/>
        </w:rPr>
        <w:t>5000</w:t>
      </w:r>
      <w:r>
        <w:rPr>
          <w:rFonts w:hint="default" w:ascii="Times New Roman" w:hAnsi="Times New Roman" w:eastAsia="仿宋_GB2312" w:cs="Times New Roman"/>
          <w:color w:val="auto"/>
          <w:sz w:val="32"/>
          <w:szCs w:val="32"/>
          <w:u w:val="none"/>
        </w:rPr>
        <w:t>元补助。</w:t>
      </w:r>
    </w:p>
    <w:p w14:paraId="5FF1D327">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（三）</w:t>
      </w:r>
      <w:r>
        <w:rPr>
          <w:rFonts w:hint="default" w:ascii="Times New Roman" w:hAnsi="Times New Roman" w:eastAsia="仿宋_GB2312" w:cs="Times New Roman"/>
          <w:color w:val="auto"/>
          <w:sz w:val="32"/>
          <w:szCs w:val="32"/>
        </w:rPr>
        <w:t>被征收</w:t>
      </w:r>
      <w:r>
        <w:rPr>
          <w:rFonts w:hint="default" w:ascii="Times New Roman" w:hAnsi="Times New Roman" w:eastAsia="仿宋_GB2312" w:cs="Times New Roman"/>
          <w:color w:val="auto"/>
          <w:sz w:val="32"/>
          <w:szCs w:val="32"/>
          <w:lang w:eastAsia="zh-CN"/>
        </w:rPr>
        <w:t>户</w:t>
      </w:r>
      <w:r>
        <w:rPr>
          <w:rFonts w:hint="default" w:ascii="Times New Roman" w:hAnsi="Times New Roman" w:eastAsia="仿宋_GB2312" w:cs="Times New Roman"/>
          <w:color w:val="auto"/>
          <w:sz w:val="32"/>
          <w:szCs w:val="32"/>
        </w:rPr>
        <w:t>突发重大意外事故或遭遇重大自然灾害的，</w:t>
      </w:r>
      <w:r>
        <w:rPr>
          <w:rFonts w:hint="default" w:ascii="Times New Roman" w:hAnsi="Times New Roman" w:eastAsia="仿宋_GB2312" w:cs="Times New Roman"/>
          <w:color w:val="auto"/>
          <w:sz w:val="32"/>
          <w:szCs w:val="32"/>
          <w:lang w:eastAsia="zh-CN"/>
        </w:rPr>
        <w:t>每户</w:t>
      </w:r>
      <w:r>
        <w:rPr>
          <w:rFonts w:hint="default" w:ascii="Times New Roman" w:hAnsi="Times New Roman" w:eastAsia="仿宋_GB2312" w:cs="Times New Roman"/>
          <w:color w:val="auto"/>
          <w:sz w:val="32"/>
          <w:szCs w:val="32"/>
        </w:rPr>
        <w:t>给予</w:t>
      </w:r>
      <w:r>
        <w:rPr>
          <w:rFonts w:hint="default" w:ascii="Times New Roman" w:hAnsi="Times New Roman" w:eastAsia="仿宋_GB2312" w:cs="Times New Roman"/>
          <w:color w:val="auto"/>
          <w:kern w:val="2"/>
          <w:sz w:val="32"/>
          <w:szCs w:val="32"/>
          <w:vertAlign w:val="baseline"/>
          <w:lang w:val="zh-CN" w:eastAsia="zh-CN" w:bidi="ar-SA"/>
        </w:rPr>
        <w:t>10000</w:t>
      </w:r>
      <w:r>
        <w:rPr>
          <w:rFonts w:hint="default" w:ascii="Times New Roman" w:hAnsi="Times New Roman" w:eastAsia="仿宋_GB2312" w:cs="Times New Roman"/>
          <w:color w:val="auto"/>
          <w:sz w:val="32"/>
          <w:szCs w:val="32"/>
        </w:rPr>
        <w:t>元补助。</w:t>
      </w:r>
    </w:p>
    <w:p w14:paraId="1E68E7A9">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lang w:eastAsia="zh-CN"/>
        </w:rPr>
        <w:t>第</w:t>
      </w:r>
      <w:r>
        <w:rPr>
          <w:rFonts w:hint="default" w:ascii="Times New Roman" w:hAnsi="Times New Roman" w:eastAsia="仿宋_GB2312" w:cs="Times New Roman"/>
          <w:b/>
          <w:bCs/>
          <w:color w:val="auto"/>
          <w:sz w:val="32"/>
          <w:szCs w:val="32"/>
          <w:lang w:val="en-US" w:eastAsia="zh-CN"/>
        </w:rPr>
        <w:t>四十二</w:t>
      </w:r>
      <w:r>
        <w:rPr>
          <w:rFonts w:hint="default" w:ascii="Times New Roman" w:hAnsi="Times New Roman" w:eastAsia="仿宋_GB2312" w:cs="Times New Roman"/>
          <w:b/>
          <w:bCs/>
          <w:color w:val="auto"/>
          <w:sz w:val="32"/>
          <w:szCs w:val="32"/>
          <w:lang w:eastAsia="zh-CN"/>
        </w:rPr>
        <w:t>条</w:t>
      </w:r>
      <w:r>
        <w:rPr>
          <w:rFonts w:hint="default" w:ascii="Times New Roman" w:hAnsi="Times New Roman" w:eastAsia="仿宋_GB2312" w:cs="Times New Roman"/>
          <w:b/>
          <w:bCs/>
          <w:color w:val="auto"/>
          <w:sz w:val="32"/>
          <w:szCs w:val="32"/>
        </w:rPr>
        <w:t xml:space="preserve"> </w:t>
      </w:r>
      <w:r>
        <w:rPr>
          <w:rFonts w:hint="default" w:ascii="Times New Roman" w:hAnsi="Times New Roman" w:eastAsia="仿宋_GB2312" w:cs="Times New Roman"/>
          <w:color w:val="auto"/>
          <w:sz w:val="32"/>
          <w:szCs w:val="32"/>
        </w:rPr>
        <w:t xml:space="preserve"> 对孤寡老人、五保户等</w:t>
      </w:r>
      <w:r>
        <w:rPr>
          <w:rFonts w:hint="default" w:ascii="Times New Roman" w:hAnsi="Times New Roman" w:eastAsia="仿宋_GB2312" w:cs="Times New Roman"/>
          <w:color w:val="auto"/>
          <w:sz w:val="32"/>
          <w:szCs w:val="32"/>
          <w:lang w:eastAsia="zh-CN"/>
        </w:rPr>
        <w:t>因合法住宅房屋被征收，</w:t>
      </w:r>
      <w:r>
        <w:rPr>
          <w:rFonts w:hint="default" w:ascii="Times New Roman" w:hAnsi="Times New Roman" w:eastAsia="仿宋_GB2312" w:cs="Times New Roman"/>
          <w:color w:val="auto"/>
          <w:sz w:val="32"/>
          <w:szCs w:val="32"/>
        </w:rPr>
        <w:t>愿意采取公共租赁住房或民政集中供养的，</w:t>
      </w:r>
      <w:r>
        <w:rPr>
          <w:rFonts w:hint="default" w:ascii="Times New Roman" w:hAnsi="Times New Roman" w:eastAsia="仿宋_GB2312" w:cs="Times New Roman"/>
          <w:color w:val="auto"/>
          <w:sz w:val="32"/>
          <w:szCs w:val="32"/>
          <w:lang w:eastAsia="zh-CN"/>
        </w:rPr>
        <w:t>每户</w:t>
      </w:r>
      <w:r>
        <w:rPr>
          <w:rFonts w:hint="default" w:ascii="Times New Roman" w:hAnsi="Times New Roman" w:eastAsia="仿宋_GB2312" w:cs="Times New Roman"/>
          <w:color w:val="auto"/>
          <w:sz w:val="32"/>
          <w:szCs w:val="32"/>
        </w:rPr>
        <w:t>给予不超过</w:t>
      </w:r>
      <w:r>
        <w:rPr>
          <w:rFonts w:hint="default" w:ascii="Times New Roman" w:hAnsi="Times New Roman" w:eastAsia="仿宋_GB2312" w:cs="Times New Roman"/>
          <w:color w:val="auto"/>
          <w:kern w:val="2"/>
          <w:sz w:val="32"/>
          <w:szCs w:val="32"/>
          <w:vertAlign w:val="baseline"/>
          <w:lang w:val="zh-CN" w:eastAsia="zh-CN" w:bidi="ar-SA"/>
        </w:rPr>
        <w:t>10000</w:t>
      </w:r>
      <w:r>
        <w:rPr>
          <w:rFonts w:hint="default" w:ascii="Times New Roman" w:hAnsi="Times New Roman" w:eastAsia="仿宋_GB2312" w:cs="Times New Roman"/>
          <w:color w:val="auto"/>
          <w:sz w:val="32"/>
          <w:szCs w:val="32"/>
        </w:rPr>
        <w:t>元的</w:t>
      </w:r>
      <w:r>
        <w:rPr>
          <w:rFonts w:hint="default" w:ascii="Times New Roman" w:hAnsi="Times New Roman" w:eastAsia="仿宋_GB2312" w:cs="Times New Roman"/>
          <w:color w:val="auto"/>
          <w:sz w:val="32"/>
          <w:szCs w:val="32"/>
          <w:u w:val="none"/>
        </w:rPr>
        <w:t>一次性生活困难救助</w:t>
      </w:r>
      <w:r>
        <w:rPr>
          <w:rFonts w:hint="default" w:ascii="Times New Roman" w:hAnsi="Times New Roman" w:eastAsia="仿宋_GB2312" w:cs="Times New Roman"/>
          <w:color w:val="auto"/>
          <w:sz w:val="32"/>
          <w:szCs w:val="32"/>
        </w:rPr>
        <w:t>。</w:t>
      </w:r>
    </w:p>
    <w:p w14:paraId="10A52029">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lang w:eastAsia="zh-CN"/>
        </w:rPr>
        <w:t>被征收户安置对象中</w:t>
      </w:r>
      <w:r>
        <w:rPr>
          <w:rFonts w:hint="default" w:ascii="Times New Roman" w:hAnsi="Times New Roman" w:eastAsia="仿宋_GB2312" w:cs="Times New Roman"/>
          <w:color w:val="auto"/>
          <w:sz w:val="32"/>
          <w:szCs w:val="32"/>
        </w:rPr>
        <w:t>有四级以上残疾人员</w:t>
      </w:r>
      <w:r>
        <w:rPr>
          <w:rFonts w:hint="default" w:ascii="Times New Roman" w:hAnsi="Times New Roman" w:eastAsia="仿宋_GB2312" w:cs="Times New Roman"/>
          <w:color w:val="auto"/>
          <w:sz w:val="32"/>
          <w:szCs w:val="32"/>
          <w:lang w:eastAsia="zh-CN"/>
        </w:rPr>
        <w:t>，家庭经济条件较为困难</w:t>
      </w:r>
      <w:r>
        <w:rPr>
          <w:rFonts w:hint="default" w:ascii="Times New Roman" w:hAnsi="Times New Roman" w:eastAsia="仿宋_GB2312" w:cs="Times New Roman"/>
          <w:color w:val="auto"/>
          <w:sz w:val="32"/>
          <w:szCs w:val="32"/>
        </w:rPr>
        <w:t>的</w:t>
      </w:r>
      <w:r>
        <w:rPr>
          <w:rFonts w:hint="default" w:ascii="Times New Roman" w:hAnsi="Times New Roman" w:eastAsia="仿宋_GB2312" w:cs="Times New Roman"/>
          <w:color w:val="auto"/>
          <w:sz w:val="32"/>
          <w:szCs w:val="32"/>
          <w:lang w:eastAsia="zh-CN"/>
        </w:rPr>
        <w:t>，每户</w:t>
      </w:r>
      <w:r>
        <w:rPr>
          <w:rFonts w:hint="default" w:ascii="Times New Roman" w:hAnsi="Times New Roman" w:eastAsia="仿宋_GB2312" w:cs="Times New Roman"/>
          <w:color w:val="auto"/>
          <w:sz w:val="32"/>
          <w:szCs w:val="32"/>
        </w:rPr>
        <w:t>给予不超过</w:t>
      </w:r>
      <w:r>
        <w:rPr>
          <w:rFonts w:hint="default" w:ascii="Times New Roman" w:hAnsi="Times New Roman" w:eastAsia="仿宋_GB2312" w:cs="Times New Roman"/>
          <w:color w:val="auto"/>
          <w:kern w:val="2"/>
          <w:sz w:val="32"/>
          <w:szCs w:val="32"/>
          <w:vertAlign w:val="baseline"/>
          <w:lang w:val="zh-CN" w:eastAsia="zh-CN" w:bidi="ar-SA"/>
        </w:rPr>
        <w:t>10000</w:t>
      </w:r>
      <w:r>
        <w:rPr>
          <w:rFonts w:hint="default" w:ascii="Times New Roman" w:hAnsi="Times New Roman" w:eastAsia="仿宋_GB2312" w:cs="Times New Roman"/>
          <w:color w:val="auto"/>
          <w:sz w:val="32"/>
          <w:szCs w:val="32"/>
        </w:rPr>
        <w:t>元的</w:t>
      </w:r>
      <w:r>
        <w:rPr>
          <w:rFonts w:hint="default" w:ascii="Times New Roman" w:hAnsi="Times New Roman" w:eastAsia="仿宋_GB2312" w:cs="Times New Roman"/>
          <w:color w:val="auto"/>
          <w:sz w:val="32"/>
          <w:szCs w:val="32"/>
          <w:u w:val="none"/>
        </w:rPr>
        <w:t>一次性生活困难救助。</w:t>
      </w:r>
    </w:p>
    <w:p w14:paraId="33D5A49F">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left="0" w:leftChars="0" w:firstLine="643"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w:t>
      </w:r>
      <w:r>
        <w:rPr>
          <w:rFonts w:hint="default" w:ascii="Times New Roman" w:hAnsi="Times New Roman" w:eastAsia="仿宋_GB2312" w:cs="Times New Roman"/>
          <w:b/>
          <w:bCs/>
          <w:color w:val="auto"/>
          <w:sz w:val="32"/>
          <w:szCs w:val="32"/>
          <w:lang w:eastAsia="zh-CN"/>
        </w:rPr>
        <w:t>四十</w:t>
      </w:r>
      <w:r>
        <w:rPr>
          <w:rFonts w:hint="default" w:ascii="Times New Roman" w:hAnsi="Times New Roman" w:eastAsia="仿宋_GB2312" w:cs="Times New Roman"/>
          <w:b/>
          <w:bCs/>
          <w:color w:val="auto"/>
          <w:sz w:val="32"/>
          <w:szCs w:val="32"/>
          <w:lang w:val="en-US" w:eastAsia="zh-CN"/>
        </w:rPr>
        <w:t>三</w:t>
      </w:r>
      <w:r>
        <w:rPr>
          <w:rFonts w:hint="default" w:ascii="Times New Roman" w:hAnsi="Times New Roman" w:eastAsia="仿宋_GB2312" w:cs="Times New Roman"/>
          <w:b/>
          <w:bCs/>
          <w:color w:val="auto"/>
          <w:sz w:val="32"/>
          <w:szCs w:val="32"/>
        </w:rPr>
        <w:t xml:space="preserve">条 </w:t>
      </w:r>
      <w:r>
        <w:rPr>
          <w:rFonts w:hint="default" w:ascii="Times New Roman" w:hAnsi="Times New Roman" w:eastAsia="仿宋_GB2312" w:cs="Times New Roman"/>
          <w:color w:val="auto"/>
          <w:sz w:val="32"/>
          <w:szCs w:val="32"/>
        </w:rPr>
        <w:t xml:space="preserve"> </w:t>
      </w:r>
      <w:r>
        <w:rPr>
          <w:rFonts w:hint="default" w:ascii="Times New Roman" w:hAnsi="Times New Roman" w:eastAsia="仿宋_GB2312" w:cs="Times New Roman"/>
          <w:color w:val="auto"/>
          <w:sz w:val="32"/>
          <w:szCs w:val="32"/>
          <w:lang w:eastAsia="zh-CN"/>
        </w:rPr>
        <w:t>因土地、房屋被依法征收，以货币补偿方式重新购置土地、房屋的，按照</w:t>
      </w:r>
      <w:r>
        <w:rPr>
          <w:rFonts w:hint="default" w:ascii="Times New Roman" w:hAnsi="Times New Roman" w:eastAsia="仿宋_GB2312" w:cs="Times New Roman"/>
          <w:color w:val="auto"/>
          <w:sz w:val="32"/>
          <w:szCs w:val="32"/>
          <w:lang w:val="en-US" w:eastAsia="zh-CN"/>
        </w:rPr>
        <w:t>《湖南省人民代表大会常务委员会关于契税具体适用税率等事项的决定》的规定</w:t>
      </w:r>
      <w:r>
        <w:rPr>
          <w:rFonts w:hint="default" w:ascii="Times New Roman" w:hAnsi="Times New Roman" w:eastAsia="仿宋_GB2312" w:cs="Times New Roman"/>
          <w:color w:val="auto"/>
          <w:sz w:val="32"/>
          <w:szCs w:val="32"/>
          <w:lang w:eastAsia="zh-CN"/>
        </w:rPr>
        <w:t>与货币补偿等值的部分，免征契税。超过等值部分的，应当按规定征收契税。</w:t>
      </w:r>
    </w:p>
    <w:p w14:paraId="0F089292">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rPr>
      </w:pPr>
    </w:p>
    <w:p w14:paraId="56E04B67">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国标仿宋" w:cs="Times New Roman"/>
          <w:b/>
          <w:bCs/>
          <w:sz w:val="32"/>
          <w:szCs w:val="32"/>
        </w:rPr>
      </w:pPr>
      <w:r>
        <w:rPr>
          <w:rFonts w:hint="default" w:ascii="Times New Roman" w:hAnsi="Times New Roman" w:eastAsia="黑体" w:cs="Times New Roman"/>
          <w:b w:val="0"/>
          <w:bCs w:val="0"/>
          <w:sz w:val="32"/>
          <w:szCs w:val="32"/>
        </w:rPr>
        <w:t>第</w:t>
      </w:r>
      <w:r>
        <w:rPr>
          <w:rFonts w:hint="eastAsia" w:ascii="Times New Roman" w:hAnsi="Times New Roman" w:eastAsia="黑体" w:cs="Times New Roman"/>
          <w:b w:val="0"/>
          <w:bCs w:val="0"/>
          <w:sz w:val="32"/>
          <w:szCs w:val="32"/>
          <w:lang w:eastAsia="zh-CN"/>
        </w:rPr>
        <w:t>六</w:t>
      </w:r>
      <w:r>
        <w:rPr>
          <w:rFonts w:hint="default" w:ascii="Times New Roman" w:hAnsi="Times New Roman" w:eastAsia="黑体" w:cs="Times New Roman"/>
          <w:b w:val="0"/>
          <w:bCs w:val="0"/>
          <w:sz w:val="32"/>
          <w:szCs w:val="32"/>
        </w:rPr>
        <w:t>章  附则</w:t>
      </w:r>
    </w:p>
    <w:p w14:paraId="10C3D0E7">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bCs/>
          <w:color w:val="auto"/>
          <w:kern w:val="0"/>
          <w:sz w:val="32"/>
          <w:szCs w:val="32"/>
          <w:lang w:val="zh-CN"/>
        </w:rPr>
      </w:pPr>
      <w:r>
        <w:rPr>
          <w:rFonts w:hint="default" w:ascii="Times New Roman" w:hAnsi="Times New Roman" w:eastAsia="仿宋_GB2312" w:cs="Times New Roman"/>
          <w:b/>
          <w:bCs/>
          <w:color w:val="auto"/>
          <w:sz w:val="32"/>
          <w:szCs w:val="32"/>
          <w:lang w:eastAsia="zh-CN"/>
        </w:rPr>
        <w:t>第四十四条</w:t>
      </w:r>
      <w:r>
        <w:rPr>
          <w:rFonts w:hint="default" w:ascii="Times New Roman" w:hAnsi="Times New Roman" w:eastAsia="仿宋_GB2312" w:cs="Times New Roman"/>
          <w:b/>
          <w:bCs/>
          <w:color w:val="auto"/>
          <w:sz w:val="32"/>
          <w:szCs w:val="32"/>
        </w:rPr>
        <w:t xml:space="preserve"> </w:t>
      </w:r>
      <w:r>
        <w:rPr>
          <w:rFonts w:hint="default" w:ascii="Times New Roman" w:hAnsi="Times New Roman" w:eastAsia="仿宋_GB2312" w:cs="Times New Roman"/>
          <w:color w:val="auto"/>
          <w:sz w:val="32"/>
          <w:szCs w:val="32"/>
        </w:rPr>
        <w:t xml:space="preserve"> </w:t>
      </w:r>
      <w:r>
        <w:rPr>
          <w:rFonts w:hint="default" w:ascii="Times New Roman" w:hAnsi="Times New Roman" w:eastAsia="仿宋_GB2312" w:cs="Times New Roman"/>
          <w:color w:val="auto"/>
          <w:sz w:val="32"/>
          <w:szCs w:val="32"/>
          <w:lang w:val="zh-CN"/>
        </w:rPr>
        <w:t>本</w:t>
      </w:r>
      <w:r>
        <w:rPr>
          <w:rFonts w:hint="default" w:ascii="Times New Roman" w:hAnsi="Times New Roman" w:eastAsia="仿宋_GB2312" w:cs="Times New Roman"/>
          <w:bCs/>
          <w:color w:val="auto"/>
          <w:kern w:val="0"/>
          <w:sz w:val="32"/>
          <w:szCs w:val="32"/>
        </w:rPr>
        <w:t>细则</w:t>
      </w:r>
      <w:r>
        <w:rPr>
          <w:rFonts w:hint="default" w:ascii="Times New Roman" w:hAnsi="Times New Roman" w:eastAsia="仿宋_GB2312" w:cs="Times New Roman"/>
          <w:bCs/>
          <w:color w:val="auto"/>
          <w:kern w:val="0"/>
          <w:sz w:val="32"/>
          <w:szCs w:val="32"/>
          <w:lang w:val="zh-CN"/>
        </w:rPr>
        <w:t>自</w:t>
      </w:r>
      <w:r>
        <w:rPr>
          <w:rFonts w:hint="default" w:ascii="Times New Roman" w:hAnsi="Times New Roman" w:eastAsia="仿宋_GB2312" w:cs="Times New Roman"/>
          <w:bCs/>
          <w:color w:val="auto"/>
          <w:kern w:val="0"/>
          <w:sz w:val="32"/>
          <w:szCs w:val="32"/>
        </w:rPr>
        <w:t>公布之日</w:t>
      </w:r>
      <w:r>
        <w:rPr>
          <w:rFonts w:hint="default" w:ascii="Times New Roman" w:hAnsi="Times New Roman" w:eastAsia="仿宋_GB2312" w:cs="Times New Roman"/>
          <w:bCs/>
          <w:color w:val="auto"/>
          <w:kern w:val="0"/>
          <w:sz w:val="32"/>
          <w:szCs w:val="32"/>
          <w:lang w:val="zh-CN"/>
        </w:rPr>
        <w:t>起施行，有效期</w:t>
      </w:r>
      <w:r>
        <w:rPr>
          <w:rFonts w:hint="default" w:ascii="Times New Roman" w:hAnsi="Times New Roman" w:eastAsia="仿宋_GB2312" w:cs="Times New Roman"/>
          <w:color w:val="auto"/>
          <w:kern w:val="2"/>
          <w:sz w:val="32"/>
          <w:szCs w:val="32"/>
          <w:vertAlign w:val="baseline"/>
          <w:lang w:val="en-US" w:eastAsia="zh-CN" w:bidi="ar-SA"/>
        </w:rPr>
        <w:t>5</w:t>
      </w:r>
      <w:r>
        <w:rPr>
          <w:rFonts w:hint="default" w:ascii="Times New Roman" w:hAnsi="Times New Roman" w:eastAsia="仿宋_GB2312" w:cs="Times New Roman"/>
          <w:bCs/>
          <w:color w:val="auto"/>
          <w:kern w:val="0"/>
          <w:sz w:val="32"/>
          <w:szCs w:val="32"/>
          <w:lang w:val="en-US" w:eastAsia="zh-CN"/>
        </w:rPr>
        <w:t>年。</w:t>
      </w:r>
    </w:p>
    <w:p w14:paraId="6C48CACC">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Cs/>
          <w:color w:val="auto"/>
          <w:kern w:val="0"/>
          <w:sz w:val="32"/>
          <w:szCs w:val="32"/>
          <w:lang w:val="zh-CN"/>
        </w:rPr>
      </w:pPr>
      <w:r>
        <w:rPr>
          <w:rFonts w:hint="default" w:ascii="Times New Roman" w:hAnsi="Times New Roman" w:eastAsia="仿宋_GB2312" w:cs="Times New Roman"/>
          <w:bCs/>
          <w:color w:val="auto"/>
          <w:kern w:val="0"/>
          <w:sz w:val="32"/>
          <w:szCs w:val="32"/>
          <w:lang w:val="zh-CN"/>
        </w:rPr>
        <w:t>本</w:t>
      </w:r>
      <w:r>
        <w:rPr>
          <w:rFonts w:hint="default" w:ascii="Times New Roman" w:hAnsi="Times New Roman" w:eastAsia="仿宋_GB2312" w:cs="Times New Roman"/>
          <w:bCs/>
          <w:color w:val="auto"/>
          <w:kern w:val="0"/>
          <w:sz w:val="32"/>
          <w:szCs w:val="32"/>
        </w:rPr>
        <w:t>细则公布</w:t>
      </w:r>
      <w:r>
        <w:rPr>
          <w:rFonts w:hint="default" w:ascii="Times New Roman" w:hAnsi="Times New Roman" w:eastAsia="仿宋_GB2312" w:cs="Times New Roman"/>
          <w:bCs/>
          <w:color w:val="auto"/>
          <w:kern w:val="0"/>
          <w:sz w:val="32"/>
          <w:szCs w:val="32"/>
          <w:lang w:val="zh-CN"/>
        </w:rPr>
        <w:t>施行前，已公告征地补偿安置方案的，</w:t>
      </w:r>
      <w:r>
        <w:rPr>
          <w:rFonts w:hint="default" w:ascii="Times New Roman" w:hAnsi="Times New Roman" w:eastAsia="仿宋_GB2312" w:cs="Times New Roman"/>
          <w:bCs/>
          <w:color w:val="auto"/>
          <w:kern w:val="0"/>
          <w:sz w:val="32"/>
          <w:szCs w:val="32"/>
        </w:rPr>
        <w:t>可以</w:t>
      </w:r>
      <w:r>
        <w:rPr>
          <w:rFonts w:hint="default" w:ascii="Times New Roman" w:hAnsi="Times New Roman" w:eastAsia="仿宋_GB2312" w:cs="Times New Roman"/>
          <w:bCs/>
          <w:color w:val="auto"/>
          <w:kern w:val="0"/>
          <w:sz w:val="32"/>
          <w:szCs w:val="32"/>
          <w:lang w:val="zh-CN"/>
        </w:rPr>
        <w:t>按照公告确定的标准执行。</w:t>
      </w:r>
    </w:p>
    <w:p w14:paraId="4B27DC9C">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Cs/>
          <w:color w:val="auto"/>
          <w:kern w:val="0"/>
          <w:sz w:val="32"/>
          <w:szCs w:val="32"/>
          <w:lang w:val="zh-CN"/>
        </w:rPr>
      </w:pPr>
      <w:r>
        <w:rPr>
          <w:rFonts w:hint="default" w:ascii="Times New Roman" w:hAnsi="Times New Roman" w:eastAsia="仿宋_GB2312" w:cs="Times New Roman"/>
          <w:bCs/>
          <w:color w:val="auto"/>
          <w:kern w:val="0"/>
          <w:sz w:val="32"/>
          <w:szCs w:val="32"/>
          <w:lang w:val="zh-CN"/>
        </w:rPr>
        <w:t>本细则公布施行前已办理征地审批手续，但未公告征地补偿安置方案的，按照本细则执行。</w:t>
      </w:r>
    </w:p>
    <w:p w14:paraId="44521E2E">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bCs/>
          <w:color w:val="auto"/>
          <w:kern w:val="0"/>
          <w:sz w:val="32"/>
          <w:szCs w:val="32"/>
        </w:rPr>
      </w:pPr>
      <w:r>
        <w:rPr>
          <w:rFonts w:hint="default" w:ascii="Times New Roman" w:hAnsi="Times New Roman" w:eastAsia="仿宋_GB2312" w:cs="Times New Roman"/>
          <w:b/>
          <w:bCs/>
          <w:color w:val="auto"/>
          <w:sz w:val="32"/>
          <w:szCs w:val="32"/>
          <w:lang w:eastAsia="zh-CN"/>
        </w:rPr>
        <w:t>第四十五条</w:t>
      </w:r>
      <w:r>
        <w:rPr>
          <w:rFonts w:hint="default" w:ascii="Times New Roman" w:hAnsi="Times New Roman" w:eastAsia="仿宋_GB2312" w:cs="Times New Roman"/>
          <w:b/>
          <w:bCs/>
          <w:color w:val="auto"/>
          <w:sz w:val="32"/>
          <w:szCs w:val="32"/>
        </w:rPr>
        <w:t xml:space="preserve"> </w:t>
      </w:r>
      <w:r>
        <w:rPr>
          <w:rFonts w:hint="default" w:ascii="Times New Roman" w:hAnsi="Times New Roman" w:eastAsia="仿宋_GB2312" w:cs="Times New Roman"/>
          <w:color w:val="auto"/>
          <w:sz w:val="32"/>
          <w:szCs w:val="32"/>
        </w:rPr>
        <w:t xml:space="preserve"> </w:t>
      </w:r>
      <w:r>
        <w:rPr>
          <w:rFonts w:hint="default" w:ascii="Times New Roman" w:hAnsi="Times New Roman" w:eastAsia="仿宋_GB2312" w:cs="Times New Roman"/>
          <w:bCs/>
          <w:color w:val="auto"/>
          <w:kern w:val="0"/>
          <w:sz w:val="32"/>
          <w:szCs w:val="32"/>
        </w:rPr>
        <w:t>本细则实施过程中，国家、省、市出台新的相关政策</w:t>
      </w:r>
      <w:r>
        <w:rPr>
          <w:rFonts w:hint="default" w:ascii="Times New Roman" w:hAnsi="Times New Roman" w:eastAsia="仿宋_GB2312" w:cs="Times New Roman"/>
          <w:bCs/>
          <w:color w:val="auto"/>
          <w:kern w:val="0"/>
          <w:sz w:val="32"/>
          <w:szCs w:val="32"/>
          <w:lang w:eastAsia="zh-CN"/>
        </w:rPr>
        <w:t>的</w:t>
      </w:r>
      <w:r>
        <w:rPr>
          <w:rFonts w:hint="default" w:ascii="Times New Roman" w:hAnsi="Times New Roman" w:eastAsia="仿宋_GB2312" w:cs="Times New Roman"/>
          <w:bCs/>
          <w:color w:val="auto"/>
          <w:kern w:val="0"/>
          <w:sz w:val="32"/>
          <w:szCs w:val="32"/>
        </w:rPr>
        <w:t>，按新的政策执行。</w:t>
      </w:r>
    </w:p>
    <w:p w14:paraId="7BDFA5A0">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Cs/>
          <w:color w:val="auto"/>
          <w:kern w:val="0"/>
          <w:sz w:val="32"/>
          <w:szCs w:val="32"/>
        </w:rPr>
      </w:pPr>
    </w:p>
    <w:p w14:paraId="4C892C7D">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Cs/>
          <w:color w:val="auto"/>
          <w:kern w:val="0"/>
          <w:sz w:val="32"/>
          <w:szCs w:val="32"/>
          <w:lang w:val="zh-CN"/>
        </w:rPr>
      </w:pPr>
      <w:r>
        <w:rPr>
          <w:rFonts w:hint="default" w:ascii="Times New Roman" w:hAnsi="Times New Roman" w:eastAsia="仿宋_GB2312" w:cs="Times New Roman"/>
          <w:bCs/>
          <w:color w:val="auto"/>
          <w:kern w:val="0"/>
          <w:sz w:val="32"/>
          <w:szCs w:val="32"/>
          <w:lang w:val="zh-CN"/>
        </w:rPr>
        <w:t>附件：</w:t>
      </w:r>
      <w:r>
        <w:rPr>
          <w:rFonts w:hint="default" w:ascii="Times New Roman" w:hAnsi="Times New Roman" w:eastAsia="仿宋_GB2312" w:cs="Times New Roman"/>
          <w:bCs/>
          <w:color w:val="auto"/>
          <w:kern w:val="0"/>
          <w:sz w:val="32"/>
          <w:szCs w:val="32"/>
        </w:rPr>
        <w:t>1.新晃侗族自治县</w:t>
      </w:r>
      <w:r>
        <w:rPr>
          <w:rFonts w:hint="default" w:ascii="Times New Roman" w:hAnsi="Times New Roman" w:eastAsia="仿宋_GB2312" w:cs="Times New Roman"/>
          <w:bCs/>
          <w:color w:val="auto"/>
          <w:kern w:val="0"/>
          <w:sz w:val="32"/>
          <w:szCs w:val="32"/>
          <w:lang w:val="zh-CN"/>
        </w:rPr>
        <w:t>征地补偿标准等级区域划分</w:t>
      </w:r>
    </w:p>
    <w:p w14:paraId="5A0F504C">
      <w:pPr>
        <w:keepNext w:val="0"/>
        <w:keepLines w:val="0"/>
        <w:pageBreakBefore w:val="0"/>
        <w:widowControl w:val="0"/>
        <w:suppressAutoHyphens/>
        <w:kinsoku/>
        <w:wordWrap/>
        <w:overflowPunct/>
        <w:topLinePunct w:val="0"/>
        <w:autoSpaceDE/>
        <w:autoSpaceDN/>
        <w:bidi w:val="0"/>
        <w:adjustRightInd/>
        <w:snapToGrid/>
        <w:spacing w:line="640" w:lineRule="exact"/>
        <w:ind w:firstLine="1600" w:firstLineChars="500"/>
        <w:textAlignment w:val="auto"/>
        <w:rPr>
          <w:rFonts w:hint="default" w:ascii="Times New Roman" w:hAnsi="Times New Roman" w:eastAsia="仿宋_GB2312" w:cs="Times New Roman"/>
          <w:bCs/>
          <w:color w:val="auto"/>
          <w:kern w:val="0"/>
          <w:sz w:val="32"/>
          <w:szCs w:val="32"/>
          <w:lang w:val="zh-CN"/>
        </w:rPr>
      </w:pPr>
      <w:r>
        <w:rPr>
          <w:rFonts w:hint="default" w:ascii="Times New Roman" w:hAnsi="Times New Roman" w:eastAsia="仿宋_GB2312" w:cs="Times New Roman"/>
          <w:bCs/>
          <w:color w:val="auto"/>
          <w:kern w:val="0"/>
          <w:sz w:val="32"/>
          <w:szCs w:val="32"/>
        </w:rPr>
        <w:t>2.新晃侗族自治县</w:t>
      </w:r>
      <w:r>
        <w:rPr>
          <w:rFonts w:hint="default" w:ascii="Times New Roman" w:hAnsi="Times New Roman" w:eastAsia="仿宋_GB2312" w:cs="Times New Roman"/>
          <w:bCs/>
          <w:color w:val="auto"/>
          <w:kern w:val="0"/>
          <w:sz w:val="32"/>
          <w:szCs w:val="32"/>
          <w:lang w:val="zh-CN"/>
        </w:rPr>
        <w:t>征</w:t>
      </w:r>
      <w:r>
        <w:rPr>
          <w:rFonts w:hint="default" w:ascii="Times New Roman" w:hAnsi="Times New Roman" w:eastAsia="仿宋_GB2312" w:cs="Times New Roman"/>
          <w:bCs/>
          <w:color w:val="auto"/>
          <w:kern w:val="0"/>
          <w:sz w:val="32"/>
          <w:szCs w:val="32"/>
        </w:rPr>
        <w:t>地补偿</w:t>
      </w:r>
      <w:r>
        <w:rPr>
          <w:rFonts w:hint="default" w:ascii="Times New Roman" w:hAnsi="Times New Roman" w:eastAsia="仿宋_GB2312" w:cs="Times New Roman"/>
          <w:bCs/>
          <w:color w:val="auto"/>
          <w:kern w:val="0"/>
          <w:sz w:val="32"/>
          <w:szCs w:val="32"/>
          <w:lang w:val="zh-CN"/>
        </w:rPr>
        <w:t>标准</w:t>
      </w:r>
    </w:p>
    <w:p w14:paraId="05A6C144">
      <w:pPr>
        <w:keepNext w:val="0"/>
        <w:keepLines w:val="0"/>
        <w:pageBreakBefore w:val="0"/>
        <w:widowControl w:val="0"/>
        <w:suppressAutoHyphens/>
        <w:kinsoku/>
        <w:wordWrap/>
        <w:overflowPunct/>
        <w:topLinePunct w:val="0"/>
        <w:autoSpaceDE/>
        <w:autoSpaceDN/>
        <w:bidi w:val="0"/>
        <w:adjustRightInd/>
        <w:snapToGrid/>
        <w:spacing w:line="640" w:lineRule="exact"/>
        <w:ind w:left="1916" w:leftChars="760" w:hanging="320" w:hangingChars="100"/>
        <w:textAlignment w:val="auto"/>
        <w:rPr>
          <w:rFonts w:hint="default" w:ascii="Times New Roman" w:hAnsi="Times New Roman" w:eastAsia="仿宋_GB2312" w:cs="Times New Roman"/>
          <w:bCs/>
          <w:color w:val="auto"/>
          <w:kern w:val="0"/>
          <w:sz w:val="32"/>
          <w:szCs w:val="32"/>
          <w:lang w:val="zh-CN"/>
        </w:rPr>
      </w:pPr>
      <w:r>
        <w:rPr>
          <w:rFonts w:hint="default" w:ascii="Times New Roman" w:hAnsi="Times New Roman" w:eastAsia="仿宋_GB2312" w:cs="Times New Roman"/>
          <w:bCs/>
          <w:color w:val="auto"/>
          <w:kern w:val="0"/>
          <w:sz w:val="32"/>
          <w:szCs w:val="32"/>
        </w:rPr>
        <w:t>3.</w:t>
      </w:r>
      <w:r>
        <w:rPr>
          <w:rFonts w:hint="default" w:ascii="Times New Roman" w:hAnsi="Times New Roman" w:eastAsia="仿宋_GB2312" w:cs="Times New Roman"/>
          <w:bCs/>
          <w:color w:val="auto"/>
          <w:spacing w:val="-10"/>
          <w:kern w:val="0"/>
          <w:sz w:val="32"/>
          <w:szCs w:val="32"/>
        </w:rPr>
        <w:t>新晃侗族自治县</w:t>
      </w:r>
      <w:r>
        <w:rPr>
          <w:rFonts w:hint="default" w:ascii="Times New Roman" w:hAnsi="Times New Roman" w:eastAsia="仿宋_GB2312" w:cs="Times New Roman"/>
          <w:bCs/>
          <w:color w:val="auto"/>
          <w:spacing w:val="-10"/>
          <w:kern w:val="0"/>
          <w:sz w:val="32"/>
          <w:szCs w:val="32"/>
          <w:lang w:val="zh-CN"/>
        </w:rPr>
        <w:t>征收范围内水田旱地的青苗补偿标准</w:t>
      </w:r>
    </w:p>
    <w:p w14:paraId="5F54DF6B">
      <w:pPr>
        <w:keepNext w:val="0"/>
        <w:keepLines w:val="0"/>
        <w:pageBreakBefore w:val="0"/>
        <w:widowControl w:val="0"/>
        <w:suppressAutoHyphens/>
        <w:kinsoku/>
        <w:wordWrap/>
        <w:overflowPunct/>
        <w:topLinePunct w:val="0"/>
        <w:autoSpaceDE/>
        <w:autoSpaceDN/>
        <w:bidi w:val="0"/>
        <w:adjustRightInd/>
        <w:snapToGrid/>
        <w:spacing w:line="640" w:lineRule="exact"/>
        <w:ind w:left="1916" w:leftChars="760" w:hanging="320" w:hangingChars="100"/>
        <w:textAlignment w:val="auto"/>
        <w:rPr>
          <w:rFonts w:hint="default" w:ascii="Times New Roman" w:hAnsi="Times New Roman" w:eastAsia="仿宋_GB2312" w:cs="Times New Roman"/>
          <w:bCs/>
          <w:color w:val="auto"/>
          <w:kern w:val="0"/>
          <w:sz w:val="32"/>
          <w:szCs w:val="32"/>
          <w:lang w:val="zh-CN"/>
        </w:rPr>
      </w:pPr>
      <w:r>
        <w:rPr>
          <w:rFonts w:hint="default" w:ascii="Times New Roman" w:hAnsi="Times New Roman" w:eastAsia="仿宋_GB2312" w:cs="Times New Roman"/>
          <w:bCs/>
          <w:color w:val="auto"/>
          <w:kern w:val="0"/>
          <w:sz w:val="32"/>
          <w:szCs w:val="32"/>
        </w:rPr>
        <w:t>4.新晃侗族自治县</w:t>
      </w:r>
      <w:r>
        <w:rPr>
          <w:rFonts w:hint="default" w:ascii="Times New Roman" w:hAnsi="Times New Roman" w:eastAsia="仿宋_GB2312" w:cs="Times New Roman"/>
          <w:bCs/>
          <w:color w:val="auto"/>
          <w:kern w:val="0"/>
          <w:sz w:val="32"/>
          <w:szCs w:val="32"/>
          <w:lang w:val="zh-CN"/>
        </w:rPr>
        <w:t>征收范围内成片用材林、果树、经济林的青苗补偿标准</w:t>
      </w:r>
    </w:p>
    <w:p w14:paraId="49376BC2">
      <w:pPr>
        <w:keepNext w:val="0"/>
        <w:keepLines w:val="0"/>
        <w:pageBreakBefore w:val="0"/>
        <w:widowControl w:val="0"/>
        <w:suppressAutoHyphens/>
        <w:kinsoku/>
        <w:wordWrap/>
        <w:overflowPunct/>
        <w:topLinePunct w:val="0"/>
        <w:autoSpaceDE/>
        <w:autoSpaceDN/>
        <w:bidi w:val="0"/>
        <w:adjustRightInd/>
        <w:snapToGrid/>
        <w:spacing w:line="640" w:lineRule="exact"/>
        <w:ind w:left="1916" w:leftChars="760" w:hanging="320" w:hangingChars="100"/>
        <w:textAlignment w:val="auto"/>
        <w:rPr>
          <w:rFonts w:hint="default" w:ascii="Times New Roman" w:hAnsi="Times New Roman" w:eastAsia="仿宋_GB2312" w:cs="Times New Roman"/>
          <w:bCs/>
          <w:color w:val="auto"/>
          <w:kern w:val="0"/>
          <w:sz w:val="32"/>
          <w:szCs w:val="32"/>
          <w:lang w:val="zh-CN"/>
        </w:rPr>
      </w:pPr>
      <w:r>
        <w:rPr>
          <w:rFonts w:hint="default" w:ascii="Times New Roman" w:hAnsi="Times New Roman" w:eastAsia="仿宋_GB2312" w:cs="Times New Roman"/>
          <w:bCs/>
          <w:color w:val="auto"/>
          <w:kern w:val="0"/>
          <w:sz w:val="32"/>
          <w:szCs w:val="32"/>
        </w:rPr>
        <w:t>5.新晃侗族自治县</w:t>
      </w:r>
      <w:r>
        <w:rPr>
          <w:rFonts w:hint="default" w:ascii="Times New Roman" w:hAnsi="Times New Roman" w:eastAsia="仿宋_GB2312" w:cs="Times New Roman"/>
          <w:bCs/>
          <w:color w:val="auto"/>
          <w:kern w:val="0"/>
          <w:sz w:val="32"/>
          <w:szCs w:val="32"/>
          <w:lang w:val="zh-CN"/>
        </w:rPr>
        <w:t>征收建设用地范围内零星树木、竹类、果树、经济林、苗木、花卉的青苗补偿标准</w:t>
      </w:r>
    </w:p>
    <w:p w14:paraId="32FC5D84">
      <w:pPr>
        <w:keepNext w:val="0"/>
        <w:keepLines w:val="0"/>
        <w:pageBreakBefore w:val="0"/>
        <w:widowControl w:val="0"/>
        <w:suppressAutoHyphens/>
        <w:kinsoku/>
        <w:wordWrap/>
        <w:overflowPunct/>
        <w:topLinePunct w:val="0"/>
        <w:autoSpaceDE/>
        <w:autoSpaceDN/>
        <w:bidi w:val="0"/>
        <w:adjustRightInd/>
        <w:snapToGrid/>
        <w:spacing w:line="640" w:lineRule="exact"/>
        <w:ind w:left="1916" w:leftChars="760" w:hanging="320" w:hangingChars="100"/>
        <w:textAlignment w:val="auto"/>
        <w:rPr>
          <w:rFonts w:hint="default" w:ascii="Times New Roman" w:hAnsi="Times New Roman" w:eastAsia="仿宋_GB2312" w:cs="Times New Roman"/>
          <w:bCs/>
          <w:color w:val="auto"/>
          <w:kern w:val="0"/>
          <w:sz w:val="32"/>
          <w:szCs w:val="32"/>
          <w:lang w:val="zh-CN"/>
        </w:rPr>
      </w:pPr>
      <w:r>
        <w:rPr>
          <w:rFonts w:hint="default" w:ascii="Times New Roman" w:hAnsi="Times New Roman" w:eastAsia="仿宋_GB2312" w:cs="Times New Roman"/>
          <w:bCs/>
          <w:color w:val="auto"/>
          <w:kern w:val="0"/>
          <w:sz w:val="32"/>
          <w:szCs w:val="32"/>
        </w:rPr>
        <w:t>6.新晃侗族自治县</w:t>
      </w:r>
      <w:r>
        <w:rPr>
          <w:rFonts w:hint="default" w:ascii="Times New Roman" w:hAnsi="Times New Roman" w:eastAsia="仿宋_GB2312" w:cs="Times New Roman"/>
          <w:bCs/>
          <w:color w:val="auto"/>
          <w:kern w:val="0"/>
          <w:sz w:val="32"/>
          <w:szCs w:val="32"/>
          <w:lang w:val="zh-CN"/>
        </w:rPr>
        <w:t>集体土地上房屋征收补偿标准说明</w:t>
      </w:r>
    </w:p>
    <w:p w14:paraId="16B525D4">
      <w:pPr>
        <w:keepNext w:val="0"/>
        <w:keepLines w:val="0"/>
        <w:pageBreakBefore w:val="0"/>
        <w:widowControl w:val="0"/>
        <w:suppressAutoHyphens/>
        <w:kinsoku/>
        <w:wordWrap/>
        <w:overflowPunct/>
        <w:topLinePunct w:val="0"/>
        <w:autoSpaceDE/>
        <w:autoSpaceDN/>
        <w:bidi w:val="0"/>
        <w:adjustRightInd/>
        <w:snapToGrid/>
        <w:spacing w:line="640" w:lineRule="exact"/>
        <w:ind w:firstLine="1600" w:firstLineChars="500"/>
        <w:textAlignment w:val="auto"/>
        <w:rPr>
          <w:rFonts w:hint="default" w:ascii="Times New Roman" w:hAnsi="Times New Roman" w:eastAsia="仿宋_GB2312" w:cs="Times New Roman"/>
          <w:bCs/>
          <w:color w:val="auto"/>
          <w:kern w:val="0"/>
          <w:sz w:val="32"/>
          <w:szCs w:val="32"/>
          <w:lang w:val="zh-CN"/>
        </w:rPr>
      </w:pPr>
      <w:r>
        <w:rPr>
          <w:rFonts w:hint="default" w:ascii="Times New Roman" w:hAnsi="Times New Roman" w:eastAsia="仿宋_GB2312" w:cs="Times New Roman"/>
          <w:bCs/>
          <w:color w:val="auto"/>
          <w:kern w:val="0"/>
          <w:sz w:val="32"/>
          <w:szCs w:val="32"/>
        </w:rPr>
        <w:t>7.新晃侗族自治县</w:t>
      </w:r>
      <w:r>
        <w:rPr>
          <w:rFonts w:hint="default" w:ascii="Times New Roman" w:hAnsi="Times New Roman" w:eastAsia="仿宋_GB2312" w:cs="Times New Roman"/>
          <w:bCs/>
          <w:color w:val="auto"/>
          <w:kern w:val="0"/>
          <w:sz w:val="32"/>
          <w:szCs w:val="32"/>
          <w:lang w:val="zh-CN"/>
        </w:rPr>
        <w:t>集体土地上房屋征收补偿标准</w:t>
      </w:r>
    </w:p>
    <w:p w14:paraId="2C0A4C76">
      <w:pPr>
        <w:keepNext w:val="0"/>
        <w:keepLines w:val="0"/>
        <w:pageBreakBefore w:val="0"/>
        <w:widowControl w:val="0"/>
        <w:suppressAutoHyphens/>
        <w:kinsoku/>
        <w:wordWrap/>
        <w:overflowPunct/>
        <w:topLinePunct w:val="0"/>
        <w:autoSpaceDE/>
        <w:autoSpaceDN/>
        <w:bidi w:val="0"/>
        <w:adjustRightInd/>
        <w:snapToGrid/>
        <w:spacing w:line="640" w:lineRule="exact"/>
        <w:ind w:firstLine="1600" w:firstLineChars="500"/>
        <w:textAlignment w:val="auto"/>
        <w:rPr>
          <w:rFonts w:hint="default" w:ascii="Times New Roman" w:hAnsi="Times New Roman" w:eastAsia="仿宋_GB2312" w:cs="Times New Roman"/>
          <w:bCs/>
          <w:color w:val="auto"/>
          <w:kern w:val="0"/>
          <w:sz w:val="32"/>
          <w:szCs w:val="32"/>
          <w:lang w:val="zh-CN"/>
        </w:rPr>
      </w:pPr>
      <w:r>
        <w:rPr>
          <w:rFonts w:hint="default" w:ascii="Times New Roman" w:hAnsi="Times New Roman" w:eastAsia="仿宋_GB2312" w:cs="Times New Roman"/>
          <w:bCs/>
          <w:color w:val="auto"/>
          <w:kern w:val="0"/>
          <w:sz w:val="32"/>
          <w:szCs w:val="32"/>
        </w:rPr>
        <w:t>8.新晃侗族自治县</w:t>
      </w:r>
      <w:r>
        <w:rPr>
          <w:rFonts w:hint="default" w:ascii="Times New Roman" w:hAnsi="Times New Roman" w:eastAsia="仿宋_GB2312" w:cs="Times New Roman"/>
          <w:bCs/>
          <w:color w:val="auto"/>
          <w:kern w:val="0"/>
          <w:sz w:val="32"/>
          <w:szCs w:val="32"/>
          <w:lang w:val="zh-CN"/>
        </w:rPr>
        <w:t>房屋装修（饰）补偿标准</w:t>
      </w:r>
    </w:p>
    <w:p w14:paraId="196F30C7">
      <w:pPr>
        <w:keepNext w:val="0"/>
        <w:keepLines w:val="0"/>
        <w:pageBreakBefore w:val="0"/>
        <w:widowControl w:val="0"/>
        <w:suppressAutoHyphens/>
        <w:kinsoku/>
        <w:wordWrap/>
        <w:overflowPunct/>
        <w:topLinePunct w:val="0"/>
        <w:autoSpaceDE/>
        <w:autoSpaceDN/>
        <w:bidi w:val="0"/>
        <w:adjustRightInd/>
        <w:snapToGrid/>
        <w:spacing w:line="640" w:lineRule="exact"/>
        <w:ind w:left="1916" w:leftChars="760" w:hanging="320" w:hangingChars="100"/>
        <w:textAlignment w:val="auto"/>
        <w:rPr>
          <w:rFonts w:hint="default" w:ascii="Times New Roman" w:hAnsi="Times New Roman" w:eastAsia="仿宋_GB2312" w:cs="Times New Roman"/>
          <w:bCs/>
          <w:color w:val="auto"/>
          <w:kern w:val="0"/>
          <w:sz w:val="32"/>
          <w:szCs w:val="32"/>
          <w:lang w:val="zh-CN"/>
        </w:rPr>
      </w:pPr>
      <w:r>
        <w:rPr>
          <w:rFonts w:hint="default" w:ascii="Times New Roman" w:hAnsi="Times New Roman" w:eastAsia="仿宋_GB2312" w:cs="Times New Roman"/>
          <w:bCs/>
          <w:color w:val="auto"/>
          <w:kern w:val="0"/>
          <w:sz w:val="32"/>
          <w:szCs w:val="32"/>
        </w:rPr>
        <w:t>9.新晃侗族自治县</w:t>
      </w:r>
      <w:r>
        <w:rPr>
          <w:rFonts w:hint="default" w:ascii="Times New Roman" w:hAnsi="Times New Roman" w:eastAsia="仿宋_GB2312" w:cs="Times New Roman"/>
          <w:bCs/>
          <w:color w:val="auto"/>
          <w:kern w:val="0"/>
          <w:sz w:val="32"/>
          <w:szCs w:val="32"/>
          <w:lang w:val="zh-CN"/>
        </w:rPr>
        <w:t>集体土地上生产生活设施和地上建（构）筑物及附着物补偿标准</w:t>
      </w:r>
    </w:p>
    <w:p w14:paraId="01FDCD69">
      <w:pPr>
        <w:keepNext w:val="0"/>
        <w:keepLines w:val="0"/>
        <w:pageBreakBefore w:val="0"/>
        <w:widowControl w:val="0"/>
        <w:suppressAutoHyphens/>
        <w:kinsoku/>
        <w:wordWrap/>
        <w:overflowPunct/>
        <w:topLinePunct w:val="0"/>
        <w:autoSpaceDE/>
        <w:autoSpaceDN/>
        <w:bidi w:val="0"/>
        <w:adjustRightInd/>
        <w:snapToGrid/>
        <w:spacing w:line="640" w:lineRule="exact"/>
        <w:ind w:left="2236" w:leftChars="760" w:hanging="640" w:hangingChars="200"/>
        <w:textAlignment w:val="auto"/>
        <w:rPr>
          <w:rFonts w:hint="default" w:ascii="Times New Roman" w:hAnsi="Times New Roman" w:eastAsia="仿宋_GB2312" w:cs="Times New Roman"/>
          <w:bCs/>
          <w:color w:val="auto"/>
          <w:kern w:val="0"/>
          <w:sz w:val="32"/>
          <w:szCs w:val="32"/>
          <w:lang w:val="zh-CN"/>
        </w:rPr>
      </w:pPr>
      <w:r>
        <w:rPr>
          <w:rFonts w:hint="default" w:ascii="Times New Roman" w:hAnsi="Times New Roman" w:eastAsia="仿宋_GB2312" w:cs="Times New Roman"/>
          <w:bCs/>
          <w:color w:val="auto"/>
          <w:kern w:val="0"/>
          <w:sz w:val="32"/>
          <w:szCs w:val="32"/>
        </w:rPr>
        <w:t>10.新晃侗族自治县</w:t>
      </w:r>
      <w:r>
        <w:rPr>
          <w:rFonts w:hint="default" w:ascii="Times New Roman" w:hAnsi="Times New Roman" w:eastAsia="仿宋_GB2312" w:cs="Times New Roman"/>
          <w:bCs/>
          <w:color w:val="auto"/>
          <w:kern w:val="0"/>
          <w:sz w:val="32"/>
          <w:szCs w:val="32"/>
          <w:lang w:val="zh-CN"/>
        </w:rPr>
        <w:t>集体土地上坟墓及附属设施征收</w:t>
      </w:r>
    </w:p>
    <w:p w14:paraId="5271B840">
      <w:pPr>
        <w:keepNext w:val="0"/>
        <w:keepLines w:val="0"/>
        <w:pageBreakBefore w:val="0"/>
        <w:widowControl w:val="0"/>
        <w:suppressAutoHyphens/>
        <w:kinsoku/>
        <w:wordWrap/>
        <w:overflowPunct/>
        <w:topLinePunct w:val="0"/>
        <w:autoSpaceDE/>
        <w:autoSpaceDN/>
        <w:bidi w:val="0"/>
        <w:adjustRightInd/>
        <w:snapToGrid/>
        <w:spacing w:line="640" w:lineRule="exact"/>
        <w:jc w:val="left"/>
        <w:textAlignment w:val="auto"/>
        <w:rPr>
          <w:rFonts w:hint="default" w:ascii="Times New Roman" w:hAnsi="Times New Roman" w:eastAsia="仿宋_GB2312" w:cs="Times New Roman"/>
          <w:bCs/>
          <w:color w:val="auto"/>
          <w:kern w:val="0"/>
          <w:sz w:val="32"/>
          <w:szCs w:val="32"/>
          <w:lang w:val="zh-CN"/>
        </w:rPr>
      </w:pPr>
      <w:r>
        <w:rPr>
          <w:rFonts w:hint="default" w:ascii="Times New Roman" w:hAnsi="Times New Roman" w:eastAsia="仿宋_GB2312" w:cs="Times New Roman"/>
          <w:bCs/>
          <w:color w:val="auto"/>
          <w:kern w:val="0"/>
          <w:sz w:val="32"/>
          <w:szCs w:val="32"/>
          <w:lang w:val="zh-CN"/>
        </w:rPr>
        <w:t>　　　　　　补偿标准</w:t>
      </w:r>
    </w:p>
    <w:p w14:paraId="053FC18E">
      <w:pPr>
        <w:keepNext w:val="0"/>
        <w:keepLines w:val="0"/>
        <w:pageBreakBefore w:val="0"/>
        <w:widowControl w:val="0"/>
        <w:kinsoku/>
        <w:wordWrap/>
        <w:overflowPunct/>
        <w:topLinePunct w:val="0"/>
        <w:autoSpaceDE/>
        <w:autoSpaceDN/>
        <w:bidi w:val="0"/>
        <w:adjustRightInd/>
        <w:snapToGrid/>
        <w:spacing w:line="620" w:lineRule="exact"/>
        <w:textAlignment w:val="auto"/>
        <w:rPr>
          <w:rFonts w:hint="default" w:ascii="Times New Roman" w:hAnsi="Times New Roman" w:eastAsia="仿宋_GB2312" w:cs="Times New Roman"/>
          <w:bCs/>
          <w:color w:val="auto"/>
          <w:sz w:val="32"/>
          <w:szCs w:val="32"/>
        </w:rPr>
        <w:sectPr>
          <w:footerReference r:id="rId3" w:type="default"/>
          <w:footerReference r:id="rId4" w:type="even"/>
          <w:pgSz w:w="11906" w:h="16838"/>
          <w:pgMar w:top="1701" w:right="1304" w:bottom="1134" w:left="1531" w:header="851" w:footer="992" w:gutter="0"/>
          <w:cols w:space="0" w:num="1"/>
          <w:rtlGutter w:val="0"/>
          <w:docGrid w:type="lines" w:linePitch="312" w:charSpace="0"/>
        </w:sectPr>
      </w:pPr>
    </w:p>
    <w:p w14:paraId="57A178F3">
      <w:pPr>
        <w:spacing w:line="620" w:lineRule="exact"/>
        <w:rPr>
          <w:rFonts w:ascii="黑体" w:hAnsi="黑体" w:eastAsia="黑体" w:cs="Times New Roman"/>
          <w:bCs/>
          <w:color w:val="000000"/>
          <w:sz w:val="32"/>
          <w:szCs w:val="32"/>
        </w:rPr>
      </w:pPr>
      <w:r>
        <w:rPr>
          <w:rFonts w:hint="eastAsia" w:ascii="黑体" w:hAnsi="黑体" w:eastAsia="黑体" w:cs="仿宋_GB2312"/>
          <w:bCs/>
          <w:color w:val="000000"/>
          <w:sz w:val="32"/>
          <w:szCs w:val="32"/>
        </w:rPr>
        <w:t>附</w:t>
      </w:r>
      <w:r>
        <w:rPr>
          <w:rFonts w:ascii="黑体" w:hAnsi="黑体" w:eastAsia="黑体" w:cs="Times New Roman"/>
          <w:bCs/>
          <w:color w:val="000000"/>
          <w:sz w:val="32"/>
          <w:szCs w:val="32"/>
        </w:rPr>
        <w:t>件1</w:t>
      </w:r>
    </w:p>
    <w:p w14:paraId="76DB80FC">
      <w:pPr>
        <w:spacing w:line="620" w:lineRule="exact"/>
        <w:rPr>
          <w:rFonts w:ascii="Times New Roman" w:hAnsi="Times New Roman" w:eastAsia="仿宋_GB2312" w:cs="Times New Roman"/>
          <w:b/>
          <w:bCs/>
          <w:color w:val="000000"/>
          <w:sz w:val="32"/>
          <w:szCs w:val="32"/>
        </w:rPr>
      </w:pPr>
    </w:p>
    <w:p w14:paraId="64718FAD">
      <w:pPr>
        <w:spacing w:line="620" w:lineRule="exact"/>
        <w:jc w:val="center"/>
        <w:rPr>
          <w:rFonts w:ascii="Times New Roman" w:hAnsi="Times New Roman" w:eastAsia="方正小标宋简体" w:cs="Times New Roman"/>
          <w:bCs/>
          <w:color w:val="000000"/>
          <w:sz w:val="44"/>
          <w:szCs w:val="44"/>
        </w:rPr>
      </w:pPr>
      <w:r>
        <w:rPr>
          <w:rFonts w:ascii="Times New Roman" w:hAnsi="方正小标宋简体" w:eastAsia="方正小标宋简体" w:cs="Times New Roman"/>
          <w:bCs/>
          <w:color w:val="000000"/>
          <w:sz w:val="44"/>
          <w:szCs w:val="44"/>
        </w:rPr>
        <w:t>新晃侗族自治县征地补偿标准等级区域划分</w:t>
      </w:r>
    </w:p>
    <w:p w14:paraId="2D78055E">
      <w:pPr>
        <w:spacing w:line="620" w:lineRule="exact"/>
        <w:jc w:val="center"/>
        <w:rPr>
          <w:rFonts w:ascii="Times New Roman" w:hAnsi="Times New Roman" w:eastAsia="方正小标宋简体" w:cs="Times New Roman"/>
          <w:bCs/>
          <w:color w:val="000000"/>
          <w:sz w:val="44"/>
          <w:szCs w:val="44"/>
        </w:rPr>
      </w:pPr>
    </w:p>
    <w:tbl>
      <w:tblPr>
        <w:tblStyle w:val="18"/>
        <w:tblW w:w="8679" w:type="dxa"/>
        <w:jc w:val="center"/>
        <w:tblLayout w:type="fixed"/>
        <w:tblCellMar>
          <w:top w:w="0" w:type="dxa"/>
          <w:left w:w="15" w:type="dxa"/>
          <w:bottom w:w="0" w:type="dxa"/>
          <w:right w:w="15" w:type="dxa"/>
        </w:tblCellMar>
      </w:tblPr>
      <w:tblGrid>
        <w:gridCol w:w="1017"/>
        <w:gridCol w:w="1344"/>
        <w:gridCol w:w="6318"/>
      </w:tblGrid>
      <w:tr w14:paraId="23F3B5F8">
        <w:tblPrEx>
          <w:tblCellMar>
            <w:top w:w="0" w:type="dxa"/>
            <w:left w:w="15" w:type="dxa"/>
            <w:bottom w:w="0" w:type="dxa"/>
            <w:right w:w="15" w:type="dxa"/>
          </w:tblCellMar>
        </w:tblPrEx>
        <w:trPr>
          <w:trHeight w:val="1829" w:hRule="atLeast"/>
          <w:jc w:val="center"/>
        </w:trPr>
        <w:tc>
          <w:tcPr>
            <w:tcW w:w="1017" w:type="dxa"/>
            <w:vMerge w:val="restart"/>
            <w:tcBorders>
              <w:top w:val="single" w:color="auto" w:sz="4" w:space="0"/>
              <w:left w:val="single" w:color="auto" w:sz="4" w:space="0"/>
              <w:bottom w:val="single" w:color="auto" w:sz="4" w:space="0"/>
              <w:right w:val="single" w:color="auto" w:sz="4" w:space="0"/>
            </w:tcBorders>
            <w:vAlign w:val="center"/>
          </w:tcPr>
          <w:p w14:paraId="1C66E0C9">
            <w:pPr>
              <w:spacing w:line="400" w:lineRule="exact"/>
              <w:ind w:right="-84" w:rightChars="-40"/>
              <w:jc w:val="center"/>
              <w:rPr>
                <w:rFonts w:ascii="仿宋_GB2312" w:hAnsi="仿宋_GB2312" w:eastAsia="仿宋_GB2312" w:cs="仿宋_GB2312"/>
                <w:color w:val="000000"/>
              </w:rPr>
            </w:pPr>
            <w:r>
              <w:rPr>
                <w:rFonts w:hint="eastAsia" w:ascii="仿宋_GB2312" w:hAnsi="仿宋_GB2312" w:eastAsia="仿宋_GB2312" w:cs="仿宋_GB2312"/>
                <w:color w:val="000000"/>
                <w:sz w:val="24"/>
              </w:rPr>
              <w:t>新晃侗族自治县</w:t>
            </w:r>
          </w:p>
        </w:tc>
        <w:tc>
          <w:tcPr>
            <w:tcW w:w="1344" w:type="dxa"/>
            <w:tcBorders>
              <w:top w:val="single" w:color="auto" w:sz="4" w:space="0"/>
              <w:left w:val="single" w:color="auto" w:sz="4" w:space="0"/>
              <w:bottom w:val="single" w:color="000000" w:sz="4" w:space="0"/>
              <w:right w:val="single" w:color="000000" w:sz="4" w:space="0"/>
            </w:tcBorders>
            <w:vAlign w:val="center"/>
          </w:tcPr>
          <w:p w14:paraId="094EC2D8">
            <w:pPr>
              <w:spacing w:line="400" w:lineRule="exact"/>
              <w:jc w:val="center"/>
              <w:rPr>
                <w:rFonts w:ascii="仿宋_GB2312" w:hAnsi="仿宋_GB2312" w:eastAsia="仿宋_GB2312" w:cs="仿宋_GB2312"/>
                <w:color w:val="000000"/>
              </w:rPr>
            </w:pPr>
            <w:r>
              <w:rPr>
                <w:rFonts w:hint="eastAsia" w:ascii="仿宋_GB2312" w:hAnsi="仿宋_GB2312" w:eastAsia="仿宋_GB2312" w:cs="仿宋_GB2312"/>
                <w:color w:val="000000"/>
                <w:kern w:val="0"/>
                <w:sz w:val="24"/>
              </w:rPr>
              <w:t>Ⅰ区</w:t>
            </w:r>
          </w:p>
        </w:tc>
        <w:tc>
          <w:tcPr>
            <w:tcW w:w="6318" w:type="dxa"/>
            <w:tcBorders>
              <w:top w:val="single" w:color="000000" w:sz="4" w:space="0"/>
              <w:left w:val="single" w:color="000000" w:sz="4" w:space="0"/>
              <w:bottom w:val="single" w:color="000000" w:sz="4" w:space="0"/>
              <w:right w:val="single" w:color="000000" w:sz="4" w:space="0"/>
            </w:tcBorders>
            <w:vAlign w:val="center"/>
          </w:tcPr>
          <w:p w14:paraId="6C211596">
            <w:pPr>
              <w:spacing w:line="400" w:lineRule="exact"/>
              <w:ind w:right="139" w:rightChars="66"/>
              <w:rPr>
                <w:rFonts w:ascii="仿宋_GB2312" w:hAnsi="仿宋_GB2312" w:eastAsia="仿宋_GB2312" w:cs="仿宋_GB2312"/>
                <w:color w:val="000000"/>
              </w:rPr>
            </w:pPr>
            <w:r>
              <w:rPr>
                <w:rFonts w:hint="eastAsia" w:ascii="仿宋_GB2312" w:hAnsi="仿宋_GB2312" w:eastAsia="仿宋_GB2312" w:cs="仿宋_GB2312"/>
                <w:b/>
                <w:color w:val="000000"/>
                <w:sz w:val="24"/>
              </w:rPr>
              <w:t>晃州镇：</w:t>
            </w:r>
            <w:r>
              <w:rPr>
                <w:rFonts w:hint="eastAsia" w:ascii="仿宋_GB2312" w:hAnsi="仿宋_GB2312" w:eastAsia="仿宋_GB2312" w:cs="仿宋_GB2312"/>
                <w:color w:val="000000"/>
                <w:sz w:val="24"/>
              </w:rPr>
              <w:t>晃州村、柏树林村、民生村、长乐坪村、丁字坳村、胜利村、大桥溪村、大洞坪村、高铁新村、长滩村、沙湾村、杨家桥村、新民村、日光村、大树湾村、胡家坝村、石坞溪、水洞村、新村。</w:t>
            </w:r>
          </w:p>
        </w:tc>
      </w:tr>
      <w:tr w14:paraId="6322AF16">
        <w:tblPrEx>
          <w:tblCellMar>
            <w:top w:w="0" w:type="dxa"/>
            <w:left w:w="15" w:type="dxa"/>
            <w:bottom w:w="0" w:type="dxa"/>
            <w:right w:w="15" w:type="dxa"/>
          </w:tblCellMar>
        </w:tblPrEx>
        <w:trPr>
          <w:trHeight w:val="727" w:hRule="atLeast"/>
          <w:jc w:val="center"/>
        </w:trPr>
        <w:tc>
          <w:tcPr>
            <w:tcW w:w="1017" w:type="dxa"/>
            <w:vMerge w:val="continue"/>
            <w:tcBorders>
              <w:top w:val="single" w:color="auto" w:sz="4" w:space="0"/>
              <w:left w:val="single" w:color="auto" w:sz="4" w:space="0"/>
              <w:bottom w:val="single" w:color="auto" w:sz="4" w:space="0"/>
              <w:right w:val="single" w:color="auto" w:sz="4" w:space="0"/>
            </w:tcBorders>
            <w:vAlign w:val="center"/>
          </w:tcPr>
          <w:p w14:paraId="7FD01243">
            <w:pPr>
              <w:rPr>
                <w:rFonts w:ascii="仿宋_GB2312" w:hAnsi="仿宋_GB2312" w:eastAsia="仿宋_GB2312" w:cs="仿宋_GB2312"/>
              </w:rPr>
            </w:pPr>
          </w:p>
        </w:tc>
        <w:tc>
          <w:tcPr>
            <w:tcW w:w="1344" w:type="dxa"/>
            <w:tcBorders>
              <w:top w:val="nil"/>
              <w:left w:val="single" w:color="auto" w:sz="4" w:space="0"/>
              <w:bottom w:val="single" w:color="000000" w:sz="4" w:space="0"/>
              <w:right w:val="single" w:color="000000" w:sz="4" w:space="0"/>
            </w:tcBorders>
            <w:vAlign w:val="center"/>
          </w:tcPr>
          <w:p w14:paraId="151334DD">
            <w:pPr>
              <w:spacing w:line="400" w:lineRule="exact"/>
              <w:jc w:val="center"/>
              <w:rPr>
                <w:rFonts w:ascii="仿宋_GB2312" w:hAnsi="仿宋_GB2312" w:eastAsia="仿宋_GB2312" w:cs="仿宋_GB2312"/>
                <w:color w:val="000000"/>
              </w:rPr>
            </w:pPr>
            <w:r>
              <w:rPr>
                <w:rFonts w:hint="eastAsia" w:ascii="仿宋_GB2312" w:hAnsi="仿宋_GB2312" w:eastAsia="仿宋_GB2312" w:cs="仿宋_GB2312"/>
                <w:color w:val="000000"/>
                <w:kern w:val="0"/>
                <w:sz w:val="24"/>
              </w:rPr>
              <w:t>Ⅱ区</w:t>
            </w:r>
          </w:p>
        </w:tc>
        <w:tc>
          <w:tcPr>
            <w:tcW w:w="6318" w:type="dxa"/>
            <w:tcBorders>
              <w:top w:val="single" w:color="000000" w:sz="4" w:space="0"/>
              <w:left w:val="single" w:color="000000" w:sz="4" w:space="0"/>
              <w:bottom w:val="single" w:color="000000" w:sz="4" w:space="0"/>
              <w:right w:val="single" w:color="000000" w:sz="4" w:space="0"/>
            </w:tcBorders>
            <w:vAlign w:val="center"/>
          </w:tcPr>
          <w:p w14:paraId="0747D42B">
            <w:pPr>
              <w:spacing w:line="400" w:lineRule="exact"/>
              <w:ind w:right="139" w:rightChars="66"/>
              <w:rPr>
                <w:rFonts w:ascii="仿宋_GB2312" w:hAnsi="仿宋_GB2312" w:eastAsia="仿宋_GB2312" w:cs="仿宋_GB2312"/>
                <w:color w:val="000000"/>
              </w:rPr>
            </w:pPr>
            <w:r>
              <w:rPr>
                <w:rFonts w:hint="eastAsia" w:ascii="仿宋_GB2312" w:hAnsi="仿宋_GB2312" w:eastAsia="仿宋_GB2312" w:cs="仿宋_GB2312"/>
                <w:color w:val="000000"/>
                <w:kern w:val="0"/>
                <w:sz w:val="24"/>
              </w:rPr>
              <w:t>除Ⅰ区以外的其他全部乡（镇）、村（社区）</w:t>
            </w:r>
          </w:p>
        </w:tc>
      </w:tr>
    </w:tbl>
    <w:p w14:paraId="4139F7F4">
      <w:pPr>
        <w:rPr>
          <w:rFonts w:ascii="仿宋" w:hAnsi="仿宋" w:eastAsia="仿宋" w:cs="仿宋"/>
          <w:bCs/>
          <w:color w:val="000000"/>
          <w:sz w:val="32"/>
          <w:szCs w:val="32"/>
        </w:rPr>
      </w:pPr>
    </w:p>
    <w:p w14:paraId="1B286BE1">
      <w:pPr>
        <w:rPr>
          <w:rFonts w:ascii="仿宋" w:hAnsi="仿宋" w:eastAsia="仿宋" w:cs="仿宋"/>
          <w:bCs/>
          <w:color w:val="000000"/>
          <w:sz w:val="32"/>
          <w:szCs w:val="32"/>
        </w:rPr>
      </w:pPr>
    </w:p>
    <w:p w14:paraId="2BF1013E">
      <w:pPr>
        <w:rPr>
          <w:rFonts w:ascii="仿宋" w:hAnsi="仿宋" w:eastAsia="仿宋" w:cs="仿宋"/>
          <w:bCs/>
          <w:color w:val="000000"/>
          <w:sz w:val="32"/>
          <w:szCs w:val="32"/>
        </w:rPr>
      </w:pPr>
    </w:p>
    <w:p w14:paraId="10CEC152">
      <w:pPr>
        <w:rPr>
          <w:rFonts w:ascii="仿宋" w:hAnsi="仿宋" w:eastAsia="仿宋" w:cs="仿宋"/>
          <w:bCs/>
          <w:color w:val="000000"/>
          <w:sz w:val="32"/>
          <w:szCs w:val="32"/>
        </w:rPr>
      </w:pPr>
    </w:p>
    <w:p w14:paraId="030EAD85">
      <w:pPr>
        <w:rPr>
          <w:rFonts w:ascii="仿宋_GB2312" w:hAnsi="仿宋_GB2312" w:eastAsia="仿宋_GB2312" w:cs="仿宋_GB2312"/>
          <w:bCs/>
          <w:sz w:val="32"/>
          <w:szCs w:val="32"/>
        </w:rPr>
      </w:pPr>
    </w:p>
    <w:p w14:paraId="3EF2D236">
      <w:pPr>
        <w:rPr>
          <w:rFonts w:ascii="仿宋_GB2312" w:hAnsi="仿宋_GB2312" w:eastAsia="仿宋_GB2312" w:cs="仿宋_GB2312"/>
          <w:bCs/>
          <w:sz w:val="32"/>
          <w:szCs w:val="32"/>
        </w:rPr>
      </w:pPr>
    </w:p>
    <w:p w14:paraId="3560D5F1">
      <w:pPr>
        <w:rPr>
          <w:rFonts w:ascii="仿宋_GB2312" w:hAnsi="仿宋_GB2312" w:eastAsia="仿宋_GB2312" w:cs="仿宋_GB2312"/>
          <w:bCs/>
          <w:sz w:val="32"/>
          <w:szCs w:val="32"/>
        </w:rPr>
      </w:pPr>
    </w:p>
    <w:p w14:paraId="2D0EC2E3">
      <w:pPr>
        <w:rPr>
          <w:rFonts w:ascii="仿宋_GB2312" w:hAnsi="仿宋_GB2312" w:eastAsia="仿宋_GB2312" w:cs="仿宋_GB2312"/>
          <w:bCs/>
          <w:sz w:val="32"/>
          <w:szCs w:val="32"/>
        </w:rPr>
      </w:pPr>
    </w:p>
    <w:p w14:paraId="6772CEC0">
      <w:pPr>
        <w:rPr>
          <w:rFonts w:ascii="仿宋_GB2312" w:hAnsi="仿宋_GB2312" w:eastAsia="仿宋_GB2312" w:cs="仿宋_GB2312"/>
          <w:bCs/>
          <w:sz w:val="32"/>
          <w:szCs w:val="32"/>
        </w:rPr>
      </w:pPr>
    </w:p>
    <w:p w14:paraId="0B3149C0">
      <w:pPr>
        <w:rPr>
          <w:rFonts w:ascii="仿宋_GB2312" w:hAnsi="仿宋_GB2312" w:eastAsia="仿宋_GB2312" w:cs="仿宋_GB2312"/>
          <w:bCs/>
          <w:sz w:val="32"/>
          <w:szCs w:val="32"/>
        </w:rPr>
      </w:pPr>
    </w:p>
    <w:p w14:paraId="252B91C7">
      <w:pPr>
        <w:rPr>
          <w:rFonts w:ascii="仿宋_GB2312" w:hAnsi="仿宋_GB2312" w:eastAsia="仿宋_GB2312" w:cs="仿宋_GB2312"/>
          <w:bCs/>
          <w:sz w:val="32"/>
          <w:szCs w:val="32"/>
        </w:rPr>
      </w:pPr>
    </w:p>
    <w:p w14:paraId="7B00949B">
      <w:pPr>
        <w:rPr>
          <w:rFonts w:ascii="仿宋_GB2312" w:hAnsi="仿宋_GB2312" w:eastAsia="仿宋_GB2312" w:cs="仿宋_GB2312"/>
          <w:bCs/>
          <w:sz w:val="32"/>
          <w:szCs w:val="32"/>
        </w:rPr>
      </w:pPr>
    </w:p>
    <w:p w14:paraId="2B0F7CA1">
      <w:pPr>
        <w:rPr>
          <w:rFonts w:ascii="仿宋_GB2312" w:hAnsi="仿宋_GB2312" w:eastAsia="仿宋_GB2312" w:cs="仿宋_GB2312"/>
          <w:bCs/>
          <w:sz w:val="32"/>
          <w:szCs w:val="32"/>
        </w:rPr>
      </w:pPr>
    </w:p>
    <w:p w14:paraId="77703843">
      <w:pPr>
        <w:widowControl/>
        <w:jc w:val="left"/>
        <w:rPr>
          <w:rFonts w:ascii="仿宋_GB2312" w:hAnsi="仿宋_GB2312" w:eastAsia="仿宋_GB2312" w:cs="仿宋_GB2312"/>
          <w:bCs/>
          <w:sz w:val="32"/>
          <w:szCs w:val="32"/>
        </w:rPr>
      </w:pPr>
      <w:r>
        <w:rPr>
          <w:rFonts w:ascii="仿宋_GB2312" w:hAnsi="仿宋_GB2312" w:eastAsia="仿宋_GB2312" w:cs="仿宋_GB2312"/>
          <w:bCs/>
          <w:sz w:val="32"/>
          <w:szCs w:val="32"/>
        </w:rPr>
        <w:br w:type="page"/>
      </w:r>
    </w:p>
    <w:p w14:paraId="202D219F">
      <w:pPr>
        <w:spacing w:line="620" w:lineRule="exact"/>
        <w:rPr>
          <w:rFonts w:ascii="黑体" w:hAnsi="黑体" w:eastAsia="黑体" w:cs="仿宋_GB2312"/>
          <w:bCs/>
          <w:color w:val="000000"/>
          <w:sz w:val="32"/>
          <w:szCs w:val="32"/>
        </w:rPr>
      </w:pPr>
      <w:r>
        <w:rPr>
          <w:rFonts w:hint="eastAsia" w:ascii="黑体" w:hAnsi="黑体" w:eastAsia="黑体" w:cs="仿宋_GB2312"/>
          <w:bCs/>
          <w:color w:val="000000"/>
          <w:sz w:val="32"/>
          <w:szCs w:val="32"/>
        </w:rPr>
        <w:t>附件2</w:t>
      </w:r>
    </w:p>
    <w:p w14:paraId="1E88E35F">
      <w:pPr>
        <w:spacing w:line="62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新晃侗族自治县征地补偿标准</w:t>
      </w:r>
    </w:p>
    <w:p w14:paraId="05C58245">
      <w:pPr>
        <w:spacing w:line="620" w:lineRule="exact"/>
        <w:ind w:firstLine="360"/>
        <w:jc w:val="right"/>
        <w:rPr>
          <w:rFonts w:ascii="宋体"/>
          <w:szCs w:val="21"/>
        </w:rPr>
      </w:pPr>
      <w:r>
        <w:rPr>
          <w:rFonts w:hint="eastAsia" w:ascii="仿宋_GB2312" w:hAnsi="仿宋_GB2312" w:eastAsia="仿宋_GB2312" w:cs="仿宋_GB2312"/>
          <w:szCs w:val="21"/>
        </w:rPr>
        <w:t>（单位：元/亩）</w:t>
      </w:r>
    </w:p>
    <w:p w14:paraId="611C4C06">
      <w:pPr>
        <w:ind w:firstLine="360"/>
        <w:jc w:val="right"/>
        <w:rPr>
          <w:rFonts w:ascii="宋体"/>
          <w:szCs w:val="21"/>
        </w:rPr>
      </w:pPr>
    </w:p>
    <w:tbl>
      <w:tblPr>
        <w:tblStyle w:val="18"/>
        <w:tblW w:w="8999" w:type="dxa"/>
        <w:jc w:val="center"/>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Layout w:type="fixed"/>
        <w:tblCellMar>
          <w:top w:w="0" w:type="dxa"/>
          <w:left w:w="108" w:type="dxa"/>
          <w:bottom w:w="0" w:type="dxa"/>
          <w:right w:w="108" w:type="dxa"/>
        </w:tblCellMar>
      </w:tblPr>
      <w:tblGrid>
        <w:gridCol w:w="1260"/>
        <w:gridCol w:w="815"/>
        <w:gridCol w:w="788"/>
        <w:gridCol w:w="657"/>
        <w:gridCol w:w="741"/>
        <w:gridCol w:w="749"/>
        <w:gridCol w:w="780"/>
        <w:gridCol w:w="945"/>
        <w:gridCol w:w="840"/>
        <w:gridCol w:w="540"/>
        <w:gridCol w:w="884"/>
      </w:tblGrid>
      <w:tr w14:paraId="752D8348">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543" w:hRule="atLeast"/>
          <w:jc w:val="center"/>
        </w:trPr>
        <w:tc>
          <w:tcPr>
            <w:tcW w:w="1260" w:type="dxa"/>
            <w:tcBorders>
              <w:top w:val="single" w:color="auto" w:sz="4" w:space="0"/>
              <w:left w:val="single" w:color="auto" w:sz="4" w:space="0"/>
              <w:bottom w:val="single" w:color="auto" w:sz="4" w:space="0"/>
              <w:right w:val="single" w:color="auto" w:sz="4" w:space="0"/>
            </w:tcBorders>
            <w:vAlign w:val="center"/>
          </w:tcPr>
          <w:p w14:paraId="53CE6E32">
            <w:pPr>
              <w:autoSpaceDE w:val="0"/>
              <w:autoSpaceDN w:val="0"/>
              <w:adjustRightInd w:val="0"/>
              <w:spacing w:line="400" w:lineRule="exact"/>
              <w:jc w:val="center"/>
              <w:rPr>
                <w:rFonts w:ascii="仿宋_GB2312" w:hAnsi="仿宋_GB2312" w:eastAsia="仿宋_GB2312" w:cs="仿宋_GB2312"/>
              </w:rPr>
            </w:pPr>
            <w:r>
              <w:rPr>
                <w:rFonts w:hint="eastAsia" w:ascii="仿宋_GB2312" w:hAnsi="仿宋_GB2312" w:eastAsia="仿宋_GB2312" w:cs="仿宋_GB2312"/>
              </w:rPr>
              <w:t>县市区</w:t>
            </w:r>
          </w:p>
        </w:tc>
        <w:tc>
          <w:tcPr>
            <w:tcW w:w="1603" w:type="dxa"/>
            <w:gridSpan w:val="2"/>
            <w:tcBorders>
              <w:top w:val="single" w:color="auto" w:sz="4" w:space="0"/>
              <w:left w:val="single" w:color="auto" w:sz="4" w:space="0"/>
              <w:right w:val="single" w:color="auto" w:sz="4" w:space="0"/>
            </w:tcBorders>
            <w:vAlign w:val="center"/>
          </w:tcPr>
          <w:p w14:paraId="364857FE">
            <w:pPr>
              <w:autoSpaceDE w:val="0"/>
              <w:autoSpaceDN w:val="0"/>
              <w:adjustRightInd w:val="0"/>
              <w:spacing w:line="400" w:lineRule="exact"/>
              <w:jc w:val="center"/>
              <w:rPr>
                <w:rFonts w:ascii="仿宋_GB2312" w:hAnsi="仿宋_GB2312" w:eastAsia="仿宋_GB2312" w:cs="仿宋_GB2312"/>
              </w:rPr>
            </w:pPr>
            <w:r>
              <w:rPr>
                <w:rFonts w:hint="eastAsia" w:ascii="仿宋_GB2312" w:hAnsi="仿宋_GB2312" w:eastAsia="仿宋_GB2312" w:cs="仿宋_GB2312"/>
              </w:rPr>
              <w:t>补偿标准</w:t>
            </w:r>
          </w:p>
        </w:tc>
        <w:tc>
          <w:tcPr>
            <w:tcW w:w="6136" w:type="dxa"/>
            <w:gridSpan w:val="8"/>
            <w:tcBorders>
              <w:top w:val="single" w:color="auto" w:sz="4" w:space="0"/>
              <w:left w:val="single" w:color="auto" w:sz="4" w:space="0"/>
              <w:bottom w:val="single" w:color="auto" w:sz="4" w:space="0"/>
              <w:right w:val="single" w:color="auto" w:sz="4" w:space="0"/>
            </w:tcBorders>
            <w:vAlign w:val="center"/>
          </w:tcPr>
          <w:p w14:paraId="5FB0C31F">
            <w:pPr>
              <w:autoSpaceDE w:val="0"/>
              <w:autoSpaceDN w:val="0"/>
              <w:adjustRightInd w:val="0"/>
              <w:spacing w:line="400" w:lineRule="exact"/>
              <w:jc w:val="center"/>
              <w:rPr>
                <w:rFonts w:ascii="仿宋_GB2312" w:hAnsi="仿宋_GB2312" w:eastAsia="仿宋_GB2312" w:cs="仿宋_GB2312"/>
              </w:rPr>
            </w:pPr>
            <w:r>
              <w:rPr>
                <w:rFonts w:hint="eastAsia" w:ascii="仿宋_GB2312" w:hAnsi="仿宋_GB2312" w:eastAsia="仿宋_GB2312" w:cs="仿宋_GB2312"/>
              </w:rPr>
              <w:t>地类系数</w:t>
            </w:r>
          </w:p>
        </w:tc>
      </w:tr>
      <w:tr w14:paraId="62888635">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766" w:hRule="atLeast"/>
          <w:jc w:val="center"/>
        </w:trPr>
        <w:tc>
          <w:tcPr>
            <w:tcW w:w="1260" w:type="dxa"/>
            <w:tcBorders>
              <w:top w:val="single" w:color="auto" w:sz="4" w:space="0"/>
              <w:left w:val="single" w:color="auto" w:sz="4" w:space="0"/>
              <w:bottom w:val="single" w:color="auto" w:sz="4" w:space="0"/>
              <w:right w:val="single" w:color="auto" w:sz="4" w:space="0"/>
            </w:tcBorders>
            <w:vAlign w:val="center"/>
          </w:tcPr>
          <w:p w14:paraId="462CD850">
            <w:pPr>
              <w:autoSpaceDE w:val="0"/>
              <w:autoSpaceDN w:val="0"/>
              <w:adjustRightInd w:val="0"/>
              <w:spacing w:line="400" w:lineRule="exact"/>
              <w:jc w:val="center"/>
              <w:rPr>
                <w:rFonts w:ascii="仿宋_GB2312" w:hAnsi="仿宋_GB2312" w:eastAsia="仿宋_GB2312" w:cs="仿宋_GB2312"/>
              </w:rPr>
            </w:pPr>
          </w:p>
        </w:tc>
        <w:tc>
          <w:tcPr>
            <w:tcW w:w="815" w:type="dxa"/>
            <w:tcBorders>
              <w:top w:val="single" w:color="auto" w:sz="4" w:space="0"/>
              <w:left w:val="single" w:color="auto" w:sz="4" w:space="0"/>
              <w:bottom w:val="single" w:color="auto" w:sz="4" w:space="0"/>
              <w:right w:val="single" w:color="auto" w:sz="4" w:space="0"/>
            </w:tcBorders>
            <w:vAlign w:val="center"/>
          </w:tcPr>
          <w:p w14:paraId="2BD7D06F">
            <w:pPr>
              <w:autoSpaceDE w:val="0"/>
              <w:autoSpaceDN w:val="0"/>
              <w:adjustRightInd w:val="0"/>
              <w:spacing w:line="400" w:lineRule="exact"/>
              <w:jc w:val="center"/>
              <w:rPr>
                <w:rFonts w:ascii="仿宋_GB2312" w:hAnsi="仿宋_GB2312" w:eastAsia="仿宋_GB2312" w:cs="仿宋_GB2312"/>
              </w:rPr>
            </w:pPr>
            <w:r>
              <w:rPr>
                <w:rFonts w:hint="eastAsia" w:ascii="仿宋_GB2312" w:hAnsi="仿宋_GB2312" w:eastAsia="仿宋_GB2312" w:cs="仿宋_GB2312"/>
              </w:rPr>
              <w:t>Ⅰ区</w:t>
            </w:r>
          </w:p>
        </w:tc>
        <w:tc>
          <w:tcPr>
            <w:tcW w:w="788" w:type="dxa"/>
            <w:tcBorders>
              <w:top w:val="single" w:color="auto" w:sz="4" w:space="0"/>
              <w:left w:val="single" w:color="auto" w:sz="4" w:space="0"/>
              <w:bottom w:val="single" w:color="auto" w:sz="4" w:space="0"/>
              <w:right w:val="single" w:color="auto" w:sz="4" w:space="0"/>
            </w:tcBorders>
            <w:vAlign w:val="center"/>
          </w:tcPr>
          <w:p w14:paraId="395664D8">
            <w:pPr>
              <w:autoSpaceDE w:val="0"/>
              <w:autoSpaceDN w:val="0"/>
              <w:adjustRightInd w:val="0"/>
              <w:spacing w:line="400" w:lineRule="exact"/>
              <w:jc w:val="center"/>
              <w:rPr>
                <w:rFonts w:ascii="仿宋_GB2312" w:hAnsi="仿宋_GB2312" w:eastAsia="仿宋_GB2312" w:cs="仿宋_GB2312"/>
              </w:rPr>
            </w:pPr>
            <w:r>
              <w:rPr>
                <w:rFonts w:hint="eastAsia" w:ascii="仿宋_GB2312" w:hAnsi="仿宋_GB2312" w:eastAsia="仿宋_GB2312" w:cs="仿宋_GB2312"/>
              </w:rPr>
              <w:t>Ⅱ区</w:t>
            </w:r>
          </w:p>
        </w:tc>
        <w:tc>
          <w:tcPr>
            <w:tcW w:w="657" w:type="dxa"/>
            <w:tcBorders>
              <w:top w:val="single" w:color="auto" w:sz="4" w:space="0"/>
              <w:left w:val="single" w:color="auto" w:sz="4" w:space="0"/>
              <w:bottom w:val="single" w:color="auto" w:sz="4" w:space="0"/>
              <w:right w:val="single" w:color="auto" w:sz="4" w:space="0"/>
            </w:tcBorders>
            <w:vAlign w:val="center"/>
          </w:tcPr>
          <w:p w14:paraId="1B5B9E3C">
            <w:pPr>
              <w:autoSpaceDE w:val="0"/>
              <w:autoSpaceDN w:val="0"/>
              <w:adjustRightInd w:val="0"/>
              <w:spacing w:line="400" w:lineRule="exact"/>
              <w:jc w:val="center"/>
              <w:rPr>
                <w:rFonts w:ascii="仿宋_GB2312" w:hAnsi="仿宋_GB2312" w:eastAsia="仿宋_GB2312" w:cs="仿宋_GB2312"/>
              </w:rPr>
            </w:pPr>
            <w:r>
              <w:rPr>
                <w:rFonts w:hint="eastAsia" w:ascii="仿宋_GB2312" w:hAnsi="仿宋_GB2312" w:eastAsia="仿宋_GB2312" w:cs="仿宋_GB2312"/>
              </w:rPr>
              <w:t>园地</w:t>
            </w:r>
          </w:p>
        </w:tc>
        <w:tc>
          <w:tcPr>
            <w:tcW w:w="741" w:type="dxa"/>
            <w:tcBorders>
              <w:top w:val="single" w:color="auto" w:sz="4" w:space="0"/>
              <w:left w:val="single" w:color="auto" w:sz="4" w:space="0"/>
              <w:bottom w:val="single" w:color="auto" w:sz="4" w:space="0"/>
              <w:right w:val="single" w:color="auto" w:sz="4" w:space="0"/>
            </w:tcBorders>
            <w:vAlign w:val="center"/>
          </w:tcPr>
          <w:p w14:paraId="7F5EA0D5">
            <w:pPr>
              <w:autoSpaceDE w:val="0"/>
              <w:autoSpaceDN w:val="0"/>
              <w:adjustRightInd w:val="0"/>
              <w:spacing w:line="400" w:lineRule="exact"/>
              <w:jc w:val="center"/>
              <w:rPr>
                <w:rFonts w:ascii="仿宋_GB2312" w:hAnsi="仿宋_GB2312" w:eastAsia="仿宋_GB2312" w:cs="仿宋_GB2312"/>
              </w:rPr>
            </w:pPr>
            <w:r>
              <w:rPr>
                <w:rFonts w:hint="eastAsia" w:ascii="仿宋_GB2312" w:hAnsi="仿宋_GB2312" w:eastAsia="仿宋_GB2312" w:cs="仿宋_GB2312"/>
              </w:rPr>
              <w:t>林地</w:t>
            </w:r>
          </w:p>
        </w:tc>
        <w:tc>
          <w:tcPr>
            <w:tcW w:w="749" w:type="dxa"/>
            <w:tcBorders>
              <w:top w:val="single" w:color="auto" w:sz="4" w:space="0"/>
              <w:left w:val="single" w:color="auto" w:sz="4" w:space="0"/>
              <w:bottom w:val="single" w:color="auto" w:sz="4" w:space="0"/>
              <w:right w:val="single" w:color="auto" w:sz="4" w:space="0"/>
            </w:tcBorders>
            <w:vAlign w:val="center"/>
          </w:tcPr>
          <w:p w14:paraId="461FE84D">
            <w:pPr>
              <w:autoSpaceDE w:val="0"/>
              <w:autoSpaceDN w:val="0"/>
              <w:adjustRightInd w:val="0"/>
              <w:spacing w:line="400" w:lineRule="exact"/>
              <w:jc w:val="center"/>
              <w:rPr>
                <w:rFonts w:ascii="仿宋_GB2312" w:hAnsi="仿宋_GB2312" w:eastAsia="仿宋_GB2312" w:cs="仿宋_GB2312"/>
              </w:rPr>
            </w:pPr>
            <w:r>
              <w:rPr>
                <w:rFonts w:hint="eastAsia" w:ascii="仿宋_GB2312" w:hAnsi="仿宋_GB2312" w:eastAsia="仿宋_GB2312" w:cs="仿宋_GB2312"/>
                <w:sz w:val="24"/>
              </w:rPr>
              <w:t>旱地</w:t>
            </w:r>
          </w:p>
        </w:tc>
        <w:tc>
          <w:tcPr>
            <w:tcW w:w="780" w:type="dxa"/>
            <w:tcBorders>
              <w:top w:val="single" w:color="auto" w:sz="4" w:space="0"/>
              <w:left w:val="single" w:color="auto" w:sz="4" w:space="0"/>
              <w:bottom w:val="single" w:color="auto" w:sz="4" w:space="0"/>
              <w:right w:val="single" w:color="auto" w:sz="4" w:space="0"/>
            </w:tcBorders>
            <w:vAlign w:val="center"/>
          </w:tcPr>
          <w:p w14:paraId="19F03C1C">
            <w:pPr>
              <w:autoSpaceDE w:val="0"/>
              <w:autoSpaceDN w:val="0"/>
              <w:adjustRightInd w:val="0"/>
              <w:spacing w:line="400" w:lineRule="exact"/>
              <w:jc w:val="center"/>
              <w:rPr>
                <w:rFonts w:ascii="仿宋_GB2312" w:hAnsi="仿宋_GB2312" w:eastAsia="仿宋_GB2312" w:cs="仿宋_GB2312"/>
              </w:rPr>
            </w:pPr>
            <w:r>
              <w:rPr>
                <w:rFonts w:hint="eastAsia" w:ascii="仿宋_GB2312" w:hAnsi="仿宋_GB2312" w:eastAsia="仿宋_GB2312" w:cs="仿宋_GB2312"/>
              </w:rPr>
              <w:t>未利用地</w:t>
            </w:r>
          </w:p>
        </w:tc>
        <w:tc>
          <w:tcPr>
            <w:tcW w:w="945" w:type="dxa"/>
            <w:tcBorders>
              <w:top w:val="single" w:color="auto" w:sz="4" w:space="0"/>
              <w:left w:val="single" w:color="auto" w:sz="4" w:space="0"/>
              <w:bottom w:val="single" w:color="auto" w:sz="4" w:space="0"/>
              <w:right w:val="single" w:color="auto" w:sz="4" w:space="0"/>
            </w:tcBorders>
            <w:vAlign w:val="center"/>
          </w:tcPr>
          <w:p w14:paraId="629C13E4">
            <w:pPr>
              <w:autoSpaceDE w:val="0"/>
              <w:autoSpaceDN w:val="0"/>
              <w:adjustRightInd w:val="0"/>
              <w:spacing w:line="400" w:lineRule="exact"/>
              <w:jc w:val="center"/>
              <w:rPr>
                <w:rFonts w:ascii="仿宋_GB2312" w:hAnsi="仿宋_GB2312" w:eastAsia="仿宋_GB2312" w:cs="仿宋_GB2312"/>
              </w:rPr>
            </w:pPr>
            <w:r>
              <w:rPr>
                <w:rFonts w:hint="eastAsia" w:ascii="仿宋_GB2312" w:hAnsi="仿宋_GB2312" w:eastAsia="仿宋_GB2312" w:cs="仿宋_GB2312"/>
              </w:rPr>
              <w:t>其他农用地</w:t>
            </w:r>
          </w:p>
        </w:tc>
        <w:tc>
          <w:tcPr>
            <w:tcW w:w="840" w:type="dxa"/>
            <w:tcBorders>
              <w:top w:val="single" w:color="auto" w:sz="4" w:space="0"/>
              <w:left w:val="single" w:color="auto" w:sz="4" w:space="0"/>
              <w:bottom w:val="single" w:color="auto" w:sz="4" w:space="0"/>
              <w:right w:val="single" w:color="auto" w:sz="4" w:space="0"/>
            </w:tcBorders>
            <w:vAlign w:val="center"/>
          </w:tcPr>
          <w:p w14:paraId="3C25F2A2">
            <w:pPr>
              <w:autoSpaceDE w:val="0"/>
              <w:autoSpaceDN w:val="0"/>
              <w:adjustRightInd w:val="0"/>
              <w:spacing w:line="400" w:lineRule="exact"/>
              <w:jc w:val="center"/>
              <w:rPr>
                <w:rFonts w:ascii="仿宋_GB2312" w:hAnsi="仿宋_GB2312" w:eastAsia="仿宋_GB2312" w:cs="仿宋_GB2312"/>
                <w:szCs w:val="21"/>
              </w:rPr>
            </w:pPr>
            <w:r>
              <w:rPr>
                <w:rFonts w:hint="eastAsia" w:ascii="仿宋_GB2312" w:hAnsi="仿宋_GB2312" w:eastAsia="仿宋_GB2312" w:cs="仿宋_GB2312"/>
                <w:szCs w:val="21"/>
              </w:rPr>
              <w:t>恢复属性地类</w:t>
            </w:r>
          </w:p>
        </w:tc>
        <w:tc>
          <w:tcPr>
            <w:tcW w:w="540" w:type="dxa"/>
            <w:tcBorders>
              <w:top w:val="single" w:color="auto" w:sz="4" w:space="0"/>
              <w:left w:val="single" w:color="auto" w:sz="4" w:space="0"/>
              <w:bottom w:val="single" w:color="auto" w:sz="4" w:space="0"/>
              <w:right w:val="single" w:color="auto" w:sz="4" w:space="0"/>
            </w:tcBorders>
            <w:vAlign w:val="center"/>
          </w:tcPr>
          <w:p w14:paraId="3A0D98BE">
            <w:pPr>
              <w:autoSpaceDE w:val="0"/>
              <w:autoSpaceDN w:val="0"/>
              <w:adjustRightInd w:val="0"/>
              <w:spacing w:line="400" w:lineRule="exact"/>
              <w:jc w:val="center"/>
              <w:rPr>
                <w:rFonts w:ascii="仿宋_GB2312" w:hAnsi="仿宋_GB2312" w:eastAsia="仿宋_GB2312" w:cs="仿宋_GB2312"/>
                <w:szCs w:val="21"/>
              </w:rPr>
            </w:pPr>
            <w:r>
              <w:rPr>
                <w:rFonts w:hint="eastAsia" w:ascii="仿宋_GB2312" w:hAnsi="仿宋_GB2312" w:eastAsia="仿宋_GB2312" w:cs="仿宋_GB2312"/>
              </w:rPr>
              <w:t>水田</w:t>
            </w:r>
          </w:p>
        </w:tc>
        <w:tc>
          <w:tcPr>
            <w:tcW w:w="884" w:type="dxa"/>
            <w:tcBorders>
              <w:top w:val="single" w:color="auto" w:sz="4" w:space="0"/>
              <w:left w:val="single" w:color="auto" w:sz="4" w:space="0"/>
              <w:bottom w:val="single" w:color="auto" w:sz="4" w:space="0"/>
              <w:right w:val="single" w:color="auto" w:sz="4" w:space="0"/>
            </w:tcBorders>
            <w:vAlign w:val="center"/>
          </w:tcPr>
          <w:p w14:paraId="4197D48B">
            <w:pPr>
              <w:autoSpaceDE w:val="0"/>
              <w:autoSpaceDN w:val="0"/>
              <w:adjustRightInd w:val="0"/>
              <w:spacing w:line="400" w:lineRule="exact"/>
              <w:jc w:val="center"/>
              <w:rPr>
                <w:rFonts w:ascii="仿宋_GB2312" w:hAnsi="仿宋_GB2312" w:eastAsia="仿宋_GB2312" w:cs="仿宋_GB2312"/>
              </w:rPr>
            </w:pPr>
            <w:r>
              <w:rPr>
                <w:rFonts w:hint="eastAsia" w:ascii="仿宋_GB2312" w:hAnsi="仿宋_GB2312" w:eastAsia="仿宋_GB2312" w:cs="仿宋_GB2312"/>
              </w:rPr>
              <w:t>永久基本农田</w:t>
            </w:r>
          </w:p>
        </w:tc>
      </w:tr>
      <w:tr w14:paraId="111F485F">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785" w:hRule="atLeast"/>
          <w:jc w:val="center"/>
        </w:trPr>
        <w:tc>
          <w:tcPr>
            <w:tcW w:w="1260" w:type="dxa"/>
            <w:tcBorders>
              <w:top w:val="single" w:color="auto" w:sz="4" w:space="0"/>
              <w:left w:val="single" w:color="auto" w:sz="4" w:space="0"/>
              <w:bottom w:val="single" w:color="auto" w:sz="4" w:space="0"/>
              <w:right w:val="single" w:color="auto" w:sz="4" w:space="0"/>
            </w:tcBorders>
            <w:vAlign w:val="center"/>
          </w:tcPr>
          <w:p w14:paraId="4CDDAC03">
            <w:pPr>
              <w:autoSpaceDE w:val="0"/>
              <w:autoSpaceDN w:val="0"/>
              <w:adjustRightInd w:val="0"/>
              <w:spacing w:line="400" w:lineRule="exact"/>
              <w:jc w:val="center"/>
              <w:rPr>
                <w:rFonts w:ascii="仿宋_GB2312" w:hAnsi="仿宋_GB2312" w:eastAsia="仿宋_GB2312" w:cs="仿宋_GB2312"/>
              </w:rPr>
            </w:pPr>
            <w:r>
              <w:rPr>
                <w:rFonts w:hint="eastAsia" w:ascii="仿宋_GB2312" w:hAnsi="仿宋_GB2312" w:eastAsia="仿宋_GB2312" w:cs="仿宋_GB2312"/>
              </w:rPr>
              <w:t>新晃侗族自治县</w:t>
            </w:r>
          </w:p>
        </w:tc>
        <w:tc>
          <w:tcPr>
            <w:tcW w:w="815" w:type="dxa"/>
            <w:tcBorders>
              <w:top w:val="single" w:color="auto" w:sz="4" w:space="0"/>
              <w:left w:val="single" w:color="auto" w:sz="4" w:space="0"/>
              <w:bottom w:val="single" w:color="auto" w:sz="4" w:space="0"/>
              <w:right w:val="single" w:color="auto" w:sz="4" w:space="0"/>
            </w:tcBorders>
            <w:vAlign w:val="center"/>
          </w:tcPr>
          <w:p w14:paraId="257BC445">
            <w:pPr>
              <w:autoSpaceDE w:val="0"/>
              <w:autoSpaceDN w:val="0"/>
              <w:adjustRightInd w:val="0"/>
              <w:spacing w:line="400" w:lineRule="exact"/>
              <w:jc w:val="center"/>
              <w:rPr>
                <w:rFonts w:ascii="仿宋_GB2312" w:hAnsi="仿宋_GB2312" w:eastAsia="仿宋_GB2312" w:cs="仿宋_GB2312"/>
              </w:rPr>
            </w:pPr>
            <w:r>
              <w:rPr>
                <w:rFonts w:hint="eastAsia" w:ascii="仿宋_GB2312" w:hAnsi="仿宋_GB2312" w:eastAsia="仿宋_GB2312" w:cs="仿宋_GB2312"/>
              </w:rPr>
              <w:t>73400</w:t>
            </w:r>
          </w:p>
        </w:tc>
        <w:tc>
          <w:tcPr>
            <w:tcW w:w="788" w:type="dxa"/>
            <w:tcBorders>
              <w:top w:val="single" w:color="auto" w:sz="4" w:space="0"/>
              <w:left w:val="single" w:color="auto" w:sz="4" w:space="0"/>
              <w:bottom w:val="single" w:color="auto" w:sz="4" w:space="0"/>
              <w:right w:val="single" w:color="auto" w:sz="4" w:space="0"/>
            </w:tcBorders>
            <w:vAlign w:val="center"/>
          </w:tcPr>
          <w:p w14:paraId="062082AB">
            <w:pPr>
              <w:autoSpaceDE w:val="0"/>
              <w:autoSpaceDN w:val="0"/>
              <w:adjustRightInd w:val="0"/>
              <w:spacing w:line="400" w:lineRule="exact"/>
              <w:jc w:val="center"/>
              <w:rPr>
                <w:rFonts w:ascii="仿宋_GB2312" w:hAnsi="仿宋_GB2312" w:eastAsia="仿宋_GB2312" w:cs="仿宋_GB2312"/>
              </w:rPr>
            </w:pPr>
            <w:r>
              <w:rPr>
                <w:rFonts w:hint="eastAsia" w:ascii="仿宋_GB2312" w:hAnsi="仿宋_GB2312" w:eastAsia="仿宋_GB2312" w:cs="仿宋_GB2312"/>
              </w:rPr>
              <w:t>62600</w:t>
            </w:r>
          </w:p>
        </w:tc>
        <w:tc>
          <w:tcPr>
            <w:tcW w:w="657" w:type="dxa"/>
            <w:tcBorders>
              <w:top w:val="single" w:color="auto" w:sz="4" w:space="0"/>
              <w:left w:val="single" w:color="auto" w:sz="4" w:space="0"/>
              <w:bottom w:val="single" w:color="auto" w:sz="4" w:space="0"/>
              <w:right w:val="single" w:color="auto" w:sz="4" w:space="0"/>
            </w:tcBorders>
            <w:vAlign w:val="center"/>
          </w:tcPr>
          <w:p w14:paraId="4D576B55">
            <w:pPr>
              <w:autoSpaceDE w:val="0"/>
              <w:autoSpaceDN w:val="0"/>
              <w:adjustRightInd w:val="0"/>
              <w:spacing w:line="400" w:lineRule="exact"/>
              <w:jc w:val="center"/>
              <w:rPr>
                <w:rFonts w:ascii="仿宋_GB2312" w:hAnsi="仿宋_GB2312" w:eastAsia="仿宋_GB2312" w:cs="仿宋_GB2312"/>
              </w:rPr>
            </w:pPr>
            <w:r>
              <w:rPr>
                <w:rFonts w:hint="eastAsia" w:ascii="仿宋_GB2312" w:hAnsi="仿宋_GB2312" w:eastAsia="仿宋_GB2312" w:cs="仿宋_GB2312"/>
              </w:rPr>
              <w:t>0.67</w:t>
            </w:r>
          </w:p>
        </w:tc>
        <w:tc>
          <w:tcPr>
            <w:tcW w:w="741" w:type="dxa"/>
            <w:tcBorders>
              <w:top w:val="single" w:color="auto" w:sz="4" w:space="0"/>
              <w:left w:val="single" w:color="auto" w:sz="4" w:space="0"/>
              <w:bottom w:val="single" w:color="auto" w:sz="4" w:space="0"/>
              <w:right w:val="single" w:color="auto" w:sz="4" w:space="0"/>
            </w:tcBorders>
            <w:vAlign w:val="center"/>
          </w:tcPr>
          <w:p w14:paraId="3F9C1579">
            <w:pPr>
              <w:autoSpaceDE w:val="0"/>
              <w:autoSpaceDN w:val="0"/>
              <w:adjustRightInd w:val="0"/>
              <w:spacing w:line="400" w:lineRule="exact"/>
              <w:jc w:val="center"/>
              <w:rPr>
                <w:rFonts w:ascii="仿宋_GB2312" w:hAnsi="仿宋_GB2312" w:eastAsia="仿宋_GB2312" w:cs="仿宋_GB2312"/>
              </w:rPr>
            </w:pPr>
            <w:r>
              <w:rPr>
                <w:rFonts w:hint="eastAsia" w:ascii="仿宋_GB2312" w:hAnsi="仿宋_GB2312" w:eastAsia="仿宋_GB2312" w:cs="仿宋_GB2312"/>
              </w:rPr>
              <w:t>0.67</w:t>
            </w:r>
          </w:p>
        </w:tc>
        <w:tc>
          <w:tcPr>
            <w:tcW w:w="749" w:type="dxa"/>
            <w:tcBorders>
              <w:top w:val="single" w:color="auto" w:sz="4" w:space="0"/>
              <w:left w:val="single" w:color="auto" w:sz="4" w:space="0"/>
              <w:bottom w:val="single" w:color="auto" w:sz="4" w:space="0"/>
              <w:right w:val="single" w:color="auto" w:sz="4" w:space="0"/>
            </w:tcBorders>
            <w:vAlign w:val="center"/>
          </w:tcPr>
          <w:p w14:paraId="77271521">
            <w:pPr>
              <w:autoSpaceDE w:val="0"/>
              <w:autoSpaceDN w:val="0"/>
              <w:adjustRightInd w:val="0"/>
              <w:spacing w:line="400" w:lineRule="exact"/>
              <w:jc w:val="center"/>
              <w:rPr>
                <w:rFonts w:ascii="仿宋_GB2312" w:hAnsi="仿宋_GB2312" w:eastAsia="仿宋_GB2312" w:cs="仿宋_GB2312"/>
              </w:rPr>
            </w:pPr>
            <w:r>
              <w:rPr>
                <w:rFonts w:hint="eastAsia" w:ascii="仿宋_GB2312" w:hAnsi="仿宋_GB2312" w:eastAsia="仿宋_GB2312" w:cs="仿宋_GB2312"/>
              </w:rPr>
              <w:t>0.83</w:t>
            </w:r>
          </w:p>
        </w:tc>
        <w:tc>
          <w:tcPr>
            <w:tcW w:w="780" w:type="dxa"/>
            <w:tcBorders>
              <w:top w:val="single" w:color="auto" w:sz="4" w:space="0"/>
              <w:left w:val="single" w:color="auto" w:sz="4" w:space="0"/>
              <w:bottom w:val="single" w:color="auto" w:sz="4" w:space="0"/>
              <w:right w:val="single" w:color="auto" w:sz="4" w:space="0"/>
            </w:tcBorders>
            <w:vAlign w:val="center"/>
          </w:tcPr>
          <w:p w14:paraId="712CB9EF">
            <w:pPr>
              <w:autoSpaceDE w:val="0"/>
              <w:autoSpaceDN w:val="0"/>
              <w:adjustRightInd w:val="0"/>
              <w:spacing w:line="400" w:lineRule="exact"/>
              <w:jc w:val="center"/>
              <w:rPr>
                <w:rFonts w:ascii="仿宋_GB2312" w:hAnsi="仿宋_GB2312" w:eastAsia="仿宋_GB2312" w:cs="仿宋_GB2312"/>
              </w:rPr>
            </w:pPr>
            <w:r>
              <w:rPr>
                <w:rFonts w:hint="eastAsia" w:ascii="仿宋_GB2312" w:hAnsi="仿宋_GB2312" w:eastAsia="仿宋_GB2312" w:cs="仿宋_GB2312"/>
              </w:rPr>
              <w:t>0.5</w:t>
            </w:r>
          </w:p>
        </w:tc>
        <w:tc>
          <w:tcPr>
            <w:tcW w:w="945" w:type="dxa"/>
            <w:tcBorders>
              <w:top w:val="single" w:color="auto" w:sz="4" w:space="0"/>
              <w:left w:val="single" w:color="auto" w:sz="4" w:space="0"/>
              <w:bottom w:val="single" w:color="auto" w:sz="4" w:space="0"/>
              <w:right w:val="single" w:color="auto" w:sz="4" w:space="0"/>
            </w:tcBorders>
            <w:vAlign w:val="center"/>
          </w:tcPr>
          <w:p w14:paraId="11A8AC0F">
            <w:pPr>
              <w:autoSpaceDE w:val="0"/>
              <w:autoSpaceDN w:val="0"/>
              <w:adjustRightInd w:val="0"/>
              <w:spacing w:line="400" w:lineRule="exact"/>
              <w:jc w:val="center"/>
              <w:rPr>
                <w:rFonts w:ascii="仿宋_GB2312" w:hAnsi="仿宋_GB2312" w:eastAsia="仿宋_GB2312" w:cs="仿宋_GB2312"/>
              </w:rPr>
            </w:pPr>
            <w:r>
              <w:rPr>
                <w:rFonts w:hint="eastAsia" w:ascii="仿宋_GB2312" w:hAnsi="仿宋_GB2312" w:eastAsia="仿宋_GB2312" w:cs="仿宋_GB2312"/>
              </w:rPr>
              <w:t>0.83</w:t>
            </w:r>
          </w:p>
        </w:tc>
        <w:tc>
          <w:tcPr>
            <w:tcW w:w="840" w:type="dxa"/>
            <w:tcBorders>
              <w:top w:val="single" w:color="auto" w:sz="4" w:space="0"/>
              <w:left w:val="single" w:color="auto" w:sz="4" w:space="0"/>
              <w:bottom w:val="single" w:color="auto" w:sz="4" w:space="0"/>
              <w:right w:val="single" w:color="auto" w:sz="4" w:space="0"/>
            </w:tcBorders>
            <w:vAlign w:val="center"/>
          </w:tcPr>
          <w:p w14:paraId="35FB5191">
            <w:pPr>
              <w:autoSpaceDE w:val="0"/>
              <w:autoSpaceDN w:val="0"/>
              <w:adjustRightInd w:val="0"/>
              <w:spacing w:line="400" w:lineRule="exact"/>
              <w:jc w:val="center"/>
              <w:rPr>
                <w:rFonts w:ascii="仿宋_GB2312" w:hAnsi="仿宋_GB2312" w:eastAsia="仿宋_GB2312" w:cs="仿宋_GB2312"/>
                <w:szCs w:val="21"/>
              </w:rPr>
            </w:pPr>
            <w:r>
              <w:rPr>
                <w:rFonts w:hint="eastAsia" w:ascii="仿宋_GB2312" w:hAnsi="仿宋_GB2312" w:eastAsia="仿宋_GB2312" w:cs="仿宋_GB2312"/>
                <w:szCs w:val="21"/>
              </w:rPr>
              <w:t>0.8</w:t>
            </w:r>
          </w:p>
        </w:tc>
        <w:tc>
          <w:tcPr>
            <w:tcW w:w="540" w:type="dxa"/>
            <w:tcBorders>
              <w:top w:val="single" w:color="auto" w:sz="4" w:space="0"/>
              <w:left w:val="single" w:color="auto" w:sz="4" w:space="0"/>
              <w:bottom w:val="single" w:color="auto" w:sz="4" w:space="0"/>
              <w:right w:val="single" w:color="auto" w:sz="4" w:space="0"/>
            </w:tcBorders>
            <w:vAlign w:val="center"/>
          </w:tcPr>
          <w:p w14:paraId="1B4ED9FA">
            <w:pPr>
              <w:autoSpaceDE w:val="0"/>
              <w:autoSpaceDN w:val="0"/>
              <w:adjustRightInd w:val="0"/>
              <w:spacing w:line="400" w:lineRule="exact"/>
              <w:jc w:val="center"/>
              <w:rPr>
                <w:rFonts w:ascii="仿宋_GB2312" w:hAnsi="仿宋_GB2312" w:eastAsia="仿宋_GB2312" w:cs="仿宋_GB2312"/>
                <w:szCs w:val="21"/>
              </w:rPr>
            </w:pPr>
            <w:r>
              <w:rPr>
                <w:rFonts w:hint="eastAsia" w:ascii="仿宋_GB2312" w:hAnsi="仿宋_GB2312" w:eastAsia="仿宋_GB2312" w:cs="仿宋_GB2312"/>
              </w:rPr>
              <w:t>1</w:t>
            </w:r>
          </w:p>
        </w:tc>
        <w:tc>
          <w:tcPr>
            <w:tcW w:w="884" w:type="dxa"/>
            <w:tcBorders>
              <w:top w:val="single" w:color="auto" w:sz="4" w:space="0"/>
              <w:left w:val="single" w:color="auto" w:sz="4" w:space="0"/>
              <w:bottom w:val="single" w:color="auto" w:sz="4" w:space="0"/>
              <w:right w:val="single" w:color="auto" w:sz="4" w:space="0"/>
            </w:tcBorders>
            <w:vAlign w:val="center"/>
          </w:tcPr>
          <w:p w14:paraId="41F156D0">
            <w:pPr>
              <w:autoSpaceDE w:val="0"/>
              <w:autoSpaceDN w:val="0"/>
              <w:adjustRightInd w:val="0"/>
              <w:spacing w:line="400" w:lineRule="exact"/>
              <w:jc w:val="center"/>
              <w:rPr>
                <w:rFonts w:ascii="仿宋_GB2312" w:hAnsi="仿宋_GB2312" w:eastAsia="仿宋_GB2312" w:cs="仿宋_GB2312"/>
              </w:rPr>
            </w:pPr>
            <w:r>
              <w:rPr>
                <w:rFonts w:hint="eastAsia" w:ascii="仿宋_GB2312" w:hAnsi="仿宋_GB2312" w:eastAsia="仿宋_GB2312" w:cs="仿宋_GB2312"/>
              </w:rPr>
              <w:t>1.68</w:t>
            </w:r>
          </w:p>
        </w:tc>
      </w:tr>
    </w:tbl>
    <w:p w14:paraId="4900D919">
      <w:pPr>
        <w:ind w:firstLine="420" w:firstLineChars="200"/>
        <w:rPr>
          <w:rFonts w:ascii="仿宋" w:eastAsia="仿宋" w:cs="仿宋"/>
          <w:bCs/>
          <w:szCs w:val="21"/>
          <w:lang w:val="zh-CN"/>
        </w:rPr>
      </w:pPr>
      <w:r>
        <w:rPr>
          <w:rFonts w:hint="eastAsia" w:ascii="仿宋" w:eastAsia="仿宋" w:cs="仿宋"/>
          <w:bCs/>
          <w:szCs w:val="21"/>
        </w:rPr>
        <w:t>注：</w:t>
      </w:r>
      <w:r>
        <w:rPr>
          <w:rFonts w:hint="eastAsia" w:ascii="仿宋" w:eastAsia="仿宋" w:cs="仿宋"/>
          <w:bCs/>
          <w:szCs w:val="21"/>
          <w:lang w:val="zh-CN"/>
        </w:rPr>
        <w:t>征收水田</w:t>
      </w:r>
      <w:r>
        <w:rPr>
          <w:rFonts w:hint="eastAsia" w:ascii="仿宋" w:eastAsia="仿宋" w:cs="仿宋"/>
          <w:bCs/>
          <w:szCs w:val="21"/>
        </w:rPr>
        <w:t>不包括</w:t>
      </w:r>
      <w:r>
        <w:rPr>
          <w:rFonts w:hint="eastAsia" w:ascii="仿宋" w:eastAsia="仿宋" w:cs="仿宋"/>
          <w:bCs/>
          <w:szCs w:val="21"/>
          <w:lang w:val="zh-CN"/>
        </w:rPr>
        <w:t>永久基本农田</w:t>
      </w:r>
      <w:r>
        <w:rPr>
          <w:rFonts w:hint="eastAsia" w:ascii="仿宋" w:eastAsia="仿宋" w:cs="仿宋"/>
          <w:szCs w:val="21"/>
        </w:rPr>
        <w:t>；征收经批准的专业菜地和专业鱼（池）塘的，按所在区片水田标准执行；</w:t>
      </w:r>
      <w:r>
        <w:rPr>
          <w:rFonts w:hint="eastAsia" w:ascii="仿宋" w:eastAsia="仿宋" w:cs="仿宋"/>
          <w:bCs/>
          <w:szCs w:val="21"/>
          <w:lang w:val="zh-CN"/>
        </w:rPr>
        <w:t>各建设用地项目征地补偿地类严格按照《土地勘测定界技术报告书》。</w:t>
      </w:r>
    </w:p>
    <w:p w14:paraId="72F142FF">
      <w:pPr>
        <w:spacing w:line="580" w:lineRule="exact"/>
        <w:rPr>
          <w:rFonts w:ascii="仿宋_GB2312" w:hAnsi="仿宋_GB2312" w:eastAsia="仿宋_GB2312" w:cs="仿宋_GB2312"/>
          <w:color w:val="000000"/>
          <w:sz w:val="32"/>
          <w:szCs w:val="32"/>
        </w:rPr>
      </w:pPr>
    </w:p>
    <w:p w14:paraId="732329AA">
      <w:pPr>
        <w:spacing w:line="580" w:lineRule="exact"/>
        <w:rPr>
          <w:rFonts w:ascii="仿宋_GB2312" w:hAnsi="仿宋_GB2312" w:eastAsia="仿宋_GB2312" w:cs="仿宋_GB2312"/>
          <w:color w:val="000000"/>
          <w:sz w:val="32"/>
          <w:szCs w:val="32"/>
        </w:rPr>
      </w:pPr>
    </w:p>
    <w:p w14:paraId="2B91A310">
      <w:pPr>
        <w:spacing w:line="580" w:lineRule="exact"/>
        <w:rPr>
          <w:rFonts w:ascii="仿宋_GB2312" w:hAnsi="仿宋_GB2312" w:eastAsia="仿宋_GB2312" w:cs="仿宋_GB2312"/>
          <w:color w:val="000000"/>
          <w:sz w:val="32"/>
          <w:szCs w:val="32"/>
        </w:rPr>
      </w:pPr>
    </w:p>
    <w:p w14:paraId="428C164A">
      <w:pPr>
        <w:spacing w:line="580" w:lineRule="exact"/>
        <w:rPr>
          <w:rFonts w:ascii="仿宋_GB2312" w:hAnsi="仿宋_GB2312" w:eastAsia="仿宋_GB2312" w:cs="仿宋_GB2312"/>
          <w:color w:val="000000"/>
          <w:sz w:val="32"/>
          <w:szCs w:val="32"/>
        </w:rPr>
      </w:pPr>
    </w:p>
    <w:p w14:paraId="04690CDD">
      <w:pPr>
        <w:spacing w:line="580" w:lineRule="exact"/>
        <w:rPr>
          <w:rFonts w:ascii="仿宋_GB2312" w:hAnsi="仿宋_GB2312" w:eastAsia="仿宋_GB2312" w:cs="仿宋_GB2312"/>
          <w:color w:val="000000"/>
          <w:sz w:val="32"/>
          <w:szCs w:val="32"/>
        </w:rPr>
      </w:pPr>
    </w:p>
    <w:p w14:paraId="59711795">
      <w:pPr>
        <w:spacing w:line="580" w:lineRule="exact"/>
        <w:rPr>
          <w:rFonts w:ascii="仿宋_GB2312" w:hAnsi="仿宋_GB2312" w:eastAsia="仿宋_GB2312" w:cs="仿宋_GB2312"/>
          <w:color w:val="000000"/>
          <w:sz w:val="32"/>
          <w:szCs w:val="32"/>
        </w:rPr>
      </w:pPr>
    </w:p>
    <w:p w14:paraId="42E0365E">
      <w:pPr>
        <w:spacing w:line="580" w:lineRule="exact"/>
        <w:rPr>
          <w:rFonts w:ascii="仿宋_GB2312" w:hAnsi="仿宋_GB2312" w:eastAsia="仿宋_GB2312" w:cs="仿宋_GB2312"/>
          <w:color w:val="000000"/>
          <w:sz w:val="32"/>
          <w:szCs w:val="32"/>
        </w:rPr>
      </w:pPr>
    </w:p>
    <w:p w14:paraId="3E8E0B77">
      <w:pPr>
        <w:spacing w:line="580" w:lineRule="exact"/>
        <w:rPr>
          <w:rFonts w:ascii="仿宋_GB2312" w:hAnsi="仿宋_GB2312" w:eastAsia="仿宋_GB2312" w:cs="仿宋_GB2312"/>
          <w:color w:val="000000"/>
          <w:sz w:val="32"/>
          <w:szCs w:val="32"/>
        </w:rPr>
      </w:pPr>
    </w:p>
    <w:p w14:paraId="0C0E45C1">
      <w:pPr>
        <w:spacing w:line="580" w:lineRule="exact"/>
        <w:rPr>
          <w:rFonts w:ascii="仿宋_GB2312" w:hAnsi="仿宋_GB2312" w:eastAsia="仿宋_GB2312" w:cs="仿宋_GB2312"/>
          <w:color w:val="000000"/>
          <w:sz w:val="32"/>
          <w:szCs w:val="32"/>
        </w:rPr>
      </w:pPr>
    </w:p>
    <w:p w14:paraId="5BE9E19B">
      <w:pPr>
        <w:spacing w:line="580" w:lineRule="exact"/>
        <w:rPr>
          <w:rFonts w:ascii="仿宋_GB2312" w:hAnsi="仿宋_GB2312" w:eastAsia="仿宋_GB2312" w:cs="仿宋_GB2312"/>
          <w:color w:val="000000"/>
          <w:sz w:val="32"/>
          <w:szCs w:val="32"/>
        </w:rPr>
      </w:pPr>
    </w:p>
    <w:p w14:paraId="6F3B2721">
      <w:pPr>
        <w:spacing w:line="580" w:lineRule="exact"/>
        <w:rPr>
          <w:rFonts w:ascii="仿宋_GB2312" w:hAnsi="仿宋_GB2312" w:eastAsia="仿宋_GB2312" w:cs="仿宋_GB2312"/>
          <w:color w:val="000000"/>
          <w:sz w:val="32"/>
          <w:szCs w:val="32"/>
        </w:rPr>
      </w:pPr>
    </w:p>
    <w:p w14:paraId="48B2CBED">
      <w:pPr>
        <w:spacing w:line="580" w:lineRule="exact"/>
        <w:rPr>
          <w:rFonts w:ascii="仿宋_GB2312" w:hAnsi="仿宋_GB2312" w:eastAsia="仿宋_GB2312" w:cs="仿宋_GB2312"/>
          <w:color w:val="000000"/>
          <w:sz w:val="32"/>
          <w:szCs w:val="32"/>
        </w:rPr>
      </w:pPr>
    </w:p>
    <w:p w14:paraId="5369F33A">
      <w:pPr>
        <w:widowControl/>
        <w:jc w:val="left"/>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br w:type="page"/>
      </w:r>
    </w:p>
    <w:p w14:paraId="44D77699">
      <w:pPr>
        <w:spacing w:line="620" w:lineRule="exact"/>
        <w:rPr>
          <w:rFonts w:ascii="黑体" w:hAnsi="黑体" w:eastAsia="黑体" w:cs="仿宋_GB2312"/>
          <w:color w:val="000000"/>
          <w:sz w:val="32"/>
          <w:szCs w:val="32"/>
        </w:rPr>
      </w:pPr>
      <w:r>
        <w:rPr>
          <w:rFonts w:hint="eastAsia" w:ascii="黑体" w:hAnsi="黑体" w:eastAsia="黑体" w:cs="仿宋_GB2312"/>
          <w:color w:val="000000"/>
          <w:sz w:val="32"/>
          <w:szCs w:val="32"/>
        </w:rPr>
        <w:t>附件3</w:t>
      </w:r>
    </w:p>
    <w:p w14:paraId="55C54142">
      <w:pPr>
        <w:spacing w:line="620" w:lineRule="exact"/>
        <w:jc w:val="center"/>
        <w:rPr>
          <w:rFonts w:ascii="黑体" w:hAnsi="黑体" w:eastAsia="黑体" w:cs="黑体"/>
          <w:bCs/>
          <w:color w:val="000000"/>
          <w:sz w:val="44"/>
          <w:szCs w:val="44"/>
        </w:rPr>
      </w:pPr>
    </w:p>
    <w:p w14:paraId="30E9C380">
      <w:pPr>
        <w:spacing w:line="620" w:lineRule="exact"/>
        <w:jc w:val="center"/>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bCs/>
          <w:color w:val="000000"/>
          <w:sz w:val="44"/>
          <w:szCs w:val="44"/>
        </w:rPr>
        <w:t>新晃侗族自治县</w:t>
      </w:r>
      <w:r>
        <w:rPr>
          <w:rFonts w:hint="eastAsia" w:ascii="方正小标宋简体" w:hAnsi="方正小标宋简体" w:eastAsia="方正小标宋简体" w:cs="方正小标宋简体"/>
          <w:color w:val="000000"/>
          <w:sz w:val="44"/>
          <w:szCs w:val="44"/>
        </w:rPr>
        <w:t>征收范围内水田旱地的青苗</w:t>
      </w:r>
    </w:p>
    <w:p w14:paraId="5E324354">
      <w:pPr>
        <w:spacing w:line="620" w:lineRule="exact"/>
        <w:jc w:val="center"/>
        <w:rPr>
          <w:rFonts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补偿标准</w:t>
      </w:r>
    </w:p>
    <w:p w14:paraId="579D2823">
      <w:pPr>
        <w:spacing w:line="620" w:lineRule="exact"/>
        <w:jc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（单位：元/亩）</w:t>
      </w:r>
    </w:p>
    <w:tbl>
      <w:tblPr>
        <w:tblStyle w:val="18"/>
        <w:tblW w:w="83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27"/>
        <w:gridCol w:w="1838"/>
        <w:gridCol w:w="3654"/>
      </w:tblGrid>
      <w:tr w14:paraId="79CBE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2" w:hRule="atLeast"/>
          <w:jc w:val="center"/>
        </w:trPr>
        <w:tc>
          <w:tcPr>
            <w:tcW w:w="2827" w:type="dxa"/>
            <w:vAlign w:val="center"/>
          </w:tcPr>
          <w:p w14:paraId="339CCA15">
            <w:pPr>
              <w:spacing w:line="300" w:lineRule="exact"/>
              <w:rPr>
                <w:rFonts w:ascii="仿宋_GB2312" w:hAnsi="仿宋_GB2312" w:eastAsia="仿宋_GB2312" w:cs="仿宋_GB2312"/>
                <w:color w:val="000000"/>
                <w:sz w:val="24"/>
              </w:rPr>
            </w:pPr>
            <w:r>
              <w:rPr>
                <w:rFonts w:ascii="仿宋_GB2312" w:hAnsi="仿宋_GB2312" w:eastAsia="仿宋_GB2312" w:cs="仿宋_GB2312"/>
              </w:rPr>
              <mc:AlternateContent>
                <mc:Choice Requires="wps">
                  <w:drawing>
                    <wp:anchor distT="0" distB="0" distL="114300" distR="114300" simplePos="0" relativeHeight="251663360" behindDoc="0" locked="1" layoutInCell="1" allowOverlap="1">
                      <wp:simplePos x="0" y="0"/>
                      <wp:positionH relativeFrom="column">
                        <wp:posOffset>-34290</wp:posOffset>
                      </wp:positionH>
                      <wp:positionV relativeFrom="paragraph">
                        <wp:posOffset>377825</wp:posOffset>
                      </wp:positionV>
                      <wp:extent cx="1699895" cy="925830"/>
                      <wp:effectExtent l="2540" t="4445" r="12065" b="9525"/>
                      <wp:wrapNone/>
                      <wp:docPr id="1" name="直接连接符 1"/>
                      <wp:cNvGraphicFramePr/>
                      <a:graphic xmlns:a="http://schemas.openxmlformats.org/drawingml/2006/main">
                        <a:graphicData uri="http://schemas.microsoft.com/office/word/2010/wordprocessingShape">
                          <wps:wsp>
                            <wps:cNvCnPr/>
                            <wps:spPr>
                              <a:xfrm>
                                <a:off x="0" y="0"/>
                                <a:ext cx="1699895" cy="925830"/>
                              </a:xfrm>
                              <a:prstGeom prst="line">
                                <a:avLst/>
                              </a:prstGeom>
                              <a:ln w="6350"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2.7pt;margin-top:29.75pt;height:72.9pt;width:133.85pt;z-index:251663360;mso-width-relative:page;mso-height-relative:page;" filled="f" stroked="t" coordsize="21600,21600" o:gfxdata="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EwyHSjXAAAACQEAAA8AAAAAAAAAAQAgAAAAIgAAAGRycy9kb3du&#10;cmV2LnhtbFBLAQIUABQAAAAIAIdO4kBqJpQVAAIAAPcDAAAOAAAAAAAAAAEAIAAAACYBAABkcnMv&#10;ZTJvRG9jLnhtbFBLBQYAAAAABgAGAFkBAACYBQAAAAA=&#10;">
                      <v:fill on="f" focussize="0,0"/>
                      <v:stroke weight="0.5pt" color="#000000" joinstyle="round"/>
                      <v:imagedata o:title=""/>
                      <o:lock v:ext="edit" aspectratio="f"/>
                      <w10:anchorlock/>
                    </v:line>
                  </w:pict>
                </mc:Fallback>
              </mc:AlternateContent>
            </w:r>
            <w:r>
              <w:rPr>
                <w:rFonts w:ascii="仿宋_GB2312" w:hAnsi="仿宋_GB2312" w:eastAsia="仿宋_GB2312" w:cs="仿宋_GB2312"/>
              </w:rPr>
              <mc:AlternateContent>
                <mc:Choice Requires="wps">
                  <w:drawing>
                    <wp:anchor distT="0" distB="0" distL="114300" distR="114300" simplePos="0" relativeHeight="251662336" behindDoc="0" locked="1" layoutInCell="1" allowOverlap="1">
                      <wp:simplePos x="0" y="0"/>
                      <wp:positionH relativeFrom="column">
                        <wp:posOffset>865505</wp:posOffset>
                      </wp:positionH>
                      <wp:positionV relativeFrom="paragraph">
                        <wp:posOffset>2540</wp:posOffset>
                      </wp:positionV>
                      <wp:extent cx="819150" cy="1320165"/>
                      <wp:effectExtent l="3810" t="2540" r="15240" b="10795"/>
                      <wp:wrapNone/>
                      <wp:docPr id="3" name="直接连接符 3"/>
                      <wp:cNvGraphicFramePr/>
                      <a:graphic xmlns:a="http://schemas.openxmlformats.org/drawingml/2006/main">
                        <a:graphicData uri="http://schemas.microsoft.com/office/word/2010/wordprocessingShape">
                          <wps:wsp>
                            <wps:cNvCnPr/>
                            <wps:spPr>
                              <a:xfrm>
                                <a:off x="0" y="0"/>
                                <a:ext cx="819150" cy="1320165"/>
                              </a:xfrm>
                              <a:prstGeom prst="line">
                                <a:avLst/>
                              </a:prstGeom>
                              <a:ln w="6350"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68.15pt;margin-top:0.2pt;height:103.95pt;width:64.5pt;z-index:251662336;mso-width-relative:page;mso-height-relative:page;" filled="f" stroked="t" coordsize="21600,21600" o:gfxdata="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LJaizfUAAAACAEAAA8AAAAAAAAAAQAgAAAAIgAAAGRycy9kb3ducmV2LnhtbFBL&#10;AQIUABQAAAAIAIdO4kBH//Rb+gEAAPcDAAAOAAAAAAAAAAEAIAAAACMBAABkcnMvZTJvRG9jLnht&#10;bFBLBQYAAAAABgAGAFkBAACPBQAAAAA=&#10;">
                      <v:fill on="f" focussize="0,0"/>
                      <v:stroke weight="0.5pt" color="#000000" joinstyle="round"/>
                      <v:imagedata o:title=""/>
                      <o:lock v:ext="edit" aspectratio="f"/>
                      <w10:anchorlock/>
                    </v:line>
                  </w:pict>
                </mc:Fallback>
              </mc:AlternateContent>
            </w:r>
          </w:p>
          <w:p w14:paraId="481CFAD8">
            <w:pPr>
              <w:spacing w:line="300" w:lineRule="exact"/>
              <w:ind w:firstLine="360" w:firstLineChars="150"/>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补           地</w:t>
            </w:r>
          </w:p>
          <w:p w14:paraId="23E8BF1A">
            <w:pPr>
              <w:spacing w:line="300" w:lineRule="exact"/>
              <w:ind w:firstLine="720" w:firstLineChars="300"/>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偿         类</w:t>
            </w:r>
          </w:p>
          <w:p w14:paraId="6A7D134D">
            <w:pPr>
              <w:spacing w:line="300" w:lineRule="exact"/>
              <w:ind w:firstLine="600" w:firstLineChars="250"/>
              <w:rPr>
                <w:rFonts w:ascii="仿宋_GB2312" w:hAnsi="仿宋_GB2312" w:eastAsia="仿宋_GB2312" w:cs="仿宋_GB2312"/>
                <w:color w:val="000000"/>
                <w:sz w:val="24"/>
              </w:rPr>
            </w:pPr>
            <w:r>
              <w:rPr>
                <w:rFonts w:hint="eastAsia" w:ascii="仿宋_GB2312" w:hAnsi="仿宋_GB2312" w:eastAsia="仿宋_GB2312" w:cs="仿宋_GB2312"/>
                <w:color w:val="000000"/>
                <w:sz w:val="24"/>
              </w:rPr>
              <w:t xml:space="preserve">    标</w:t>
            </w:r>
          </w:p>
          <w:p w14:paraId="798F979D">
            <w:pPr>
              <w:spacing w:line="300" w:lineRule="exact"/>
              <w:ind w:firstLine="240" w:firstLineChars="100"/>
              <w:rPr>
                <w:rFonts w:ascii="仿宋_GB2312" w:hAnsi="仿宋_GB2312" w:eastAsia="仿宋_GB2312" w:cs="仿宋_GB2312"/>
                <w:color w:val="000000"/>
                <w:sz w:val="24"/>
              </w:rPr>
            </w:pPr>
            <w:r>
              <w:rPr>
                <w:rFonts w:hint="eastAsia" w:ascii="仿宋_GB2312" w:hAnsi="仿宋_GB2312" w:eastAsia="仿宋_GB2312" w:cs="仿宋_GB2312"/>
                <w:color w:val="000000"/>
                <w:sz w:val="24"/>
              </w:rPr>
              <w:t xml:space="preserve">           准</w:t>
            </w:r>
          </w:p>
          <w:p w14:paraId="51363957">
            <w:pPr>
              <w:spacing w:line="300" w:lineRule="exact"/>
              <w:ind w:firstLine="600" w:firstLineChars="250"/>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范围</w:t>
            </w:r>
          </w:p>
        </w:tc>
        <w:tc>
          <w:tcPr>
            <w:tcW w:w="1838" w:type="dxa"/>
            <w:vAlign w:val="center"/>
          </w:tcPr>
          <w:p w14:paraId="75C17D8E">
            <w:pPr>
              <w:spacing w:line="560" w:lineRule="exact"/>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水田</w:t>
            </w:r>
          </w:p>
        </w:tc>
        <w:tc>
          <w:tcPr>
            <w:tcW w:w="3654" w:type="dxa"/>
            <w:vAlign w:val="center"/>
          </w:tcPr>
          <w:p w14:paraId="15E222C1">
            <w:pPr>
              <w:spacing w:line="560" w:lineRule="exact"/>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旱地</w:t>
            </w:r>
          </w:p>
        </w:tc>
      </w:tr>
      <w:tr w14:paraId="2C7C8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2827" w:type="dxa"/>
            <w:vAlign w:val="center"/>
          </w:tcPr>
          <w:p w14:paraId="034369B7">
            <w:pPr>
              <w:spacing w:line="400" w:lineRule="exact"/>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新晃侗族自治县</w:t>
            </w:r>
          </w:p>
        </w:tc>
        <w:tc>
          <w:tcPr>
            <w:tcW w:w="1838" w:type="dxa"/>
            <w:vAlign w:val="center"/>
          </w:tcPr>
          <w:p w14:paraId="5D17A094">
            <w:pPr>
              <w:spacing w:line="400" w:lineRule="exact"/>
              <w:jc w:val="center"/>
              <w:rPr>
                <w:rFonts w:ascii="仿宋_GB2312" w:hAnsi="仿宋_GB2312" w:eastAsia="仿宋_GB2312" w:cs="仿宋_GB2312"/>
                <w:color w:val="000000"/>
                <w:sz w:val="24"/>
                <w:szCs w:val="21"/>
              </w:rPr>
            </w:pPr>
            <w:r>
              <w:rPr>
                <w:rFonts w:hint="eastAsia" w:ascii="仿宋_GB2312" w:hAnsi="仿宋_GB2312" w:eastAsia="仿宋_GB2312" w:cs="仿宋_GB2312"/>
                <w:color w:val="000000"/>
                <w:sz w:val="24"/>
              </w:rPr>
              <w:t>1500</w:t>
            </w:r>
          </w:p>
        </w:tc>
        <w:tc>
          <w:tcPr>
            <w:tcW w:w="3654" w:type="dxa"/>
            <w:vAlign w:val="center"/>
          </w:tcPr>
          <w:p w14:paraId="27748B8B">
            <w:pPr>
              <w:spacing w:line="400" w:lineRule="exact"/>
              <w:jc w:val="center"/>
              <w:rPr>
                <w:rFonts w:ascii="仿宋_GB2312" w:hAnsi="仿宋_GB2312" w:eastAsia="仿宋_GB2312" w:cs="仿宋_GB2312"/>
                <w:color w:val="000000"/>
                <w:sz w:val="24"/>
                <w:szCs w:val="21"/>
              </w:rPr>
            </w:pPr>
            <w:r>
              <w:rPr>
                <w:rFonts w:hint="eastAsia" w:ascii="仿宋_GB2312" w:hAnsi="仿宋_GB2312" w:eastAsia="仿宋_GB2312" w:cs="仿宋_GB2312"/>
                <w:color w:val="000000"/>
                <w:sz w:val="24"/>
              </w:rPr>
              <w:t>1000</w:t>
            </w:r>
          </w:p>
        </w:tc>
      </w:tr>
    </w:tbl>
    <w:p w14:paraId="25D30B86">
      <w:pPr>
        <w:spacing w:line="400" w:lineRule="exact"/>
        <w:rPr>
          <w:color w:val="000000"/>
          <w:sz w:val="24"/>
        </w:rPr>
      </w:pPr>
    </w:p>
    <w:p w14:paraId="2E31CFCF">
      <w:pPr>
        <w:spacing w:line="400" w:lineRule="exact"/>
        <w:ind w:firstLine="240" w:firstLineChars="100"/>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注：经批准的专业菜地和专业鱼（池）塘的青苗补偿标准参照水田苗补偿标准执行；用于养殖水产的山塘水库的青苗补偿标准参照邻近旱地补偿标准。</w:t>
      </w:r>
    </w:p>
    <w:p w14:paraId="66D46E02">
      <w:pPr>
        <w:spacing w:line="560" w:lineRule="exact"/>
        <w:rPr>
          <w:rFonts w:ascii="方正黑体简体" w:eastAsia="方正黑体简体" w:cs="仿宋"/>
          <w:color w:val="000000"/>
          <w:sz w:val="32"/>
          <w:szCs w:val="32"/>
        </w:rPr>
      </w:pPr>
    </w:p>
    <w:p w14:paraId="6FE62553">
      <w:pPr>
        <w:spacing w:line="560" w:lineRule="exact"/>
        <w:rPr>
          <w:rFonts w:ascii="方正黑体简体" w:eastAsia="方正黑体简体" w:cs="仿宋"/>
          <w:color w:val="000000"/>
          <w:sz w:val="32"/>
          <w:szCs w:val="32"/>
        </w:rPr>
      </w:pPr>
    </w:p>
    <w:p w14:paraId="0287C8F7">
      <w:pPr>
        <w:spacing w:line="560" w:lineRule="exact"/>
        <w:rPr>
          <w:rFonts w:ascii="方正黑体简体" w:eastAsia="方正黑体简体" w:cs="仿宋"/>
          <w:color w:val="000000"/>
          <w:sz w:val="32"/>
          <w:szCs w:val="32"/>
        </w:rPr>
      </w:pPr>
    </w:p>
    <w:p w14:paraId="1D22E9CE">
      <w:pPr>
        <w:spacing w:line="560" w:lineRule="exact"/>
        <w:rPr>
          <w:rFonts w:ascii="方正黑体简体" w:eastAsia="方正黑体简体" w:cs="仿宋"/>
          <w:color w:val="000000"/>
          <w:sz w:val="32"/>
          <w:szCs w:val="32"/>
        </w:rPr>
      </w:pPr>
    </w:p>
    <w:p w14:paraId="12328DDE">
      <w:pPr>
        <w:spacing w:line="560" w:lineRule="exact"/>
        <w:rPr>
          <w:rFonts w:ascii="方正黑体简体" w:eastAsia="方正黑体简体" w:cs="仿宋"/>
          <w:color w:val="000000"/>
          <w:sz w:val="32"/>
          <w:szCs w:val="32"/>
        </w:rPr>
      </w:pPr>
    </w:p>
    <w:p w14:paraId="2D9BB051">
      <w:pPr>
        <w:spacing w:line="560" w:lineRule="exact"/>
        <w:rPr>
          <w:rFonts w:ascii="方正黑体简体" w:eastAsia="方正黑体简体" w:cs="仿宋"/>
          <w:color w:val="000000"/>
          <w:sz w:val="32"/>
          <w:szCs w:val="32"/>
        </w:rPr>
      </w:pPr>
    </w:p>
    <w:p w14:paraId="5CF99BDB">
      <w:pPr>
        <w:spacing w:line="560" w:lineRule="exact"/>
        <w:rPr>
          <w:rFonts w:ascii="方正黑体简体" w:eastAsia="方正黑体简体" w:cs="仿宋"/>
          <w:color w:val="000000"/>
          <w:sz w:val="32"/>
          <w:szCs w:val="32"/>
        </w:rPr>
      </w:pPr>
    </w:p>
    <w:p w14:paraId="34864271">
      <w:pPr>
        <w:spacing w:line="560" w:lineRule="exact"/>
        <w:rPr>
          <w:rFonts w:ascii="方正黑体简体" w:eastAsia="方正黑体简体" w:cs="仿宋"/>
          <w:color w:val="000000"/>
          <w:sz w:val="32"/>
          <w:szCs w:val="32"/>
        </w:rPr>
      </w:pPr>
    </w:p>
    <w:p w14:paraId="05FACBAD">
      <w:pPr>
        <w:spacing w:line="560" w:lineRule="exact"/>
        <w:rPr>
          <w:rFonts w:ascii="方正黑体简体" w:eastAsia="方正黑体简体" w:cs="仿宋"/>
          <w:color w:val="000000"/>
          <w:sz w:val="32"/>
          <w:szCs w:val="32"/>
        </w:rPr>
      </w:pPr>
    </w:p>
    <w:p w14:paraId="788C765B">
      <w:pPr>
        <w:spacing w:line="560" w:lineRule="exact"/>
        <w:rPr>
          <w:rFonts w:ascii="方正黑体简体" w:eastAsia="方正黑体简体" w:cs="仿宋"/>
          <w:color w:val="000000"/>
          <w:sz w:val="32"/>
          <w:szCs w:val="32"/>
        </w:rPr>
      </w:pPr>
    </w:p>
    <w:p w14:paraId="11D3F5F7">
      <w:pPr>
        <w:widowControl/>
        <w:jc w:val="left"/>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br w:type="page"/>
      </w:r>
    </w:p>
    <w:p w14:paraId="4704D33A">
      <w:pPr>
        <w:spacing w:line="620" w:lineRule="exact"/>
        <w:rPr>
          <w:rFonts w:ascii="黑体" w:hAnsi="黑体" w:eastAsia="黑体" w:cs="仿宋_GB2312"/>
          <w:color w:val="000000"/>
          <w:sz w:val="32"/>
          <w:szCs w:val="32"/>
        </w:rPr>
      </w:pPr>
      <w:r>
        <w:rPr>
          <w:rFonts w:hint="eastAsia" w:ascii="黑体" w:hAnsi="黑体" w:eastAsia="黑体" w:cs="仿宋_GB2312"/>
          <w:color w:val="000000"/>
          <w:sz w:val="32"/>
          <w:szCs w:val="32"/>
        </w:rPr>
        <w:t>附件4</w:t>
      </w:r>
    </w:p>
    <w:p w14:paraId="49E6F1E5">
      <w:pPr>
        <w:spacing w:line="560" w:lineRule="exact"/>
        <w:jc w:val="center"/>
        <w:rPr>
          <w:rFonts w:ascii="方正小标宋简体" w:hAnsi="方正小标宋简体" w:eastAsia="方正小标宋简体" w:cs="方正小标宋简体"/>
          <w:bCs/>
          <w:color w:val="000000"/>
          <w:sz w:val="44"/>
          <w:szCs w:val="44"/>
        </w:rPr>
      </w:pPr>
    </w:p>
    <w:p w14:paraId="075491B6">
      <w:pPr>
        <w:spacing w:line="560" w:lineRule="exact"/>
        <w:jc w:val="center"/>
        <w:rPr>
          <w:rFonts w:ascii="方正小标宋简体" w:hAnsi="方正小标宋简体" w:eastAsia="方正小标宋简体" w:cs="方正小标宋简体"/>
          <w:bCs/>
          <w:color w:val="000000"/>
          <w:sz w:val="44"/>
          <w:szCs w:val="44"/>
        </w:rPr>
      </w:pPr>
      <w:r>
        <w:rPr>
          <w:rFonts w:hint="eastAsia" w:ascii="方正小标宋简体" w:hAnsi="方正小标宋简体" w:eastAsia="方正小标宋简体" w:cs="方正小标宋简体"/>
          <w:bCs/>
          <w:color w:val="000000"/>
          <w:sz w:val="44"/>
          <w:szCs w:val="44"/>
        </w:rPr>
        <w:t>新晃侗族自治县征收范围内成片用材林、果树、经济林的青苗补偿标准</w:t>
      </w:r>
    </w:p>
    <w:p w14:paraId="28C5F2F7">
      <w:pPr>
        <w:rPr>
          <w:b/>
          <w:bCs/>
          <w:color w:val="000000"/>
          <w:sz w:val="24"/>
        </w:rPr>
      </w:pPr>
    </w:p>
    <w:p w14:paraId="7BA534B4">
      <w:pPr>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rPr>
        <w:t>征收范围内成片用材林青苗补偿标准：                   （</w:t>
      </w:r>
      <w:r>
        <w:rPr>
          <w:rFonts w:hint="eastAsia" w:ascii="仿宋_GB2312" w:hAnsi="仿宋_GB2312" w:eastAsia="仿宋_GB2312" w:cs="仿宋_GB2312"/>
          <w:color w:val="000000"/>
          <w:kern w:val="0"/>
          <w:sz w:val="24"/>
        </w:rPr>
        <w:t>单位：元／亩）</w:t>
      </w:r>
    </w:p>
    <w:tbl>
      <w:tblPr>
        <w:tblStyle w:val="18"/>
        <w:tblW w:w="9410" w:type="dxa"/>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108" w:type="dxa"/>
          <w:bottom w:w="0" w:type="dxa"/>
          <w:right w:w="108" w:type="dxa"/>
        </w:tblCellMar>
      </w:tblPr>
      <w:tblGrid>
        <w:gridCol w:w="2153"/>
        <w:gridCol w:w="1145"/>
        <w:gridCol w:w="1145"/>
        <w:gridCol w:w="1146"/>
        <w:gridCol w:w="3821"/>
      </w:tblGrid>
      <w:tr w14:paraId="4C54C3D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trHeight w:val="1380" w:hRule="atLeast"/>
          <w:jc w:val="center"/>
        </w:trPr>
        <w:tc>
          <w:tcPr>
            <w:tcW w:w="2153" w:type="dxa"/>
            <w:tcBorders>
              <w:top w:val="single" w:color="auto" w:sz="4" w:space="0"/>
              <w:left w:val="single" w:color="auto" w:sz="4" w:space="0"/>
              <w:bottom w:val="single" w:color="auto" w:sz="4" w:space="0"/>
              <w:right w:val="single" w:color="auto" w:sz="4" w:space="0"/>
            </w:tcBorders>
            <w:vAlign w:val="center"/>
          </w:tcPr>
          <w:p w14:paraId="7D8E5220">
            <w:pPr>
              <w:spacing w:line="340" w:lineRule="exact"/>
              <w:rPr>
                <w:rFonts w:ascii="仿宋_GB2312" w:hAnsi="仿宋_GB2312" w:eastAsia="仿宋_GB2312" w:cs="仿宋_GB2312"/>
                <w:bCs/>
                <w:color w:val="000000"/>
                <w:kern w:val="0"/>
                <w:sz w:val="24"/>
              </w:rPr>
            </w:pPr>
            <w:r>
              <w:rPr>
                <w:rFonts w:ascii="仿宋_GB2312" w:hAnsi="仿宋_GB2312" w:eastAsia="仿宋_GB2312" w:cs="仿宋_GB2312"/>
              </w:rPr>
              <mc:AlternateContent>
                <mc:Choice Requires="wps">
                  <w:drawing>
                    <wp:anchor distT="0" distB="0" distL="114300" distR="114300" simplePos="0" relativeHeight="251665408" behindDoc="0" locked="0" layoutInCell="1" allowOverlap="1">
                      <wp:simplePos x="0" y="0"/>
                      <wp:positionH relativeFrom="column">
                        <wp:posOffset>631190</wp:posOffset>
                      </wp:positionH>
                      <wp:positionV relativeFrom="paragraph">
                        <wp:posOffset>1270</wp:posOffset>
                      </wp:positionV>
                      <wp:extent cx="676910" cy="894715"/>
                      <wp:effectExtent l="3810" t="3175" r="5080" b="3810"/>
                      <wp:wrapNone/>
                      <wp:docPr id="6" name="直接连接符 6"/>
                      <wp:cNvGraphicFramePr/>
                      <a:graphic xmlns:a="http://schemas.openxmlformats.org/drawingml/2006/main">
                        <a:graphicData uri="http://schemas.microsoft.com/office/word/2010/wordprocessingShape">
                          <wps:wsp>
                            <wps:cNvCnPr/>
                            <wps:spPr>
                              <a:xfrm>
                                <a:off x="0" y="0"/>
                                <a:ext cx="676910" cy="89471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49.7pt;margin-top:0.1pt;height:70.45pt;width:53.3pt;z-index:251665408;mso-width-relative:page;mso-height-relative:page;" filled="f" stroked="t" coordsize="21600,21600" o:gfxdata="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CtnKtvVAAAABwEAAA8AAAAAAAAAAQAgAAAAIgAAAGRycy9kb3ducmV2Lnht&#10;bFBLAQIUABQAAAAIAIdO4kCmuOX4/AEAAPYDAAAOAAAAAAAAAAEAIAAAACQBAABkcnMvZTJvRG9j&#10;LnhtbFBLBQYAAAAABgAGAFkBAACSBQAAAAA=&#10;">
                      <v:fill on="f" focussize="0,0"/>
                      <v:stroke color="#000000" joinstyle="round"/>
                      <v:imagedata o:title=""/>
                      <o:lock v:ext="edit" aspectratio="f"/>
                    </v:line>
                  </w:pict>
                </mc:Fallback>
              </mc:AlternateContent>
            </w:r>
            <w:r>
              <w:rPr>
                <w:rFonts w:hint="eastAsia" w:ascii="仿宋_GB2312" w:hAnsi="仿宋_GB2312" w:eastAsia="仿宋_GB2312" w:cs="仿宋_GB2312"/>
                <w:bCs/>
                <w:color w:val="000000"/>
                <w:kern w:val="0"/>
                <w:sz w:val="24"/>
              </w:rPr>
              <w:t>补        生</w:t>
            </w:r>
          </w:p>
          <w:p w14:paraId="5EB5C9C5">
            <w:pPr>
              <w:spacing w:line="240" w:lineRule="exact"/>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 xml:space="preserve">    偿       长</w:t>
            </w:r>
          </w:p>
          <w:p w14:paraId="5B26A6CD">
            <w:pPr>
              <w:spacing w:line="240" w:lineRule="exact"/>
              <w:rPr>
                <w:rFonts w:ascii="仿宋_GB2312" w:hAnsi="仿宋_GB2312" w:eastAsia="仿宋_GB2312" w:cs="仿宋_GB2312"/>
                <w:bCs/>
                <w:color w:val="000000"/>
                <w:kern w:val="0"/>
                <w:sz w:val="24"/>
              </w:rPr>
            </w:pPr>
            <w:r>
              <w:rPr>
                <w:rFonts w:ascii="仿宋_GB2312" w:hAnsi="仿宋_GB2312" w:eastAsia="仿宋_GB2312" w:cs="仿宋_GB2312"/>
              </w:rPr>
              <mc:AlternateContent>
                <mc:Choice Requires="wps">
                  <w:drawing>
                    <wp:anchor distT="0" distB="0" distL="114300" distR="114300" simplePos="0" relativeHeight="251664384" behindDoc="0" locked="0" layoutInCell="1" allowOverlap="1">
                      <wp:simplePos x="0" y="0"/>
                      <wp:positionH relativeFrom="column">
                        <wp:posOffset>-58420</wp:posOffset>
                      </wp:positionH>
                      <wp:positionV relativeFrom="paragraph">
                        <wp:posOffset>-4445</wp:posOffset>
                      </wp:positionV>
                      <wp:extent cx="1316990" cy="474980"/>
                      <wp:effectExtent l="1905" t="4445" r="1905" b="15875"/>
                      <wp:wrapNone/>
                      <wp:docPr id="13" name="直接连接符 13"/>
                      <wp:cNvGraphicFramePr/>
                      <a:graphic xmlns:a="http://schemas.openxmlformats.org/drawingml/2006/main">
                        <a:graphicData uri="http://schemas.microsoft.com/office/word/2010/wordprocessingShape">
                          <wps:wsp>
                            <wps:cNvCnPr/>
                            <wps:spPr>
                              <a:xfrm>
                                <a:off x="0" y="0"/>
                                <a:ext cx="1316990" cy="47498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4.6pt;margin-top:-0.35pt;height:37.4pt;width:103.7pt;z-index:251664384;mso-width-relative:page;mso-height-relative:page;" filled="f" stroked="t" coordsize="21600,21600" o:gfxdata="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HaVQaXVAAAABwEAAA8AAAAAAAAAAQAgAAAAIgAAAGRycy9kb3du&#10;cmV2LnhtbFBLAQIUABQAAAAIAIdO4kDd5b1CAgIAAPkDAAAOAAAAAAAAAAEAIAAAACQBAABkcnMv&#10;ZTJvRG9jLnhtbFBLBQYAAAAABgAGAFkBAACYBQAAAAA=&#10;">
                      <v:fill on="f" focussize="0,0"/>
                      <v:stroke color="#000000" joinstyle="round"/>
                      <v:imagedata o:title=""/>
                      <o:lock v:ext="edit" aspectratio="f"/>
                    </v:line>
                  </w:pict>
                </mc:Fallback>
              </mc:AlternateContent>
            </w:r>
            <w:r>
              <w:rPr>
                <w:rFonts w:hint="eastAsia" w:ascii="仿宋_GB2312" w:hAnsi="仿宋_GB2312" w:eastAsia="仿宋_GB2312" w:cs="仿宋_GB2312"/>
                <w:bCs/>
                <w:color w:val="000000"/>
                <w:kern w:val="0"/>
                <w:sz w:val="24"/>
              </w:rPr>
              <w:t xml:space="preserve">       标     期</w:t>
            </w:r>
          </w:p>
          <w:p w14:paraId="24DC8713">
            <w:pPr>
              <w:spacing w:line="240" w:lineRule="exact"/>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 xml:space="preserve">          准</w:t>
            </w:r>
          </w:p>
          <w:p w14:paraId="6910F1EC">
            <w:pPr>
              <w:spacing w:line="240" w:lineRule="exact"/>
              <w:ind w:firstLine="120" w:firstLineChars="50"/>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种类</w:t>
            </w:r>
          </w:p>
        </w:tc>
        <w:tc>
          <w:tcPr>
            <w:tcW w:w="1145" w:type="dxa"/>
            <w:tcBorders>
              <w:top w:val="single" w:color="auto" w:sz="4" w:space="0"/>
              <w:left w:val="nil"/>
              <w:bottom w:val="single" w:color="auto" w:sz="4" w:space="0"/>
              <w:right w:val="single" w:color="auto" w:sz="4" w:space="0"/>
            </w:tcBorders>
            <w:vAlign w:val="center"/>
          </w:tcPr>
          <w:p w14:paraId="11359890">
            <w:pPr>
              <w:spacing w:line="240" w:lineRule="exact"/>
              <w:jc w:val="center"/>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rPr>
              <w:t>苗高3米以下</w:t>
            </w:r>
          </w:p>
        </w:tc>
        <w:tc>
          <w:tcPr>
            <w:tcW w:w="1145" w:type="dxa"/>
            <w:tcBorders>
              <w:top w:val="single" w:color="auto" w:sz="4" w:space="0"/>
              <w:left w:val="nil"/>
              <w:bottom w:val="single" w:color="auto" w:sz="4" w:space="0"/>
              <w:right w:val="single" w:color="auto" w:sz="4" w:space="0"/>
            </w:tcBorders>
            <w:vAlign w:val="center"/>
          </w:tcPr>
          <w:p w14:paraId="011280E2">
            <w:pPr>
              <w:spacing w:line="240" w:lineRule="exact"/>
              <w:jc w:val="center"/>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rPr>
              <w:t>胸径6-12厘米以内</w:t>
            </w:r>
          </w:p>
        </w:tc>
        <w:tc>
          <w:tcPr>
            <w:tcW w:w="1146" w:type="dxa"/>
            <w:tcBorders>
              <w:top w:val="single" w:color="auto" w:sz="4" w:space="0"/>
              <w:left w:val="nil"/>
              <w:bottom w:val="single" w:color="auto" w:sz="4" w:space="0"/>
              <w:right w:val="single" w:color="auto" w:sz="4" w:space="0"/>
            </w:tcBorders>
            <w:vAlign w:val="center"/>
          </w:tcPr>
          <w:p w14:paraId="7171EFC4">
            <w:pPr>
              <w:spacing w:line="240" w:lineRule="exact"/>
              <w:jc w:val="center"/>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rPr>
              <w:t>胸径14厘米以上</w:t>
            </w:r>
          </w:p>
        </w:tc>
        <w:tc>
          <w:tcPr>
            <w:tcW w:w="3821" w:type="dxa"/>
            <w:tcBorders>
              <w:top w:val="single" w:color="auto" w:sz="4" w:space="0"/>
              <w:left w:val="nil"/>
              <w:bottom w:val="single" w:color="auto" w:sz="4" w:space="0"/>
              <w:right w:val="single" w:color="auto" w:sz="4" w:space="0"/>
            </w:tcBorders>
            <w:vAlign w:val="center"/>
          </w:tcPr>
          <w:p w14:paraId="1496122B">
            <w:pPr>
              <w:spacing w:line="240" w:lineRule="exact"/>
              <w:jc w:val="center"/>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rPr>
              <w:t>备注</w:t>
            </w:r>
          </w:p>
        </w:tc>
      </w:tr>
      <w:tr w14:paraId="2FAA5BB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951" w:hRule="exact"/>
          <w:jc w:val="center"/>
        </w:trPr>
        <w:tc>
          <w:tcPr>
            <w:tcW w:w="2153" w:type="dxa"/>
            <w:tcBorders>
              <w:top w:val="single" w:color="auto" w:sz="4" w:space="0"/>
              <w:left w:val="single" w:color="auto" w:sz="4" w:space="0"/>
              <w:bottom w:val="single" w:color="auto" w:sz="4" w:space="0"/>
              <w:right w:val="single" w:color="auto" w:sz="4" w:space="0"/>
            </w:tcBorders>
            <w:vAlign w:val="center"/>
          </w:tcPr>
          <w:p w14:paraId="0B9A716E">
            <w:pPr>
              <w:jc w:val="center"/>
              <w:rPr>
                <w:rFonts w:ascii="仿宋_GB2312" w:hAnsi="仿宋_GB2312" w:eastAsia="仿宋_GB2312" w:cs="仿宋_GB2312"/>
                <w:sz w:val="24"/>
              </w:rPr>
            </w:pPr>
            <w:r>
              <w:rPr>
                <w:rFonts w:hint="eastAsia" w:ascii="仿宋_GB2312" w:hAnsi="仿宋_GB2312" w:eastAsia="仿宋_GB2312" w:cs="仿宋_GB2312"/>
                <w:sz w:val="24"/>
              </w:rPr>
              <w:t>马尾松、杉树、国外松等</w:t>
            </w:r>
          </w:p>
        </w:tc>
        <w:tc>
          <w:tcPr>
            <w:tcW w:w="1145" w:type="dxa"/>
            <w:tcBorders>
              <w:top w:val="single" w:color="auto" w:sz="4" w:space="0"/>
              <w:left w:val="nil"/>
              <w:bottom w:val="single" w:color="auto" w:sz="4" w:space="0"/>
              <w:right w:val="single" w:color="auto" w:sz="4" w:space="0"/>
            </w:tcBorders>
            <w:vAlign w:val="center"/>
          </w:tcPr>
          <w:p w14:paraId="7D84F6CC">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2000</w:t>
            </w:r>
          </w:p>
        </w:tc>
        <w:tc>
          <w:tcPr>
            <w:tcW w:w="1145" w:type="dxa"/>
            <w:tcBorders>
              <w:top w:val="single" w:color="auto" w:sz="4" w:space="0"/>
              <w:left w:val="nil"/>
              <w:bottom w:val="single" w:color="auto" w:sz="4" w:space="0"/>
              <w:right w:val="single" w:color="auto" w:sz="4" w:space="0"/>
            </w:tcBorders>
            <w:vAlign w:val="center"/>
          </w:tcPr>
          <w:p w14:paraId="1E2F54D8">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3000</w:t>
            </w:r>
          </w:p>
        </w:tc>
        <w:tc>
          <w:tcPr>
            <w:tcW w:w="1146" w:type="dxa"/>
            <w:tcBorders>
              <w:top w:val="single" w:color="auto" w:sz="4" w:space="0"/>
              <w:left w:val="nil"/>
              <w:bottom w:val="single" w:color="auto" w:sz="4" w:space="0"/>
              <w:right w:val="single" w:color="auto" w:sz="4" w:space="0"/>
            </w:tcBorders>
            <w:vAlign w:val="center"/>
          </w:tcPr>
          <w:p w14:paraId="1349DD51">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4000</w:t>
            </w:r>
          </w:p>
        </w:tc>
        <w:tc>
          <w:tcPr>
            <w:tcW w:w="3821" w:type="dxa"/>
            <w:vMerge w:val="restart"/>
            <w:tcBorders>
              <w:top w:val="single" w:color="auto" w:sz="4" w:space="0"/>
              <w:left w:val="nil"/>
              <w:right w:val="single" w:color="auto" w:sz="4" w:space="0"/>
            </w:tcBorders>
            <w:vAlign w:val="center"/>
          </w:tcPr>
          <w:p w14:paraId="722A7AA4">
            <w:pPr>
              <w:spacing w:line="300" w:lineRule="exact"/>
              <w:rPr>
                <w:rFonts w:ascii="仿宋_GB2312" w:hAnsi="仿宋_GB2312" w:eastAsia="仿宋_GB2312" w:cs="仿宋_GB2312"/>
                <w:sz w:val="24"/>
              </w:rPr>
            </w:pPr>
            <w:r>
              <w:rPr>
                <w:rFonts w:hint="eastAsia" w:ascii="仿宋_GB2312" w:hAnsi="仿宋_GB2312" w:eastAsia="仿宋_GB2312" w:cs="仿宋_GB2312"/>
                <w:color w:val="000000"/>
                <w:sz w:val="24"/>
              </w:rPr>
              <w:t>1.根据各种树木的高度、胸径大小、郁蔽度，按比例</w:t>
            </w:r>
            <w:r>
              <w:rPr>
                <w:rFonts w:hint="eastAsia" w:ascii="仿宋_GB2312" w:hAnsi="仿宋_GB2312" w:eastAsia="仿宋_GB2312" w:cs="仿宋_GB2312"/>
                <w:sz w:val="24"/>
              </w:rPr>
              <w:t>综合计算。</w:t>
            </w:r>
          </w:p>
          <w:p w14:paraId="14B34A64">
            <w:pPr>
              <w:spacing w:line="300" w:lineRule="exact"/>
              <w:rPr>
                <w:rFonts w:ascii="仿宋_GB2312" w:hAnsi="仿宋_GB2312" w:eastAsia="仿宋_GB2312" w:cs="仿宋_GB2312"/>
                <w:sz w:val="24"/>
              </w:rPr>
            </w:pPr>
            <w:r>
              <w:rPr>
                <w:rFonts w:hint="eastAsia" w:ascii="仿宋_GB2312" w:hAnsi="仿宋_GB2312" w:eastAsia="仿宋_GB2312" w:cs="仿宋_GB2312"/>
                <w:sz w:val="24"/>
              </w:rPr>
              <w:t>2.每亩30株以上。</w:t>
            </w:r>
          </w:p>
          <w:p w14:paraId="7ED83350">
            <w:pPr>
              <w:spacing w:line="3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3.本标准中未列举的其他用材林补偿，由自然资源部门会同县级林业、农业、物价等相关部门确定。</w:t>
            </w:r>
          </w:p>
        </w:tc>
      </w:tr>
      <w:tr w14:paraId="7DAED0E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770" w:hRule="exact"/>
          <w:jc w:val="center"/>
        </w:trPr>
        <w:tc>
          <w:tcPr>
            <w:tcW w:w="2153" w:type="dxa"/>
            <w:tcBorders>
              <w:top w:val="single" w:color="auto" w:sz="4" w:space="0"/>
              <w:left w:val="single" w:color="auto" w:sz="4" w:space="0"/>
              <w:bottom w:val="single" w:color="auto" w:sz="4" w:space="0"/>
              <w:right w:val="single" w:color="auto" w:sz="4" w:space="0"/>
            </w:tcBorders>
            <w:vAlign w:val="center"/>
          </w:tcPr>
          <w:p w14:paraId="6AC62848">
            <w:pPr>
              <w:jc w:val="center"/>
              <w:rPr>
                <w:rFonts w:ascii="仿宋_GB2312" w:hAnsi="仿宋_GB2312" w:eastAsia="仿宋_GB2312" w:cs="仿宋_GB2312"/>
                <w:sz w:val="24"/>
              </w:rPr>
            </w:pPr>
            <w:r>
              <w:rPr>
                <w:rFonts w:hint="eastAsia" w:ascii="仿宋_GB2312" w:hAnsi="仿宋_GB2312" w:eastAsia="仿宋_GB2312" w:cs="仿宋_GB2312"/>
                <w:sz w:val="24"/>
              </w:rPr>
              <w:t>香椿及其他树木</w:t>
            </w:r>
          </w:p>
        </w:tc>
        <w:tc>
          <w:tcPr>
            <w:tcW w:w="1145" w:type="dxa"/>
            <w:tcBorders>
              <w:top w:val="single" w:color="auto" w:sz="4" w:space="0"/>
              <w:left w:val="nil"/>
              <w:bottom w:val="single" w:color="auto" w:sz="4" w:space="0"/>
              <w:right w:val="single" w:color="auto" w:sz="4" w:space="0"/>
            </w:tcBorders>
            <w:vAlign w:val="center"/>
          </w:tcPr>
          <w:p w14:paraId="01B5F547">
            <w:pPr>
              <w:jc w:val="center"/>
              <w:rPr>
                <w:rFonts w:ascii="仿宋_GB2312" w:hAnsi="仿宋_GB2312" w:eastAsia="仿宋_GB2312" w:cs="仿宋_GB2312"/>
                <w:sz w:val="24"/>
              </w:rPr>
            </w:pPr>
            <w:r>
              <w:rPr>
                <w:rFonts w:hint="eastAsia" w:ascii="仿宋_GB2312" w:hAnsi="仿宋_GB2312" w:eastAsia="仿宋_GB2312" w:cs="仿宋_GB2312"/>
                <w:sz w:val="24"/>
              </w:rPr>
              <w:t>1500</w:t>
            </w:r>
          </w:p>
        </w:tc>
        <w:tc>
          <w:tcPr>
            <w:tcW w:w="1145" w:type="dxa"/>
            <w:tcBorders>
              <w:top w:val="single" w:color="auto" w:sz="4" w:space="0"/>
              <w:left w:val="nil"/>
              <w:bottom w:val="single" w:color="auto" w:sz="4" w:space="0"/>
              <w:right w:val="single" w:color="auto" w:sz="4" w:space="0"/>
            </w:tcBorders>
            <w:vAlign w:val="center"/>
          </w:tcPr>
          <w:p w14:paraId="40876213">
            <w:pPr>
              <w:jc w:val="center"/>
              <w:rPr>
                <w:rFonts w:ascii="仿宋_GB2312" w:hAnsi="仿宋_GB2312" w:eastAsia="仿宋_GB2312" w:cs="仿宋_GB2312"/>
                <w:sz w:val="24"/>
              </w:rPr>
            </w:pPr>
            <w:r>
              <w:rPr>
                <w:rFonts w:hint="eastAsia" w:ascii="仿宋_GB2312" w:hAnsi="仿宋_GB2312" w:eastAsia="仿宋_GB2312" w:cs="仿宋_GB2312"/>
                <w:sz w:val="24"/>
              </w:rPr>
              <w:t>2500</w:t>
            </w:r>
          </w:p>
        </w:tc>
        <w:tc>
          <w:tcPr>
            <w:tcW w:w="1146" w:type="dxa"/>
            <w:tcBorders>
              <w:top w:val="single" w:color="auto" w:sz="4" w:space="0"/>
              <w:left w:val="nil"/>
              <w:bottom w:val="single" w:color="auto" w:sz="4" w:space="0"/>
              <w:right w:val="single" w:color="auto" w:sz="4" w:space="0"/>
            </w:tcBorders>
            <w:vAlign w:val="center"/>
          </w:tcPr>
          <w:p w14:paraId="7ED0D3C3">
            <w:pPr>
              <w:jc w:val="center"/>
              <w:rPr>
                <w:rFonts w:ascii="仿宋_GB2312" w:hAnsi="仿宋_GB2312" w:eastAsia="仿宋_GB2312" w:cs="仿宋_GB2312"/>
                <w:sz w:val="24"/>
              </w:rPr>
            </w:pPr>
            <w:r>
              <w:rPr>
                <w:rFonts w:hint="eastAsia" w:ascii="仿宋_GB2312" w:hAnsi="仿宋_GB2312" w:eastAsia="仿宋_GB2312" w:cs="仿宋_GB2312"/>
                <w:sz w:val="24"/>
              </w:rPr>
              <w:t>3500</w:t>
            </w:r>
          </w:p>
        </w:tc>
        <w:tc>
          <w:tcPr>
            <w:tcW w:w="3821" w:type="dxa"/>
            <w:vMerge w:val="continue"/>
            <w:tcBorders>
              <w:left w:val="nil"/>
              <w:right w:val="single" w:color="auto" w:sz="4" w:space="0"/>
            </w:tcBorders>
            <w:vAlign w:val="center"/>
          </w:tcPr>
          <w:p w14:paraId="1CEFC52E">
            <w:pPr>
              <w:rPr>
                <w:rFonts w:ascii="仿宋_GB2312" w:hAnsi="仿宋_GB2312" w:eastAsia="仿宋_GB2312" w:cs="仿宋_GB2312"/>
              </w:rPr>
            </w:pPr>
          </w:p>
        </w:tc>
      </w:tr>
      <w:tr w14:paraId="7334BE9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1449" w:hRule="exact"/>
          <w:jc w:val="center"/>
        </w:trPr>
        <w:tc>
          <w:tcPr>
            <w:tcW w:w="2153" w:type="dxa"/>
            <w:tcBorders>
              <w:top w:val="single" w:color="auto" w:sz="4" w:space="0"/>
              <w:left w:val="single" w:color="auto" w:sz="4" w:space="0"/>
              <w:bottom w:val="single" w:color="auto" w:sz="4" w:space="0"/>
              <w:right w:val="single" w:color="auto" w:sz="4" w:space="0"/>
            </w:tcBorders>
            <w:vAlign w:val="center"/>
          </w:tcPr>
          <w:p w14:paraId="016AD248">
            <w:pPr>
              <w:jc w:val="center"/>
              <w:rPr>
                <w:rFonts w:ascii="仿宋_GB2312" w:hAnsi="仿宋_GB2312" w:eastAsia="仿宋_GB2312" w:cs="仿宋_GB2312"/>
                <w:sz w:val="24"/>
              </w:rPr>
            </w:pPr>
            <w:r>
              <w:rPr>
                <w:rFonts w:hint="eastAsia" w:ascii="仿宋_GB2312" w:hAnsi="仿宋_GB2312" w:eastAsia="仿宋_GB2312" w:cs="仿宋_GB2312"/>
                <w:sz w:val="24"/>
              </w:rPr>
              <w:t>楠竹</w:t>
            </w:r>
          </w:p>
        </w:tc>
        <w:tc>
          <w:tcPr>
            <w:tcW w:w="3436" w:type="dxa"/>
            <w:gridSpan w:val="3"/>
            <w:tcBorders>
              <w:top w:val="single" w:color="auto" w:sz="4" w:space="0"/>
              <w:left w:val="nil"/>
              <w:bottom w:val="single" w:color="auto" w:sz="4" w:space="0"/>
              <w:right w:val="single" w:color="auto" w:sz="4" w:space="0"/>
            </w:tcBorders>
            <w:vAlign w:val="center"/>
          </w:tcPr>
          <w:p w14:paraId="5B0A7A5A">
            <w:pPr>
              <w:jc w:val="center"/>
              <w:rPr>
                <w:rFonts w:ascii="仿宋_GB2312" w:hAnsi="仿宋_GB2312" w:eastAsia="仿宋_GB2312" w:cs="仿宋_GB2312"/>
                <w:sz w:val="24"/>
              </w:rPr>
            </w:pPr>
            <w:r>
              <w:rPr>
                <w:rFonts w:hint="eastAsia" w:ascii="仿宋_GB2312" w:hAnsi="仿宋_GB2312" w:eastAsia="仿宋_GB2312" w:cs="仿宋_GB2312"/>
                <w:sz w:val="24"/>
              </w:rPr>
              <w:t>6000</w:t>
            </w:r>
          </w:p>
        </w:tc>
        <w:tc>
          <w:tcPr>
            <w:tcW w:w="3821" w:type="dxa"/>
            <w:vMerge w:val="continue"/>
            <w:tcBorders>
              <w:left w:val="nil"/>
              <w:bottom w:val="single" w:color="auto" w:sz="4" w:space="0"/>
              <w:right w:val="single" w:color="auto" w:sz="4" w:space="0"/>
            </w:tcBorders>
            <w:vAlign w:val="center"/>
          </w:tcPr>
          <w:p w14:paraId="5AC15479">
            <w:pPr>
              <w:rPr>
                <w:rFonts w:ascii="仿宋_GB2312" w:hAnsi="仿宋_GB2312" w:eastAsia="仿宋_GB2312" w:cs="仿宋_GB2312"/>
              </w:rPr>
            </w:pPr>
          </w:p>
        </w:tc>
      </w:tr>
    </w:tbl>
    <w:p w14:paraId="790F116E">
      <w:pPr>
        <w:rPr>
          <w:rFonts w:ascii="仿宋_GB2312" w:hAnsi="仿宋_GB2312" w:eastAsia="仿宋_GB2312" w:cs="仿宋_GB2312"/>
          <w:b/>
          <w:bCs/>
          <w:color w:val="000000"/>
          <w:kern w:val="0"/>
          <w:szCs w:val="21"/>
        </w:rPr>
      </w:pPr>
    </w:p>
    <w:p w14:paraId="1D1D7FD0">
      <w:pPr>
        <w:rPr>
          <w:rFonts w:ascii="仿宋_GB2312" w:hAnsi="仿宋_GB2312" w:eastAsia="仿宋_GB2312" w:cs="仿宋_GB2312"/>
          <w:b/>
          <w:bCs/>
          <w:color w:val="000000"/>
          <w:kern w:val="0"/>
          <w:szCs w:val="21"/>
        </w:rPr>
      </w:pPr>
      <w:r>
        <w:rPr>
          <w:rFonts w:hint="eastAsia" w:ascii="仿宋_GB2312" w:hAnsi="仿宋_GB2312" w:eastAsia="仿宋_GB2312" w:cs="仿宋_GB2312"/>
          <w:b/>
          <w:bCs/>
          <w:color w:val="000000"/>
          <w:kern w:val="0"/>
          <w:szCs w:val="21"/>
        </w:rPr>
        <w:t xml:space="preserve">             </w:t>
      </w:r>
    </w:p>
    <w:p w14:paraId="61D46D97">
      <w:pPr>
        <w:rPr>
          <w:rFonts w:ascii="仿宋_GB2312" w:hAnsi="仿宋_GB2312" w:eastAsia="仿宋_GB2312" w:cs="仿宋_GB2312"/>
          <w:bCs/>
          <w:color w:val="000000"/>
          <w:sz w:val="24"/>
        </w:rPr>
      </w:pPr>
      <w:r>
        <w:rPr>
          <w:rFonts w:hint="eastAsia" w:ascii="仿宋_GB2312" w:hAnsi="仿宋_GB2312" w:eastAsia="仿宋_GB2312" w:cs="仿宋_GB2312"/>
          <w:bCs/>
          <w:color w:val="000000"/>
          <w:kern w:val="0"/>
          <w:sz w:val="24"/>
        </w:rPr>
        <w:t>征</w:t>
      </w:r>
      <w:r>
        <w:rPr>
          <w:rFonts w:hint="eastAsia" w:ascii="仿宋_GB2312" w:hAnsi="仿宋_GB2312" w:eastAsia="仿宋_GB2312" w:cs="仿宋_GB2312"/>
          <w:bCs/>
          <w:color w:val="000000"/>
          <w:sz w:val="24"/>
        </w:rPr>
        <w:t>收</w:t>
      </w:r>
      <w:r>
        <w:rPr>
          <w:rFonts w:hint="eastAsia" w:ascii="仿宋_GB2312" w:hAnsi="仿宋_GB2312" w:eastAsia="仿宋_GB2312" w:cs="仿宋_GB2312"/>
          <w:bCs/>
          <w:color w:val="000000"/>
          <w:kern w:val="0"/>
          <w:sz w:val="24"/>
        </w:rPr>
        <w:t xml:space="preserve">范围内成片果树青苗补偿标准：                       </w:t>
      </w:r>
      <w:r>
        <w:rPr>
          <w:rFonts w:hint="eastAsia" w:ascii="仿宋_GB2312" w:hAnsi="仿宋_GB2312" w:eastAsia="仿宋_GB2312" w:cs="仿宋_GB2312"/>
          <w:color w:val="000000"/>
          <w:kern w:val="0"/>
          <w:sz w:val="24"/>
        </w:rPr>
        <w:t>（单位：元／亩）</w:t>
      </w:r>
    </w:p>
    <w:tbl>
      <w:tblPr>
        <w:tblStyle w:val="18"/>
        <w:tblW w:w="94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9"/>
        <w:gridCol w:w="1619"/>
        <w:gridCol w:w="945"/>
        <w:gridCol w:w="946"/>
        <w:gridCol w:w="946"/>
        <w:gridCol w:w="4409"/>
      </w:tblGrid>
      <w:tr w14:paraId="31860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1" w:hRule="atLeast"/>
          <w:jc w:val="center"/>
        </w:trPr>
        <w:tc>
          <w:tcPr>
            <w:tcW w:w="549" w:type="dxa"/>
            <w:vAlign w:val="center"/>
          </w:tcPr>
          <w:p w14:paraId="48A2EC48">
            <w:pPr>
              <w:spacing w:line="240" w:lineRule="exact"/>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序号</w:t>
            </w:r>
          </w:p>
        </w:tc>
        <w:tc>
          <w:tcPr>
            <w:tcW w:w="1619" w:type="dxa"/>
            <w:vAlign w:val="center"/>
          </w:tcPr>
          <w:p w14:paraId="7DAF17F0">
            <w:pPr>
              <w:spacing w:line="240" w:lineRule="exact"/>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种 类</w:t>
            </w:r>
          </w:p>
        </w:tc>
        <w:tc>
          <w:tcPr>
            <w:tcW w:w="945" w:type="dxa"/>
            <w:vAlign w:val="center"/>
          </w:tcPr>
          <w:p w14:paraId="06F7DD5D">
            <w:pPr>
              <w:spacing w:line="240" w:lineRule="exact"/>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苗期（3年内）</w:t>
            </w:r>
          </w:p>
        </w:tc>
        <w:tc>
          <w:tcPr>
            <w:tcW w:w="946" w:type="dxa"/>
            <w:vAlign w:val="center"/>
          </w:tcPr>
          <w:p w14:paraId="50757AEB">
            <w:pPr>
              <w:spacing w:line="240" w:lineRule="exact"/>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始产期（3-6年）</w:t>
            </w:r>
          </w:p>
        </w:tc>
        <w:tc>
          <w:tcPr>
            <w:tcW w:w="946" w:type="dxa"/>
            <w:vAlign w:val="center"/>
          </w:tcPr>
          <w:p w14:paraId="3F06BA31">
            <w:pPr>
              <w:spacing w:line="240" w:lineRule="exact"/>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盛产期（6年以上）</w:t>
            </w:r>
          </w:p>
        </w:tc>
        <w:tc>
          <w:tcPr>
            <w:tcW w:w="4409" w:type="dxa"/>
            <w:vAlign w:val="center"/>
          </w:tcPr>
          <w:p w14:paraId="2F8B73AA">
            <w:pPr>
              <w:spacing w:line="240" w:lineRule="exact"/>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 备  注</w:t>
            </w:r>
          </w:p>
        </w:tc>
      </w:tr>
      <w:tr w14:paraId="58386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0" w:hRule="atLeast"/>
          <w:jc w:val="center"/>
        </w:trPr>
        <w:tc>
          <w:tcPr>
            <w:tcW w:w="549" w:type="dxa"/>
            <w:vAlign w:val="center"/>
          </w:tcPr>
          <w:p w14:paraId="1BCEFB16">
            <w:pPr>
              <w:spacing w:line="24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w:t>
            </w:r>
          </w:p>
        </w:tc>
        <w:tc>
          <w:tcPr>
            <w:tcW w:w="1619" w:type="dxa"/>
            <w:vAlign w:val="center"/>
          </w:tcPr>
          <w:p w14:paraId="371C1842">
            <w:pPr>
              <w:spacing w:line="24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柚、柑、桔</w:t>
            </w:r>
          </w:p>
        </w:tc>
        <w:tc>
          <w:tcPr>
            <w:tcW w:w="945" w:type="dxa"/>
            <w:vAlign w:val="center"/>
          </w:tcPr>
          <w:p w14:paraId="624E3A77">
            <w:pPr>
              <w:spacing w:line="24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3000</w:t>
            </w:r>
          </w:p>
        </w:tc>
        <w:tc>
          <w:tcPr>
            <w:tcW w:w="946" w:type="dxa"/>
            <w:vAlign w:val="center"/>
          </w:tcPr>
          <w:p w14:paraId="68C0DDF9">
            <w:pPr>
              <w:spacing w:line="24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8000</w:t>
            </w:r>
          </w:p>
        </w:tc>
        <w:tc>
          <w:tcPr>
            <w:tcW w:w="946" w:type="dxa"/>
            <w:vAlign w:val="center"/>
          </w:tcPr>
          <w:p w14:paraId="52E3C414">
            <w:pPr>
              <w:spacing w:line="24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10000</w:t>
            </w:r>
          </w:p>
        </w:tc>
        <w:tc>
          <w:tcPr>
            <w:tcW w:w="4409" w:type="dxa"/>
            <w:vMerge w:val="restart"/>
            <w:vAlign w:val="center"/>
          </w:tcPr>
          <w:p w14:paraId="0B1FD586">
            <w:pPr>
              <w:spacing w:line="300" w:lineRule="exac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1.本表中葡萄、猕猴桃设定的栽植密度为140株/亩，其他果树设定的栽植密度为50-60株/亩，低于设定栽植密度的按零星青苗补偿，高于设定栽植密度的按本标准补偿。</w:t>
            </w:r>
          </w:p>
          <w:p w14:paraId="1C81C1E6">
            <w:pPr>
              <w:spacing w:line="300" w:lineRule="exac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2.两种或两种以上果树混栽的，按综合加权平均价计算补偿。</w:t>
            </w:r>
          </w:p>
          <w:p w14:paraId="151E37CB">
            <w:pPr>
              <w:spacing w:line="300" w:lineRule="exac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3.本标准中未列举的其他果树补偿，由自然资源部门会同县级林业、农业、物价等相关部门确定。</w:t>
            </w:r>
          </w:p>
        </w:tc>
      </w:tr>
      <w:tr w14:paraId="76F5C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26" w:hRule="atLeast"/>
          <w:jc w:val="center"/>
        </w:trPr>
        <w:tc>
          <w:tcPr>
            <w:tcW w:w="549" w:type="dxa"/>
            <w:vAlign w:val="center"/>
          </w:tcPr>
          <w:p w14:paraId="25AB4B17">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w:t>
            </w:r>
          </w:p>
        </w:tc>
        <w:tc>
          <w:tcPr>
            <w:tcW w:w="1619" w:type="dxa"/>
            <w:vAlign w:val="center"/>
          </w:tcPr>
          <w:p w14:paraId="1BB20FF9">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桃、李、梨、枣、杏、枇杷、石榴、猕猴桃、杨梅、葡萄</w:t>
            </w:r>
          </w:p>
        </w:tc>
        <w:tc>
          <w:tcPr>
            <w:tcW w:w="945" w:type="dxa"/>
            <w:vAlign w:val="center"/>
          </w:tcPr>
          <w:p w14:paraId="43CF2DBC">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3000</w:t>
            </w:r>
          </w:p>
        </w:tc>
        <w:tc>
          <w:tcPr>
            <w:tcW w:w="946" w:type="dxa"/>
            <w:vAlign w:val="center"/>
          </w:tcPr>
          <w:p w14:paraId="2275571C">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10000</w:t>
            </w:r>
          </w:p>
        </w:tc>
        <w:tc>
          <w:tcPr>
            <w:tcW w:w="946" w:type="dxa"/>
            <w:vAlign w:val="center"/>
          </w:tcPr>
          <w:p w14:paraId="6C52419C">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12000</w:t>
            </w:r>
          </w:p>
        </w:tc>
        <w:tc>
          <w:tcPr>
            <w:tcW w:w="4409" w:type="dxa"/>
            <w:vMerge w:val="continue"/>
            <w:vAlign w:val="center"/>
          </w:tcPr>
          <w:p w14:paraId="4BD086E5">
            <w:pPr>
              <w:rPr>
                <w:rFonts w:ascii="仿宋_GB2312" w:hAnsi="仿宋_GB2312" w:eastAsia="仿宋_GB2312" w:cs="仿宋_GB2312"/>
              </w:rPr>
            </w:pPr>
          </w:p>
        </w:tc>
      </w:tr>
    </w:tbl>
    <w:p w14:paraId="544D3156">
      <w:pPr>
        <w:rPr>
          <w:rFonts w:ascii="仿宋_GB2312" w:hAnsi="仿宋_GB2312" w:eastAsia="仿宋_GB2312" w:cs="仿宋_GB2312"/>
          <w:bCs/>
          <w:color w:val="000000"/>
          <w:sz w:val="24"/>
        </w:rPr>
      </w:pPr>
    </w:p>
    <w:p w14:paraId="33214DA1">
      <w:pPr>
        <w:widowControl/>
        <w:jc w:val="left"/>
        <w:rPr>
          <w:rFonts w:ascii="仿宋_GB2312" w:hAnsi="仿宋_GB2312" w:eastAsia="仿宋_GB2312" w:cs="仿宋_GB2312"/>
          <w:bCs/>
          <w:color w:val="000000"/>
          <w:sz w:val="24"/>
        </w:rPr>
      </w:pPr>
      <w:r>
        <w:rPr>
          <w:rFonts w:ascii="仿宋_GB2312" w:hAnsi="仿宋_GB2312" w:eastAsia="仿宋_GB2312" w:cs="仿宋_GB2312"/>
          <w:bCs/>
          <w:color w:val="000000"/>
          <w:sz w:val="24"/>
        </w:rPr>
        <w:br w:type="page"/>
      </w:r>
    </w:p>
    <w:p w14:paraId="56B93C37">
      <w:pPr>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rPr>
        <w:t>征收范围内成片经济林青苗补偿标准：                  　 （</w:t>
      </w:r>
      <w:r>
        <w:rPr>
          <w:rFonts w:hint="eastAsia" w:ascii="仿宋_GB2312" w:hAnsi="仿宋_GB2312" w:eastAsia="仿宋_GB2312" w:cs="仿宋_GB2312"/>
          <w:color w:val="000000"/>
          <w:kern w:val="0"/>
          <w:sz w:val="24"/>
        </w:rPr>
        <w:t>单位：元／亩）</w:t>
      </w:r>
    </w:p>
    <w:tbl>
      <w:tblPr>
        <w:tblStyle w:val="18"/>
        <w:tblW w:w="9662" w:type="dxa"/>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108" w:type="dxa"/>
          <w:bottom w:w="0" w:type="dxa"/>
          <w:right w:w="108" w:type="dxa"/>
        </w:tblCellMar>
      </w:tblPr>
      <w:tblGrid>
        <w:gridCol w:w="454"/>
        <w:gridCol w:w="1116"/>
        <w:gridCol w:w="1179"/>
        <w:gridCol w:w="1179"/>
        <w:gridCol w:w="1180"/>
        <w:gridCol w:w="4554"/>
      </w:tblGrid>
      <w:tr w14:paraId="6400AE3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trHeight w:val="964" w:hRule="atLeast"/>
          <w:jc w:val="center"/>
        </w:trPr>
        <w:tc>
          <w:tcPr>
            <w:tcW w:w="454" w:type="dxa"/>
            <w:tcBorders>
              <w:top w:val="single" w:color="auto" w:sz="4" w:space="0"/>
              <w:left w:val="single" w:color="auto" w:sz="4" w:space="0"/>
              <w:bottom w:val="single" w:color="auto" w:sz="4" w:space="0"/>
              <w:right w:val="single" w:color="auto" w:sz="4" w:space="0"/>
            </w:tcBorders>
            <w:vAlign w:val="center"/>
          </w:tcPr>
          <w:p w14:paraId="21492AD9">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序号</w:t>
            </w:r>
          </w:p>
        </w:tc>
        <w:tc>
          <w:tcPr>
            <w:tcW w:w="1116" w:type="dxa"/>
            <w:tcBorders>
              <w:top w:val="single" w:color="auto" w:sz="4" w:space="0"/>
              <w:left w:val="nil"/>
              <w:bottom w:val="single" w:color="auto" w:sz="4" w:space="0"/>
              <w:right w:val="single" w:color="auto" w:sz="4" w:space="0"/>
            </w:tcBorders>
            <w:vAlign w:val="center"/>
          </w:tcPr>
          <w:p w14:paraId="196EE0BA">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 xml:space="preserve">种  类 </w:t>
            </w:r>
          </w:p>
        </w:tc>
        <w:tc>
          <w:tcPr>
            <w:tcW w:w="1179" w:type="dxa"/>
            <w:tcBorders>
              <w:top w:val="single" w:color="auto" w:sz="4" w:space="0"/>
              <w:left w:val="nil"/>
              <w:bottom w:val="single" w:color="auto" w:sz="4" w:space="0"/>
              <w:right w:val="single" w:color="auto" w:sz="4" w:space="0"/>
            </w:tcBorders>
            <w:vAlign w:val="center"/>
          </w:tcPr>
          <w:p w14:paraId="0481F29F">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苗期（3年内）</w:t>
            </w:r>
          </w:p>
        </w:tc>
        <w:tc>
          <w:tcPr>
            <w:tcW w:w="1179" w:type="dxa"/>
            <w:tcBorders>
              <w:top w:val="single" w:color="auto" w:sz="4" w:space="0"/>
              <w:left w:val="nil"/>
              <w:bottom w:val="single" w:color="auto" w:sz="4" w:space="0"/>
              <w:right w:val="single" w:color="auto" w:sz="4" w:space="0"/>
            </w:tcBorders>
            <w:vAlign w:val="center"/>
          </w:tcPr>
          <w:p w14:paraId="705A2DF9">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始产期（3-6年）</w:t>
            </w:r>
          </w:p>
        </w:tc>
        <w:tc>
          <w:tcPr>
            <w:tcW w:w="1180" w:type="dxa"/>
            <w:tcBorders>
              <w:top w:val="single" w:color="auto" w:sz="4" w:space="0"/>
              <w:left w:val="single" w:color="auto" w:sz="4" w:space="0"/>
              <w:bottom w:val="single" w:color="auto" w:sz="4" w:space="0"/>
              <w:right w:val="single" w:color="auto" w:sz="4" w:space="0"/>
            </w:tcBorders>
            <w:vAlign w:val="center"/>
          </w:tcPr>
          <w:p w14:paraId="696FEC60">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盛产期（6年以上）</w:t>
            </w:r>
          </w:p>
        </w:tc>
        <w:tc>
          <w:tcPr>
            <w:tcW w:w="4554" w:type="dxa"/>
            <w:tcBorders>
              <w:top w:val="single" w:color="auto" w:sz="4" w:space="0"/>
              <w:left w:val="nil"/>
              <w:bottom w:val="single" w:color="auto" w:sz="4" w:space="0"/>
              <w:right w:val="single" w:color="auto" w:sz="4" w:space="0"/>
            </w:tcBorders>
            <w:vAlign w:val="center"/>
          </w:tcPr>
          <w:p w14:paraId="6D708D67">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备   注</w:t>
            </w:r>
          </w:p>
        </w:tc>
      </w:tr>
      <w:tr w14:paraId="40EE803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964" w:hRule="atLeast"/>
          <w:jc w:val="center"/>
        </w:trPr>
        <w:tc>
          <w:tcPr>
            <w:tcW w:w="454" w:type="dxa"/>
            <w:tcBorders>
              <w:top w:val="nil"/>
              <w:left w:val="single" w:color="auto" w:sz="4" w:space="0"/>
              <w:bottom w:val="single" w:color="auto" w:sz="4" w:space="0"/>
              <w:right w:val="single" w:color="auto" w:sz="4" w:space="0"/>
            </w:tcBorders>
            <w:vAlign w:val="center"/>
          </w:tcPr>
          <w:p w14:paraId="01331EB6">
            <w:pPr>
              <w:spacing w:line="24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w:t>
            </w:r>
          </w:p>
        </w:tc>
        <w:tc>
          <w:tcPr>
            <w:tcW w:w="1116" w:type="dxa"/>
            <w:tcBorders>
              <w:top w:val="nil"/>
              <w:left w:val="nil"/>
              <w:bottom w:val="single" w:color="auto" w:sz="4" w:space="0"/>
              <w:right w:val="single" w:color="auto" w:sz="4" w:space="0"/>
            </w:tcBorders>
            <w:vAlign w:val="center"/>
          </w:tcPr>
          <w:p w14:paraId="12D780A4">
            <w:pPr>
              <w:spacing w:line="24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油茶</w:t>
            </w:r>
          </w:p>
        </w:tc>
        <w:tc>
          <w:tcPr>
            <w:tcW w:w="1179" w:type="dxa"/>
            <w:tcBorders>
              <w:top w:val="nil"/>
              <w:left w:val="nil"/>
              <w:bottom w:val="single" w:color="auto" w:sz="4" w:space="0"/>
              <w:right w:val="single" w:color="auto" w:sz="4" w:space="0"/>
            </w:tcBorders>
            <w:vAlign w:val="center"/>
          </w:tcPr>
          <w:p w14:paraId="4C77540C">
            <w:pPr>
              <w:spacing w:line="24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3000</w:t>
            </w:r>
          </w:p>
        </w:tc>
        <w:tc>
          <w:tcPr>
            <w:tcW w:w="1179" w:type="dxa"/>
            <w:tcBorders>
              <w:top w:val="single" w:color="auto" w:sz="4" w:space="0"/>
              <w:left w:val="nil"/>
              <w:bottom w:val="single" w:color="auto" w:sz="4" w:space="0"/>
              <w:right w:val="single" w:color="auto" w:sz="4" w:space="0"/>
            </w:tcBorders>
            <w:vAlign w:val="center"/>
          </w:tcPr>
          <w:p w14:paraId="7C79427C">
            <w:pPr>
              <w:spacing w:line="24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8000</w:t>
            </w:r>
          </w:p>
        </w:tc>
        <w:tc>
          <w:tcPr>
            <w:tcW w:w="1180" w:type="dxa"/>
            <w:tcBorders>
              <w:top w:val="single" w:color="auto" w:sz="4" w:space="0"/>
              <w:left w:val="single" w:color="auto" w:sz="4" w:space="0"/>
              <w:bottom w:val="single" w:color="auto" w:sz="4" w:space="0"/>
              <w:right w:val="single" w:color="auto" w:sz="4" w:space="0"/>
            </w:tcBorders>
            <w:vAlign w:val="center"/>
          </w:tcPr>
          <w:p w14:paraId="321EEA3B">
            <w:pPr>
              <w:spacing w:line="24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12000</w:t>
            </w:r>
          </w:p>
        </w:tc>
        <w:tc>
          <w:tcPr>
            <w:tcW w:w="4554" w:type="dxa"/>
            <w:vMerge w:val="restart"/>
            <w:tcBorders>
              <w:top w:val="nil"/>
              <w:left w:val="single" w:color="auto" w:sz="4" w:space="0"/>
              <w:bottom w:val="single" w:color="auto" w:sz="4" w:space="0"/>
              <w:right w:val="single" w:color="auto" w:sz="4" w:space="0"/>
            </w:tcBorders>
            <w:vAlign w:val="center"/>
          </w:tcPr>
          <w:p w14:paraId="40B49716">
            <w:pPr>
              <w:spacing w:line="360" w:lineRule="exact"/>
              <w:rPr>
                <w:rFonts w:ascii="仿宋_GB2312" w:hAnsi="仿宋_GB2312" w:eastAsia="仿宋_GB2312" w:cs="仿宋_GB2312"/>
                <w:color w:val="000000"/>
                <w:spacing w:val="-4"/>
                <w:kern w:val="0"/>
                <w:sz w:val="24"/>
              </w:rPr>
            </w:pPr>
            <w:r>
              <w:rPr>
                <w:rFonts w:hint="eastAsia" w:ascii="仿宋_GB2312" w:hAnsi="仿宋_GB2312" w:eastAsia="仿宋_GB2312" w:cs="仿宋_GB2312"/>
                <w:color w:val="000000"/>
                <w:spacing w:val="-4"/>
                <w:kern w:val="0"/>
                <w:sz w:val="24"/>
              </w:rPr>
              <w:t>1.本表中油茶设定的栽种密度为60-70株/亩，油桐设定的栽植密度为100株/亩，茶叶栽植密度4000株/亩。低于设定栽植密度的按零星青苗补偿，高于设定栽植密度的按本标准补偿。</w:t>
            </w:r>
          </w:p>
          <w:p w14:paraId="2B5CBFE7">
            <w:pPr>
              <w:spacing w:line="360" w:lineRule="exac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2.本标准中未列举的其他经济林木补偿，由自然资源部门会同县级林业、农业、物价等部门确定。</w:t>
            </w:r>
          </w:p>
        </w:tc>
      </w:tr>
      <w:tr w14:paraId="7FF8114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964" w:hRule="atLeast"/>
          <w:jc w:val="center"/>
        </w:trPr>
        <w:tc>
          <w:tcPr>
            <w:tcW w:w="454" w:type="dxa"/>
            <w:tcBorders>
              <w:top w:val="nil"/>
              <w:left w:val="single" w:color="auto" w:sz="4" w:space="0"/>
              <w:bottom w:val="single" w:color="auto" w:sz="4" w:space="0"/>
              <w:right w:val="single" w:color="auto" w:sz="4" w:space="0"/>
            </w:tcBorders>
            <w:vAlign w:val="center"/>
          </w:tcPr>
          <w:p w14:paraId="361910CE">
            <w:pPr>
              <w:spacing w:line="24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w:t>
            </w:r>
          </w:p>
        </w:tc>
        <w:tc>
          <w:tcPr>
            <w:tcW w:w="1116" w:type="dxa"/>
            <w:tcBorders>
              <w:top w:val="nil"/>
              <w:left w:val="nil"/>
              <w:bottom w:val="single" w:color="auto" w:sz="4" w:space="0"/>
              <w:right w:val="single" w:color="auto" w:sz="4" w:space="0"/>
            </w:tcBorders>
            <w:vAlign w:val="center"/>
          </w:tcPr>
          <w:p w14:paraId="6437961A">
            <w:pPr>
              <w:spacing w:line="24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油桐</w:t>
            </w:r>
          </w:p>
        </w:tc>
        <w:tc>
          <w:tcPr>
            <w:tcW w:w="1179" w:type="dxa"/>
            <w:tcBorders>
              <w:top w:val="nil"/>
              <w:left w:val="nil"/>
              <w:bottom w:val="single" w:color="auto" w:sz="4" w:space="0"/>
              <w:right w:val="single" w:color="auto" w:sz="4" w:space="0"/>
            </w:tcBorders>
            <w:vAlign w:val="center"/>
          </w:tcPr>
          <w:p w14:paraId="53DA5A9D">
            <w:pPr>
              <w:spacing w:line="24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2000</w:t>
            </w:r>
          </w:p>
        </w:tc>
        <w:tc>
          <w:tcPr>
            <w:tcW w:w="1179" w:type="dxa"/>
            <w:tcBorders>
              <w:top w:val="single" w:color="auto" w:sz="4" w:space="0"/>
              <w:left w:val="nil"/>
              <w:bottom w:val="single" w:color="auto" w:sz="4" w:space="0"/>
              <w:right w:val="single" w:color="auto" w:sz="4" w:space="0"/>
            </w:tcBorders>
            <w:vAlign w:val="center"/>
          </w:tcPr>
          <w:p w14:paraId="015F9F23">
            <w:pPr>
              <w:spacing w:line="24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6000</w:t>
            </w:r>
          </w:p>
        </w:tc>
        <w:tc>
          <w:tcPr>
            <w:tcW w:w="1180" w:type="dxa"/>
            <w:tcBorders>
              <w:top w:val="single" w:color="auto" w:sz="4" w:space="0"/>
              <w:left w:val="single" w:color="auto" w:sz="4" w:space="0"/>
              <w:bottom w:val="single" w:color="auto" w:sz="4" w:space="0"/>
              <w:right w:val="single" w:color="auto" w:sz="4" w:space="0"/>
            </w:tcBorders>
            <w:vAlign w:val="center"/>
          </w:tcPr>
          <w:p w14:paraId="00A92160">
            <w:pPr>
              <w:spacing w:line="24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9000</w:t>
            </w:r>
          </w:p>
        </w:tc>
        <w:tc>
          <w:tcPr>
            <w:tcW w:w="4554" w:type="dxa"/>
            <w:vMerge w:val="continue"/>
            <w:tcBorders>
              <w:top w:val="nil"/>
              <w:left w:val="single" w:color="auto" w:sz="4" w:space="0"/>
              <w:bottom w:val="single" w:color="auto" w:sz="4" w:space="0"/>
              <w:right w:val="single" w:color="auto" w:sz="4" w:space="0"/>
            </w:tcBorders>
            <w:vAlign w:val="center"/>
          </w:tcPr>
          <w:p w14:paraId="3A4BC425">
            <w:pPr>
              <w:rPr>
                <w:rFonts w:ascii="仿宋_GB2312" w:hAnsi="仿宋_GB2312" w:eastAsia="仿宋_GB2312" w:cs="仿宋_GB2312"/>
              </w:rPr>
            </w:pPr>
          </w:p>
        </w:tc>
      </w:tr>
      <w:tr w14:paraId="6C5CE92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964" w:hRule="atLeast"/>
          <w:jc w:val="center"/>
        </w:trPr>
        <w:tc>
          <w:tcPr>
            <w:tcW w:w="454" w:type="dxa"/>
            <w:tcBorders>
              <w:top w:val="nil"/>
              <w:left w:val="single" w:color="auto" w:sz="4" w:space="0"/>
              <w:bottom w:val="single" w:color="auto" w:sz="4" w:space="0"/>
              <w:right w:val="single" w:color="auto" w:sz="4" w:space="0"/>
            </w:tcBorders>
            <w:vAlign w:val="center"/>
          </w:tcPr>
          <w:p w14:paraId="3677F871">
            <w:pPr>
              <w:spacing w:line="360" w:lineRule="auto"/>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w:t>
            </w:r>
          </w:p>
        </w:tc>
        <w:tc>
          <w:tcPr>
            <w:tcW w:w="1116" w:type="dxa"/>
            <w:tcBorders>
              <w:top w:val="nil"/>
              <w:left w:val="nil"/>
              <w:bottom w:val="single" w:color="auto" w:sz="4" w:space="0"/>
              <w:right w:val="single" w:color="auto" w:sz="4" w:space="0"/>
            </w:tcBorders>
            <w:vAlign w:val="center"/>
          </w:tcPr>
          <w:p w14:paraId="1EE0AA1D">
            <w:pPr>
              <w:spacing w:line="360" w:lineRule="auto"/>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茶叶</w:t>
            </w:r>
          </w:p>
        </w:tc>
        <w:tc>
          <w:tcPr>
            <w:tcW w:w="1179" w:type="dxa"/>
            <w:tcBorders>
              <w:top w:val="nil"/>
              <w:left w:val="nil"/>
              <w:bottom w:val="single" w:color="auto" w:sz="4" w:space="0"/>
              <w:right w:val="single" w:color="auto" w:sz="4" w:space="0"/>
            </w:tcBorders>
            <w:vAlign w:val="center"/>
          </w:tcPr>
          <w:p w14:paraId="33380B76">
            <w:pPr>
              <w:spacing w:line="360" w:lineRule="auto"/>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3000</w:t>
            </w:r>
          </w:p>
        </w:tc>
        <w:tc>
          <w:tcPr>
            <w:tcW w:w="1179" w:type="dxa"/>
            <w:tcBorders>
              <w:top w:val="single" w:color="auto" w:sz="4" w:space="0"/>
              <w:left w:val="nil"/>
              <w:bottom w:val="single" w:color="auto" w:sz="4" w:space="0"/>
              <w:right w:val="single" w:color="auto" w:sz="4" w:space="0"/>
            </w:tcBorders>
            <w:vAlign w:val="center"/>
          </w:tcPr>
          <w:p w14:paraId="1B4818FD">
            <w:pPr>
              <w:spacing w:line="360" w:lineRule="auto"/>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9000</w:t>
            </w:r>
          </w:p>
        </w:tc>
        <w:tc>
          <w:tcPr>
            <w:tcW w:w="1180" w:type="dxa"/>
            <w:tcBorders>
              <w:top w:val="single" w:color="auto" w:sz="4" w:space="0"/>
              <w:left w:val="single" w:color="auto" w:sz="4" w:space="0"/>
              <w:bottom w:val="single" w:color="auto" w:sz="4" w:space="0"/>
              <w:right w:val="single" w:color="auto" w:sz="4" w:space="0"/>
            </w:tcBorders>
            <w:vAlign w:val="center"/>
          </w:tcPr>
          <w:p w14:paraId="040F5A30">
            <w:pPr>
              <w:spacing w:line="360" w:lineRule="auto"/>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12000</w:t>
            </w:r>
          </w:p>
        </w:tc>
        <w:tc>
          <w:tcPr>
            <w:tcW w:w="4554" w:type="dxa"/>
            <w:vMerge w:val="continue"/>
            <w:tcBorders>
              <w:top w:val="nil"/>
              <w:left w:val="single" w:color="auto" w:sz="4" w:space="0"/>
              <w:bottom w:val="single" w:color="auto" w:sz="4" w:space="0"/>
              <w:right w:val="single" w:color="auto" w:sz="4" w:space="0"/>
            </w:tcBorders>
            <w:vAlign w:val="center"/>
          </w:tcPr>
          <w:p w14:paraId="0CE4EAFA">
            <w:pPr>
              <w:rPr>
                <w:rFonts w:ascii="仿宋_GB2312" w:hAnsi="仿宋_GB2312" w:eastAsia="仿宋_GB2312" w:cs="仿宋_GB2312"/>
              </w:rPr>
            </w:pPr>
          </w:p>
        </w:tc>
      </w:tr>
      <w:tr w14:paraId="37D117C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964" w:hRule="atLeast"/>
          <w:jc w:val="center"/>
        </w:trPr>
        <w:tc>
          <w:tcPr>
            <w:tcW w:w="454" w:type="dxa"/>
            <w:tcBorders>
              <w:top w:val="nil"/>
              <w:left w:val="single" w:color="auto" w:sz="4" w:space="0"/>
              <w:bottom w:val="single" w:color="auto" w:sz="4" w:space="0"/>
              <w:right w:val="single" w:color="auto" w:sz="4" w:space="0"/>
            </w:tcBorders>
            <w:vAlign w:val="center"/>
          </w:tcPr>
          <w:p w14:paraId="0864185A">
            <w:pPr>
              <w:spacing w:line="360" w:lineRule="auto"/>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w:t>
            </w:r>
          </w:p>
        </w:tc>
        <w:tc>
          <w:tcPr>
            <w:tcW w:w="1116" w:type="dxa"/>
            <w:tcBorders>
              <w:top w:val="nil"/>
              <w:left w:val="nil"/>
              <w:bottom w:val="single" w:color="auto" w:sz="4" w:space="0"/>
              <w:right w:val="single" w:color="auto" w:sz="4" w:space="0"/>
            </w:tcBorders>
            <w:vAlign w:val="center"/>
          </w:tcPr>
          <w:p w14:paraId="52BFDCAB">
            <w:pPr>
              <w:spacing w:line="360" w:lineRule="auto"/>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板栗</w:t>
            </w:r>
          </w:p>
        </w:tc>
        <w:tc>
          <w:tcPr>
            <w:tcW w:w="1179" w:type="dxa"/>
            <w:tcBorders>
              <w:top w:val="nil"/>
              <w:left w:val="nil"/>
              <w:bottom w:val="single" w:color="auto" w:sz="4" w:space="0"/>
              <w:right w:val="single" w:color="auto" w:sz="4" w:space="0"/>
            </w:tcBorders>
            <w:vAlign w:val="center"/>
          </w:tcPr>
          <w:p w14:paraId="0E056A19">
            <w:pPr>
              <w:spacing w:line="360" w:lineRule="auto"/>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2500</w:t>
            </w:r>
          </w:p>
        </w:tc>
        <w:tc>
          <w:tcPr>
            <w:tcW w:w="1179" w:type="dxa"/>
            <w:tcBorders>
              <w:top w:val="single" w:color="auto" w:sz="4" w:space="0"/>
              <w:left w:val="nil"/>
              <w:bottom w:val="single" w:color="auto" w:sz="4" w:space="0"/>
              <w:right w:val="single" w:color="auto" w:sz="4" w:space="0"/>
            </w:tcBorders>
            <w:vAlign w:val="center"/>
          </w:tcPr>
          <w:p w14:paraId="1363BB22">
            <w:pPr>
              <w:spacing w:line="360" w:lineRule="auto"/>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5000</w:t>
            </w:r>
          </w:p>
        </w:tc>
        <w:tc>
          <w:tcPr>
            <w:tcW w:w="1180" w:type="dxa"/>
            <w:tcBorders>
              <w:top w:val="single" w:color="auto" w:sz="4" w:space="0"/>
              <w:left w:val="single" w:color="auto" w:sz="4" w:space="0"/>
              <w:bottom w:val="single" w:color="auto" w:sz="4" w:space="0"/>
              <w:right w:val="single" w:color="auto" w:sz="4" w:space="0"/>
            </w:tcBorders>
            <w:vAlign w:val="center"/>
          </w:tcPr>
          <w:p w14:paraId="6D51880E">
            <w:pPr>
              <w:spacing w:line="360" w:lineRule="auto"/>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8000</w:t>
            </w:r>
          </w:p>
        </w:tc>
        <w:tc>
          <w:tcPr>
            <w:tcW w:w="4554" w:type="dxa"/>
            <w:vMerge w:val="continue"/>
            <w:tcBorders>
              <w:top w:val="nil"/>
              <w:left w:val="single" w:color="auto" w:sz="4" w:space="0"/>
              <w:bottom w:val="single" w:color="auto" w:sz="4" w:space="0"/>
              <w:right w:val="single" w:color="auto" w:sz="4" w:space="0"/>
            </w:tcBorders>
            <w:vAlign w:val="center"/>
          </w:tcPr>
          <w:p w14:paraId="4CA8C286">
            <w:pPr>
              <w:rPr>
                <w:rFonts w:ascii="仿宋_GB2312" w:hAnsi="仿宋_GB2312" w:eastAsia="仿宋_GB2312" w:cs="仿宋_GB2312"/>
              </w:rPr>
            </w:pPr>
          </w:p>
        </w:tc>
      </w:tr>
    </w:tbl>
    <w:p w14:paraId="20F94CB2">
      <w:pPr>
        <w:rPr>
          <w:rFonts w:eastAsia="黑体"/>
          <w:sz w:val="30"/>
          <w:szCs w:val="30"/>
        </w:rPr>
      </w:pPr>
    </w:p>
    <w:p w14:paraId="1FD717DF">
      <w:pPr>
        <w:spacing w:line="560" w:lineRule="exact"/>
        <w:rPr>
          <w:rFonts w:ascii="黑体" w:hAnsi="黑体" w:eastAsia="黑体" w:cs="仿宋_GB2312"/>
          <w:sz w:val="32"/>
          <w:szCs w:val="32"/>
        </w:rPr>
      </w:pPr>
      <w:r>
        <w:rPr>
          <w:rFonts w:eastAsia="黑体"/>
          <w:sz w:val="30"/>
          <w:szCs w:val="30"/>
        </w:rPr>
        <w:br w:type="page"/>
      </w:r>
      <w:r>
        <w:rPr>
          <w:rFonts w:hint="eastAsia" w:ascii="黑体" w:hAnsi="黑体" w:eastAsia="黑体" w:cs="仿宋_GB2312"/>
          <w:sz w:val="32"/>
          <w:szCs w:val="32"/>
        </w:rPr>
        <w:t>附件5</w:t>
      </w:r>
    </w:p>
    <w:p w14:paraId="18D1A045">
      <w:pPr>
        <w:spacing w:line="560" w:lineRule="exact"/>
        <w:rPr>
          <w:rFonts w:ascii="仿宋_GB2312" w:hAnsi="仿宋_GB2312" w:eastAsia="仿宋_GB2312" w:cs="仿宋_GB2312"/>
          <w:sz w:val="32"/>
          <w:szCs w:val="32"/>
        </w:rPr>
      </w:pPr>
    </w:p>
    <w:p w14:paraId="0BF733E2">
      <w:pPr>
        <w:spacing w:line="560" w:lineRule="exact"/>
        <w:jc w:val="center"/>
        <w:rPr>
          <w:rFonts w:hint="eastAsia" w:ascii="方正小标宋简体" w:eastAsia="方正小标宋简体" w:cs="黑体"/>
          <w:bCs/>
          <w:color w:val="000000"/>
          <w:w w:val="90"/>
          <w:sz w:val="44"/>
          <w:szCs w:val="44"/>
        </w:rPr>
      </w:pPr>
      <w:r>
        <w:rPr>
          <w:rFonts w:hint="eastAsia" w:ascii="方正小标宋简体" w:eastAsia="方正小标宋简体" w:cs="黑体"/>
          <w:bCs/>
          <w:color w:val="000000"/>
          <w:w w:val="90"/>
          <w:sz w:val="44"/>
          <w:szCs w:val="44"/>
        </w:rPr>
        <w:t>新晃侗族自治县征收建设用地范围内零星树木、竹类、果树、经济林、苗木、花卉的青苗补偿标准</w:t>
      </w:r>
    </w:p>
    <w:p w14:paraId="56DC88CD">
      <w:pPr>
        <w:spacing w:line="560" w:lineRule="exact"/>
        <w:jc w:val="center"/>
        <w:rPr>
          <w:rFonts w:ascii="方正小标宋简体" w:eastAsia="方正小标宋简体" w:cs="黑体"/>
          <w:bCs/>
          <w:color w:val="000000"/>
          <w:sz w:val="44"/>
          <w:szCs w:val="44"/>
        </w:rPr>
      </w:pPr>
    </w:p>
    <w:p w14:paraId="5B5424C7">
      <w:pP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征收建设用地范围内零星树木、竹类青苗补偿标准：　　　　　　　　　（元/株）</w:t>
      </w:r>
    </w:p>
    <w:tbl>
      <w:tblPr>
        <w:tblStyle w:val="18"/>
        <w:tblW w:w="9117" w:type="dxa"/>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108" w:type="dxa"/>
          <w:bottom w:w="0" w:type="dxa"/>
          <w:right w:w="108" w:type="dxa"/>
        </w:tblCellMar>
      </w:tblPr>
      <w:tblGrid>
        <w:gridCol w:w="397"/>
        <w:gridCol w:w="1476"/>
        <w:gridCol w:w="1042"/>
        <w:gridCol w:w="1012"/>
        <w:gridCol w:w="1012"/>
        <w:gridCol w:w="1012"/>
        <w:gridCol w:w="1012"/>
        <w:gridCol w:w="1012"/>
        <w:gridCol w:w="1142"/>
      </w:tblGrid>
      <w:tr w14:paraId="1E5121A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420" w:hRule="atLeast"/>
          <w:jc w:val="center"/>
        </w:trPr>
        <w:tc>
          <w:tcPr>
            <w:tcW w:w="397" w:type="dxa"/>
            <w:vMerge w:val="restart"/>
            <w:tcBorders>
              <w:top w:val="single" w:color="auto" w:sz="4" w:space="0"/>
              <w:left w:val="single" w:color="auto" w:sz="4" w:space="0"/>
              <w:bottom w:val="single" w:color="auto" w:sz="4" w:space="0"/>
              <w:right w:val="single" w:color="auto" w:sz="4" w:space="0"/>
            </w:tcBorders>
            <w:vAlign w:val="center"/>
          </w:tcPr>
          <w:p w14:paraId="218BF286">
            <w:pPr>
              <w:spacing w:line="240" w:lineRule="exact"/>
              <w:jc w:val="center"/>
              <w:rPr>
                <w:rFonts w:ascii="仿宋_GB2312" w:hAnsi="仿宋_GB2312" w:eastAsia="仿宋_GB2312" w:cs="仿宋_GB2312"/>
                <w:color w:val="000000"/>
                <w:kern w:val="0"/>
                <w:sz w:val="24"/>
              </w:rPr>
            </w:pPr>
          </w:p>
          <w:p w14:paraId="113FAE3A">
            <w:pPr>
              <w:spacing w:line="240" w:lineRule="exact"/>
              <w:jc w:val="center"/>
              <w:rPr>
                <w:rFonts w:ascii="仿宋_GB2312" w:hAnsi="仿宋_GB2312" w:eastAsia="仿宋_GB2312" w:cs="仿宋_GB2312"/>
                <w:color w:val="000000"/>
                <w:kern w:val="0"/>
                <w:sz w:val="24"/>
              </w:rPr>
            </w:pPr>
          </w:p>
          <w:p w14:paraId="242ED1D4">
            <w:pPr>
              <w:jc w:val="center"/>
              <w:rPr>
                <w:rFonts w:ascii="仿宋_GB2312" w:hAnsi="仿宋_GB2312" w:eastAsia="仿宋_GB2312" w:cs="仿宋_GB2312"/>
                <w:color w:val="000000"/>
                <w:kern w:val="0"/>
                <w:sz w:val="24"/>
              </w:rPr>
            </w:pPr>
            <w:r>
              <w:rPr>
                <w:rFonts w:ascii="仿宋_GB2312" w:hAnsi="仿宋_GB2312" w:eastAsia="仿宋_GB2312" w:cs="仿宋_GB2312"/>
              </w:rPr>
              <mc:AlternateContent>
                <mc:Choice Requires="wps">
                  <w:drawing>
                    <wp:anchor distT="0" distB="0" distL="114300" distR="114300" simplePos="0" relativeHeight="251666432" behindDoc="0" locked="0" layoutInCell="1" allowOverlap="1">
                      <wp:simplePos x="0" y="0"/>
                      <wp:positionH relativeFrom="column">
                        <wp:posOffset>170180</wp:posOffset>
                      </wp:positionH>
                      <wp:positionV relativeFrom="paragraph">
                        <wp:posOffset>336550</wp:posOffset>
                      </wp:positionV>
                      <wp:extent cx="563880" cy="35433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563880" cy="354330"/>
                              </a:xfrm>
                              <a:prstGeom prst="rect">
                                <a:avLst/>
                              </a:prstGeom>
                              <a:noFill/>
                              <a:ln>
                                <a:noFill/>
                              </a:ln>
                              <a:effectLst/>
                            </wps:spPr>
                            <wps:txbx>
                              <w:txbxContent>
                                <w:p w14:paraId="236A27F3">
                                  <w:pPr>
                                    <w:rPr>
                                      <w:szCs w:val="21"/>
                                    </w:rPr>
                                  </w:pPr>
                                  <w:r>
                                    <w:rPr>
                                      <w:rFonts w:hint="eastAsia"/>
                                      <w:szCs w:val="21"/>
                                    </w:rPr>
                                    <w:t>名称</w:t>
                                  </w:r>
                                </w:p>
                              </w:txbxContent>
                            </wps:txbx>
                            <wps:bodyPr upright="1"/>
                          </wps:wsp>
                        </a:graphicData>
                      </a:graphic>
                    </wp:anchor>
                  </w:drawing>
                </mc:Choice>
                <mc:Fallback>
                  <w:pict>
                    <v:shape id="_x0000_s1026" o:spid="_x0000_s1026" o:spt="202" type="#_x0000_t202" style="position:absolute;left:0pt;margin-left:13.4pt;margin-top:26.5pt;height:27.9pt;width:44.4pt;z-index:251666432;mso-width-relative:page;mso-height-relative:page;" filled="f" stroked="f" coordsize="21600,21600" o:gfxdata="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Tzei&#10;CtYAAAAJAQAADwAAAAAAAAABACAAAAAiAAAAZHJzL2Rvd25yZXYueG1sUEsBAhQAFAAAAAgAh07i&#10;QJ+6KlayAQAAXQMAAA4AAAAAAAAAAQAgAAAAJQEAAGRycy9lMm9Eb2MueG1sUEsFBgAAAAAGAAYA&#10;WQEAAEkFAAAAAA==&#10;">
                      <v:fill on="f" focussize="0,0"/>
                      <v:stroke on="f"/>
                      <v:imagedata o:title=""/>
                      <o:lock v:ext="edit" aspectratio="f"/>
                      <v:textbox>
                        <w:txbxContent>
                          <w:p w14:paraId="236A27F3">
                            <w:pPr>
                              <w:rPr>
                                <w:szCs w:val="21"/>
                              </w:rPr>
                            </w:pPr>
                            <w:r>
                              <w:rPr>
                                <w:rFonts w:hint="eastAsia"/>
                                <w:szCs w:val="21"/>
                              </w:rPr>
                              <w:t>名称</w:t>
                            </w:r>
                          </w:p>
                        </w:txbxContent>
                      </v:textbox>
                    </v:shape>
                  </w:pict>
                </mc:Fallback>
              </mc:AlternateContent>
            </w:r>
            <w:r>
              <w:rPr>
                <w:rFonts w:hint="eastAsia" w:ascii="仿宋_GB2312" w:hAnsi="仿宋_GB2312" w:eastAsia="仿宋_GB2312" w:cs="仿宋_GB2312"/>
                <w:color w:val="000000"/>
                <w:kern w:val="0"/>
                <w:sz w:val="24"/>
              </w:rPr>
              <w:t>序号</w:t>
            </w:r>
          </w:p>
        </w:tc>
        <w:tc>
          <w:tcPr>
            <w:tcW w:w="1476" w:type="dxa"/>
            <w:vMerge w:val="restart"/>
            <w:tcBorders>
              <w:top w:val="single" w:color="auto" w:sz="4" w:space="0"/>
              <w:left w:val="single" w:color="auto" w:sz="4" w:space="0"/>
              <w:bottom w:val="nil"/>
              <w:right w:val="single" w:color="auto" w:sz="4" w:space="0"/>
            </w:tcBorders>
            <w:vAlign w:val="center"/>
          </w:tcPr>
          <w:p w14:paraId="63CB1C39">
            <w:pPr>
              <w:jc w:val="center"/>
              <w:rPr>
                <w:rFonts w:ascii="仿宋_GB2312" w:hAnsi="仿宋_GB2312" w:eastAsia="仿宋_GB2312" w:cs="仿宋_GB2312"/>
                <w:color w:val="000000"/>
                <w:kern w:val="0"/>
                <w:sz w:val="24"/>
              </w:rPr>
            </w:pPr>
            <w:r>
              <w:rPr>
                <w:rFonts w:ascii="仿宋_GB2312" w:hAnsi="仿宋_GB2312" w:eastAsia="仿宋_GB2312" w:cs="仿宋_GB2312"/>
              </w:rPr>
              <mc:AlternateContent>
                <mc:Choice Requires="wps">
                  <w:drawing>
                    <wp:anchor distT="0" distB="0" distL="114300" distR="114300" simplePos="0" relativeHeight="251669504" behindDoc="0" locked="0" layoutInCell="1" allowOverlap="1">
                      <wp:simplePos x="0" y="0"/>
                      <wp:positionH relativeFrom="column">
                        <wp:posOffset>86995</wp:posOffset>
                      </wp:positionH>
                      <wp:positionV relativeFrom="paragraph">
                        <wp:posOffset>366395</wp:posOffset>
                      </wp:positionV>
                      <wp:extent cx="556895" cy="35433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556895" cy="354330"/>
                              </a:xfrm>
                              <a:prstGeom prst="rect">
                                <a:avLst/>
                              </a:prstGeom>
                              <a:noFill/>
                              <a:ln>
                                <a:noFill/>
                              </a:ln>
                              <a:effectLst/>
                            </wps:spPr>
                            <wps:txbx>
                              <w:txbxContent>
                                <w:p w14:paraId="5D02E858">
                                  <w:pPr>
                                    <w:rPr>
                                      <w:szCs w:val="21"/>
                                    </w:rPr>
                                  </w:pPr>
                                  <w:r>
                                    <w:rPr>
                                      <w:rFonts w:hint="eastAsia"/>
                                      <w:szCs w:val="21"/>
                                    </w:rPr>
                                    <w:t>金额</w:t>
                                  </w:r>
                                </w:p>
                              </w:txbxContent>
                            </wps:txbx>
                            <wps:bodyPr upright="1"/>
                          </wps:wsp>
                        </a:graphicData>
                      </a:graphic>
                    </wp:anchor>
                  </w:drawing>
                </mc:Choice>
                <mc:Fallback>
                  <w:pict>
                    <v:shape id="_x0000_s1026" o:spid="_x0000_s1026" o:spt="202" type="#_x0000_t202" style="position:absolute;left:0pt;margin-left:6.85pt;margin-top:28.85pt;height:27.9pt;width:43.85pt;z-index:251669504;mso-width-relative:page;mso-height-relative:page;" filled="f" stroked="f" coordsize="21600,21600" o:gfxdata="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ETo1&#10;t9UAAAAJAQAADwAAAAAAAAABACAAAAAiAAAAZHJzL2Rvd25yZXYueG1sUEsBAhQAFAAAAAgAh07i&#10;QMqHg9ezAQAAXQMAAA4AAAAAAAAAAQAgAAAAJAEAAGRycy9lMm9Eb2MueG1sUEsFBgAAAAAGAAYA&#10;WQEAAEkFAAAAAA==&#10;">
                      <v:fill on="f" focussize="0,0"/>
                      <v:stroke on="f"/>
                      <v:imagedata o:title=""/>
                      <o:lock v:ext="edit" aspectratio="f"/>
                      <v:textbox>
                        <w:txbxContent>
                          <w:p w14:paraId="5D02E858">
                            <w:pPr>
                              <w:rPr>
                                <w:szCs w:val="21"/>
                              </w:rPr>
                            </w:pPr>
                            <w:r>
                              <w:rPr>
                                <w:rFonts w:hint="eastAsia"/>
                                <w:szCs w:val="21"/>
                              </w:rPr>
                              <w:t>金额</w:t>
                            </w:r>
                          </w:p>
                        </w:txbxContent>
                      </v:textbox>
                    </v:shape>
                  </w:pict>
                </mc:Fallback>
              </mc:AlternateContent>
            </w:r>
            <w:r>
              <w:rPr>
                <w:rFonts w:ascii="仿宋_GB2312" w:hAnsi="仿宋_GB2312" w:eastAsia="仿宋_GB2312" w:cs="仿宋_GB2312"/>
              </w:rPr>
              <mc:AlternateContent>
                <mc:Choice Requires="wps">
                  <w:drawing>
                    <wp:anchor distT="0" distB="0" distL="114300" distR="114300" simplePos="0" relativeHeight="251670528" behindDoc="0" locked="0" layoutInCell="1" allowOverlap="1">
                      <wp:simplePos x="0" y="0"/>
                      <wp:positionH relativeFrom="column">
                        <wp:posOffset>459740</wp:posOffset>
                      </wp:positionH>
                      <wp:positionV relativeFrom="paragraph">
                        <wp:posOffset>105410</wp:posOffset>
                      </wp:positionV>
                      <wp:extent cx="563880" cy="35433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563880" cy="354330"/>
                              </a:xfrm>
                              <a:prstGeom prst="rect">
                                <a:avLst/>
                              </a:prstGeom>
                              <a:noFill/>
                              <a:ln>
                                <a:noFill/>
                              </a:ln>
                              <a:effectLst/>
                            </wps:spPr>
                            <wps:txbx>
                              <w:txbxContent>
                                <w:p w14:paraId="1639CE1C">
                                  <w:pPr>
                                    <w:rPr>
                                      <w:szCs w:val="21"/>
                                    </w:rPr>
                                  </w:pPr>
                                  <w:r>
                                    <w:rPr>
                                      <w:rFonts w:hint="eastAsia"/>
                                      <w:szCs w:val="21"/>
                                    </w:rPr>
                                    <w:t>规格</w:t>
                                  </w:r>
                                </w:p>
                              </w:txbxContent>
                            </wps:txbx>
                            <wps:bodyPr upright="1"/>
                          </wps:wsp>
                        </a:graphicData>
                      </a:graphic>
                    </wp:anchor>
                  </w:drawing>
                </mc:Choice>
                <mc:Fallback>
                  <w:pict>
                    <v:shape id="_x0000_s1026" o:spid="_x0000_s1026" o:spt="202" type="#_x0000_t202" style="position:absolute;left:0pt;margin-left:36.2pt;margin-top:8.3pt;height:27.9pt;width:44.4pt;z-index:251670528;mso-width-relative:page;mso-height-relative:page;" filled="f" stroked="f" coordsize="21600,21600" o:gfxdata="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FfxofLU&#10;AAAACAEAAA8AAAAAAAAAAQAgAAAAIgAAAGRycy9kb3ducmV2LnhtbFBLAQIUABQAAAAIAIdO4kC/&#10;LVuAsgEAAF0DAAAOAAAAAAAAAAEAIAAAACMBAABkcnMvZTJvRG9jLnhtbFBLBQYAAAAABgAGAFkB&#10;AABHBQAAAAA=&#10;">
                      <v:fill on="f" focussize="0,0"/>
                      <v:stroke on="f"/>
                      <v:imagedata o:title=""/>
                      <o:lock v:ext="edit" aspectratio="f"/>
                      <v:textbox>
                        <w:txbxContent>
                          <w:p w14:paraId="1639CE1C">
                            <w:pPr>
                              <w:rPr>
                                <w:szCs w:val="21"/>
                              </w:rPr>
                            </w:pPr>
                            <w:r>
                              <w:rPr>
                                <w:rFonts w:hint="eastAsia"/>
                                <w:szCs w:val="21"/>
                              </w:rPr>
                              <w:t>规格</w:t>
                            </w:r>
                          </w:p>
                        </w:txbxContent>
                      </v:textbox>
                    </v:shape>
                  </w:pict>
                </mc:Fallback>
              </mc:AlternateContent>
            </w:r>
            <w:r>
              <w:rPr>
                <w:rFonts w:ascii="仿宋_GB2312" w:hAnsi="仿宋_GB2312" w:eastAsia="仿宋_GB2312" w:cs="仿宋_GB2312"/>
              </w:rPr>
              <mc:AlternateContent>
                <mc:Choice Requires="wps">
                  <w:drawing>
                    <wp:anchor distT="0" distB="0" distL="114300" distR="114300" simplePos="0" relativeHeight="251667456" behindDoc="0" locked="0" layoutInCell="1" allowOverlap="1">
                      <wp:simplePos x="0" y="0"/>
                      <wp:positionH relativeFrom="column">
                        <wp:posOffset>-65405</wp:posOffset>
                      </wp:positionH>
                      <wp:positionV relativeFrom="paragraph">
                        <wp:posOffset>561340</wp:posOffset>
                      </wp:positionV>
                      <wp:extent cx="984250" cy="380365"/>
                      <wp:effectExtent l="1905" t="4445" r="4445" b="8890"/>
                      <wp:wrapNone/>
                      <wp:docPr id="17" name="直接连接符 17"/>
                      <wp:cNvGraphicFramePr/>
                      <a:graphic xmlns:a="http://schemas.openxmlformats.org/drawingml/2006/main">
                        <a:graphicData uri="http://schemas.microsoft.com/office/word/2010/wordprocessingShape">
                          <wps:wsp>
                            <wps:cNvCnPr/>
                            <wps:spPr>
                              <a:xfrm>
                                <a:off x="0" y="0"/>
                                <a:ext cx="984250" cy="38036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5.15pt;margin-top:44.2pt;height:29.95pt;width:77.5pt;z-index:251667456;mso-width-relative:page;mso-height-relative:page;" filled="f" stroked="t" coordsize="21600,21600" o:gfxdata="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JxIaUDXAAAACgEAAA8AAAAAAAAAAQAgAAAAIgAAAGRycy9kb3ducmV2&#10;LnhtbFBLAQIUABQAAAAIAIdO4kBOE3z9/QEAAPgDAAAOAAAAAAAAAAEAIAAAACYBAABkcnMvZTJv&#10;RG9jLnhtbFBLBQYAAAAABgAGAFkBAACVBQAAAAA=&#10;">
                      <v:fill on="f" focussize="0,0"/>
                      <v:stroke color="#000000" joinstyle="round"/>
                      <v:imagedata o:title=""/>
                      <o:lock v:ext="edit" aspectratio="f"/>
                    </v:line>
                  </w:pict>
                </mc:Fallback>
              </mc:AlternateContent>
            </w:r>
            <w:r>
              <w:rPr>
                <w:rFonts w:ascii="仿宋_GB2312" w:hAnsi="仿宋_GB2312" w:eastAsia="仿宋_GB2312" w:cs="仿宋_GB2312"/>
              </w:rPr>
              <mc:AlternateContent>
                <mc:Choice Requires="wps">
                  <w:drawing>
                    <wp:anchor distT="0" distB="0" distL="114300" distR="114300" simplePos="0" relativeHeight="251668480" behindDoc="0" locked="0" layoutInCell="1" allowOverlap="1">
                      <wp:simplePos x="0" y="0"/>
                      <wp:positionH relativeFrom="column">
                        <wp:posOffset>347980</wp:posOffset>
                      </wp:positionH>
                      <wp:positionV relativeFrom="paragraph">
                        <wp:posOffset>25400</wp:posOffset>
                      </wp:positionV>
                      <wp:extent cx="544195" cy="890905"/>
                      <wp:effectExtent l="3810" t="2540" r="10795" b="8255"/>
                      <wp:wrapNone/>
                      <wp:docPr id="18" name="直接连接符 18"/>
                      <wp:cNvGraphicFramePr/>
                      <a:graphic xmlns:a="http://schemas.openxmlformats.org/drawingml/2006/main">
                        <a:graphicData uri="http://schemas.microsoft.com/office/word/2010/wordprocessingShape">
                          <wps:wsp>
                            <wps:cNvCnPr/>
                            <wps:spPr>
                              <a:xfrm>
                                <a:off x="0" y="0"/>
                                <a:ext cx="544195" cy="89090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27.4pt;margin-top:2pt;height:70.15pt;width:42.85pt;z-index:251668480;mso-width-relative:page;mso-height-relative:page;" filled="f" stroked="t" coordsize="21600,21600" o:gfxdata="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JWmsOTVAAAACAEAAA8AAAAAAAAAAQAgAAAAIgAAAGRycy9kb3ducmV2Lnht&#10;bFBLAQIUABQAAAAIAIdO4kDwrZyC/AEAAPgDAAAOAAAAAAAAAAEAIAAAACQBAABkcnMvZTJvRG9j&#10;LnhtbFBLBQYAAAAABgAGAFkBAACSBQAAAAA=&#10;">
                      <v:fill on="f" focussize="0,0"/>
                      <v:stroke color="#000000" joinstyle="round"/>
                      <v:imagedata o:title=""/>
                      <o:lock v:ext="edit" aspectratio="f"/>
                    </v:line>
                  </w:pict>
                </mc:Fallback>
              </mc:AlternateContent>
            </w:r>
            <w:r>
              <w:rPr>
                <w:rFonts w:hint="eastAsia" w:ascii="仿宋_GB2312" w:hAnsi="仿宋_GB2312" w:eastAsia="仿宋_GB2312" w:cs="仿宋_GB2312"/>
                <w:color w:val="000000"/>
                <w:kern w:val="0"/>
                <w:sz w:val="24"/>
              </w:rPr>
              <w:t>　</w:t>
            </w:r>
          </w:p>
        </w:tc>
        <w:tc>
          <w:tcPr>
            <w:tcW w:w="3066" w:type="dxa"/>
            <w:gridSpan w:val="3"/>
            <w:tcBorders>
              <w:top w:val="single" w:color="auto" w:sz="4" w:space="0"/>
              <w:left w:val="nil"/>
              <w:bottom w:val="single" w:color="auto" w:sz="4" w:space="0"/>
              <w:right w:val="single" w:color="000000" w:sz="4" w:space="0"/>
            </w:tcBorders>
            <w:vAlign w:val="center"/>
          </w:tcPr>
          <w:p w14:paraId="3D4E1FC7">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苗      高</w:t>
            </w:r>
          </w:p>
        </w:tc>
        <w:tc>
          <w:tcPr>
            <w:tcW w:w="3036" w:type="dxa"/>
            <w:gridSpan w:val="3"/>
            <w:tcBorders>
              <w:top w:val="single" w:color="auto" w:sz="4" w:space="0"/>
              <w:left w:val="nil"/>
              <w:bottom w:val="single" w:color="auto" w:sz="4" w:space="0"/>
              <w:right w:val="single" w:color="000000" w:sz="4" w:space="0"/>
            </w:tcBorders>
            <w:vAlign w:val="center"/>
          </w:tcPr>
          <w:p w14:paraId="5FEBF090">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胸      径</w:t>
            </w:r>
          </w:p>
        </w:tc>
        <w:tc>
          <w:tcPr>
            <w:tcW w:w="1142" w:type="dxa"/>
            <w:vMerge w:val="restart"/>
            <w:tcBorders>
              <w:top w:val="single" w:color="auto" w:sz="4" w:space="0"/>
              <w:left w:val="single" w:color="auto" w:sz="4" w:space="0"/>
              <w:bottom w:val="single" w:color="auto" w:sz="4" w:space="0"/>
              <w:right w:val="single" w:color="auto" w:sz="4" w:space="0"/>
            </w:tcBorders>
            <w:vAlign w:val="center"/>
          </w:tcPr>
          <w:p w14:paraId="7BE031DA">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备注</w:t>
            </w:r>
          </w:p>
        </w:tc>
      </w:tr>
      <w:tr w14:paraId="2C79F2A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1014" w:hRule="atLeast"/>
          <w:jc w:val="center"/>
        </w:trPr>
        <w:tc>
          <w:tcPr>
            <w:tcW w:w="397" w:type="dxa"/>
            <w:vMerge w:val="continue"/>
            <w:tcBorders>
              <w:top w:val="single" w:color="auto" w:sz="4" w:space="0"/>
              <w:left w:val="single" w:color="auto" w:sz="4" w:space="0"/>
              <w:bottom w:val="single" w:color="auto" w:sz="4" w:space="0"/>
              <w:right w:val="single" w:color="auto" w:sz="4" w:space="0"/>
            </w:tcBorders>
            <w:vAlign w:val="center"/>
          </w:tcPr>
          <w:p w14:paraId="0F23EEC0">
            <w:pPr>
              <w:rPr>
                <w:rFonts w:ascii="仿宋_GB2312" w:hAnsi="仿宋_GB2312" w:eastAsia="仿宋_GB2312" w:cs="仿宋_GB2312"/>
              </w:rPr>
            </w:pPr>
          </w:p>
        </w:tc>
        <w:tc>
          <w:tcPr>
            <w:tcW w:w="1476" w:type="dxa"/>
            <w:vMerge w:val="continue"/>
            <w:tcBorders>
              <w:top w:val="single" w:color="auto" w:sz="4" w:space="0"/>
              <w:left w:val="single" w:color="auto" w:sz="4" w:space="0"/>
              <w:bottom w:val="nil"/>
              <w:right w:val="single" w:color="auto" w:sz="4" w:space="0"/>
            </w:tcBorders>
            <w:vAlign w:val="center"/>
          </w:tcPr>
          <w:p w14:paraId="0B90F52D">
            <w:pPr>
              <w:rPr>
                <w:rFonts w:ascii="仿宋_GB2312" w:hAnsi="仿宋_GB2312" w:eastAsia="仿宋_GB2312" w:cs="仿宋_GB2312"/>
              </w:rPr>
            </w:pPr>
          </w:p>
        </w:tc>
        <w:tc>
          <w:tcPr>
            <w:tcW w:w="1042" w:type="dxa"/>
            <w:tcBorders>
              <w:top w:val="nil"/>
              <w:left w:val="nil"/>
              <w:right w:val="single" w:color="auto" w:sz="4" w:space="0"/>
            </w:tcBorders>
            <w:vAlign w:val="center"/>
          </w:tcPr>
          <w:p w14:paraId="4AA0A915">
            <w:pPr>
              <w:jc w:val="center"/>
              <w:rPr>
                <w:rFonts w:ascii="仿宋_GB2312" w:hAnsi="仿宋_GB2312" w:eastAsia="仿宋_GB2312" w:cs="仿宋_GB2312"/>
                <w:color w:val="000000"/>
                <w:spacing w:val="-12"/>
                <w:kern w:val="0"/>
                <w:sz w:val="24"/>
              </w:rPr>
            </w:pPr>
            <w:r>
              <w:rPr>
                <w:rFonts w:hint="eastAsia" w:ascii="仿宋_GB2312" w:hAnsi="仿宋_GB2312" w:eastAsia="仿宋_GB2312" w:cs="仿宋_GB2312"/>
                <w:color w:val="000000"/>
                <w:spacing w:val="-12"/>
                <w:kern w:val="0"/>
                <w:sz w:val="24"/>
              </w:rPr>
              <w:t>1米以下</w:t>
            </w:r>
          </w:p>
        </w:tc>
        <w:tc>
          <w:tcPr>
            <w:tcW w:w="1012" w:type="dxa"/>
            <w:tcBorders>
              <w:top w:val="nil"/>
              <w:left w:val="nil"/>
              <w:right w:val="single" w:color="auto" w:sz="4" w:space="0"/>
            </w:tcBorders>
            <w:vAlign w:val="center"/>
          </w:tcPr>
          <w:p w14:paraId="3D6F1A5E">
            <w:pPr>
              <w:jc w:val="center"/>
              <w:rPr>
                <w:rFonts w:ascii="仿宋_GB2312" w:hAnsi="仿宋_GB2312" w:eastAsia="仿宋_GB2312" w:cs="仿宋_GB2312"/>
                <w:color w:val="000000"/>
                <w:spacing w:val="-12"/>
                <w:kern w:val="0"/>
                <w:sz w:val="24"/>
              </w:rPr>
            </w:pPr>
            <w:r>
              <w:rPr>
                <w:rFonts w:hint="eastAsia" w:ascii="仿宋_GB2312" w:hAnsi="仿宋_GB2312" w:eastAsia="仿宋_GB2312" w:cs="仿宋_GB2312"/>
                <w:color w:val="000000"/>
                <w:spacing w:val="-12"/>
                <w:kern w:val="0"/>
                <w:sz w:val="24"/>
              </w:rPr>
              <w:t>1-2米</w:t>
            </w:r>
          </w:p>
        </w:tc>
        <w:tc>
          <w:tcPr>
            <w:tcW w:w="1012" w:type="dxa"/>
            <w:tcBorders>
              <w:top w:val="nil"/>
              <w:left w:val="nil"/>
              <w:right w:val="single" w:color="auto" w:sz="4" w:space="0"/>
            </w:tcBorders>
            <w:vAlign w:val="center"/>
          </w:tcPr>
          <w:p w14:paraId="1857DF2D">
            <w:pPr>
              <w:jc w:val="center"/>
              <w:rPr>
                <w:rFonts w:ascii="仿宋_GB2312" w:hAnsi="仿宋_GB2312" w:eastAsia="仿宋_GB2312" w:cs="仿宋_GB2312"/>
                <w:color w:val="000000"/>
                <w:spacing w:val="-12"/>
                <w:kern w:val="0"/>
                <w:sz w:val="24"/>
              </w:rPr>
            </w:pPr>
            <w:r>
              <w:rPr>
                <w:rFonts w:hint="eastAsia" w:ascii="仿宋_GB2312" w:hAnsi="仿宋_GB2312" w:eastAsia="仿宋_GB2312" w:cs="仿宋_GB2312"/>
                <w:color w:val="000000"/>
                <w:spacing w:val="-12"/>
                <w:kern w:val="0"/>
                <w:sz w:val="24"/>
              </w:rPr>
              <w:t>2-3米</w:t>
            </w:r>
          </w:p>
        </w:tc>
        <w:tc>
          <w:tcPr>
            <w:tcW w:w="1012" w:type="dxa"/>
            <w:tcBorders>
              <w:top w:val="nil"/>
              <w:left w:val="nil"/>
              <w:right w:val="single" w:color="auto" w:sz="4" w:space="0"/>
            </w:tcBorders>
            <w:vAlign w:val="center"/>
          </w:tcPr>
          <w:p w14:paraId="11E22CA1">
            <w:pPr>
              <w:jc w:val="center"/>
              <w:rPr>
                <w:rFonts w:ascii="仿宋_GB2312" w:hAnsi="仿宋_GB2312" w:eastAsia="仿宋_GB2312" w:cs="仿宋_GB2312"/>
                <w:color w:val="000000"/>
                <w:spacing w:val="-12"/>
                <w:kern w:val="0"/>
                <w:sz w:val="24"/>
              </w:rPr>
            </w:pPr>
            <w:r>
              <w:rPr>
                <w:rFonts w:hint="eastAsia" w:ascii="仿宋_GB2312" w:hAnsi="仿宋_GB2312" w:eastAsia="仿宋_GB2312" w:cs="仿宋_GB2312"/>
                <w:color w:val="000000"/>
                <w:spacing w:val="-12"/>
                <w:kern w:val="0"/>
                <w:sz w:val="24"/>
              </w:rPr>
              <w:t>2-3厘米</w:t>
            </w:r>
          </w:p>
        </w:tc>
        <w:tc>
          <w:tcPr>
            <w:tcW w:w="1012" w:type="dxa"/>
            <w:tcBorders>
              <w:top w:val="nil"/>
              <w:left w:val="nil"/>
              <w:right w:val="single" w:color="auto" w:sz="4" w:space="0"/>
            </w:tcBorders>
            <w:vAlign w:val="center"/>
          </w:tcPr>
          <w:p w14:paraId="725CBF1C">
            <w:pPr>
              <w:jc w:val="center"/>
              <w:rPr>
                <w:rFonts w:ascii="仿宋_GB2312" w:hAnsi="仿宋_GB2312" w:eastAsia="仿宋_GB2312" w:cs="仿宋_GB2312"/>
                <w:color w:val="000000"/>
                <w:spacing w:val="-12"/>
                <w:kern w:val="0"/>
                <w:sz w:val="24"/>
              </w:rPr>
            </w:pPr>
            <w:r>
              <w:rPr>
                <w:rFonts w:hint="eastAsia" w:ascii="仿宋_GB2312" w:hAnsi="仿宋_GB2312" w:eastAsia="仿宋_GB2312" w:cs="仿宋_GB2312"/>
                <w:color w:val="000000"/>
                <w:spacing w:val="-12"/>
                <w:kern w:val="0"/>
                <w:sz w:val="24"/>
              </w:rPr>
              <w:t>3-5厘米</w:t>
            </w:r>
          </w:p>
        </w:tc>
        <w:tc>
          <w:tcPr>
            <w:tcW w:w="1012" w:type="dxa"/>
            <w:tcBorders>
              <w:top w:val="nil"/>
              <w:left w:val="nil"/>
              <w:right w:val="single" w:color="auto" w:sz="4" w:space="0"/>
            </w:tcBorders>
            <w:vAlign w:val="center"/>
          </w:tcPr>
          <w:p w14:paraId="5794111A">
            <w:pPr>
              <w:jc w:val="center"/>
              <w:rPr>
                <w:rFonts w:ascii="仿宋_GB2312" w:hAnsi="仿宋_GB2312" w:eastAsia="仿宋_GB2312" w:cs="仿宋_GB2312"/>
                <w:color w:val="000000"/>
                <w:spacing w:val="-12"/>
                <w:kern w:val="0"/>
                <w:sz w:val="24"/>
              </w:rPr>
            </w:pPr>
            <w:r>
              <w:rPr>
                <w:rFonts w:hint="eastAsia" w:ascii="仿宋_GB2312" w:hAnsi="仿宋_GB2312" w:eastAsia="仿宋_GB2312" w:cs="仿宋_GB2312"/>
                <w:color w:val="000000"/>
                <w:spacing w:val="-12"/>
                <w:kern w:val="0"/>
                <w:sz w:val="24"/>
              </w:rPr>
              <w:t>5-6厘米</w:t>
            </w:r>
          </w:p>
        </w:tc>
        <w:tc>
          <w:tcPr>
            <w:tcW w:w="1142" w:type="dxa"/>
            <w:vMerge w:val="continue"/>
            <w:tcBorders>
              <w:top w:val="single" w:color="auto" w:sz="4" w:space="0"/>
              <w:left w:val="single" w:color="auto" w:sz="4" w:space="0"/>
              <w:bottom w:val="single" w:color="auto" w:sz="4" w:space="0"/>
              <w:right w:val="single" w:color="auto" w:sz="4" w:space="0"/>
            </w:tcBorders>
            <w:vAlign w:val="center"/>
          </w:tcPr>
          <w:p w14:paraId="795EB9C7">
            <w:pPr>
              <w:rPr>
                <w:rFonts w:ascii="仿宋_GB2312" w:hAnsi="仿宋_GB2312" w:eastAsia="仿宋_GB2312" w:cs="仿宋_GB2312"/>
              </w:rPr>
            </w:pPr>
          </w:p>
        </w:tc>
      </w:tr>
      <w:tr w14:paraId="19EC964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512" w:hRule="atLeast"/>
          <w:jc w:val="center"/>
        </w:trPr>
        <w:tc>
          <w:tcPr>
            <w:tcW w:w="397" w:type="dxa"/>
            <w:tcBorders>
              <w:top w:val="nil"/>
              <w:left w:val="single" w:color="auto" w:sz="4" w:space="0"/>
              <w:bottom w:val="single" w:color="auto" w:sz="4" w:space="0"/>
              <w:right w:val="single" w:color="auto" w:sz="4" w:space="0"/>
            </w:tcBorders>
            <w:vAlign w:val="center"/>
          </w:tcPr>
          <w:p w14:paraId="01A27103">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w:t>
            </w:r>
          </w:p>
        </w:tc>
        <w:tc>
          <w:tcPr>
            <w:tcW w:w="1476" w:type="dxa"/>
            <w:tcBorders>
              <w:top w:val="single" w:color="auto" w:sz="4" w:space="0"/>
              <w:left w:val="nil"/>
              <w:bottom w:val="single" w:color="auto" w:sz="4" w:space="0"/>
              <w:right w:val="single" w:color="auto" w:sz="4" w:space="0"/>
            </w:tcBorders>
            <w:vAlign w:val="center"/>
          </w:tcPr>
          <w:p w14:paraId="5B176CAF">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樟树</w:t>
            </w:r>
          </w:p>
        </w:tc>
        <w:tc>
          <w:tcPr>
            <w:tcW w:w="1042" w:type="dxa"/>
            <w:tcBorders>
              <w:top w:val="nil"/>
              <w:left w:val="nil"/>
              <w:bottom w:val="single" w:color="auto" w:sz="4" w:space="0"/>
              <w:right w:val="single" w:color="auto" w:sz="4" w:space="0"/>
            </w:tcBorders>
            <w:vAlign w:val="center"/>
          </w:tcPr>
          <w:p w14:paraId="6A5F6280">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10</w:t>
            </w:r>
          </w:p>
        </w:tc>
        <w:tc>
          <w:tcPr>
            <w:tcW w:w="1012" w:type="dxa"/>
            <w:tcBorders>
              <w:top w:val="nil"/>
              <w:left w:val="nil"/>
              <w:bottom w:val="single" w:color="auto" w:sz="4" w:space="0"/>
              <w:right w:val="single" w:color="auto" w:sz="4" w:space="0"/>
            </w:tcBorders>
            <w:vAlign w:val="center"/>
          </w:tcPr>
          <w:p w14:paraId="4DD69AD0">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30</w:t>
            </w:r>
          </w:p>
        </w:tc>
        <w:tc>
          <w:tcPr>
            <w:tcW w:w="1012" w:type="dxa"/>
            <w:tcBorders>
              <w:top w:val="nil"/>
              <w:left w:val="nil"/>
              <w:bottom w:val="single" w:color="auto" w:sz="4" w:space="0"/>
              <w:right w:val="single" w:color="auto" w:sz="4" w:space="0"/>
            </w:tcBorders>
            <w:vAlign w:val="center"/>
          </w:tcPr>
          <w:p w14:paraId="66A276E5">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50</w:t>
            </w:r>
          </w:p>
        </w:tc>
        <w:tc>
          <w:tcPr>
            <w:tcW w:w="1012" w:type="dxa"/>
            <w:tcBorders>
              <w:top w:val="nil"/>
              <w:left w:val="nil"/>
              <w:bottom w:val="single" w:color="auto" w:sz="4" w:space="0"/>
              <w:right w:val="single" w:color="auto" w:sz="4" w:space="0"/>
            </w:tcBorders>
            <w:vAlign w:val="center"/>
          </w:tcPr>
          <w:p w14:paraId="2A015A14">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50</w:t>
            </w:r>
          </w:p>
        </w:tc>
        <w:tc>
          <w:tcPr>
            <w:tcW w:w="1012" w:type="dxa"/>
            <w:tcBorders>
              <w:top w:val="nil"/>
              <w:left w:val="nil"/>
              <w:bottom w:val="single" w:color="auto" w:sz="4" w:space="0"/>
              <w:right w:val="single" w:color="auto" w:sz="4" w:space="0"/>
            </w:tcBorders>
            <w:vAlign w:val="center"/>
          </w:tcPr>
          <w:p w14:paraId="43DF055E">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80</w:t>
            </w:r>
          </w:p>
        </w:tc>
        <w:tc>
          <w:tcPr>
            <w:tcW w:w="1012" w:type="dxa"/>
            <w:tcBorders>
              <w:top w:val="nil"/>
              <w:left w:val="nil"/>
              <w:bottom w:val="single" w:color="auto" w:sz="4" w:space="0"/>
              <w:right w:val="single" w:color="auto" w:sz="4" w:space="0"/>
            </w:tcBorders>
            <w:vAlign w:val="center"/>
          </w:tcPr>
          <w:p w14:paraId="0B6158D0">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110</w:t>
            </w:r>
          </w:p>
        </w:tc>
        <w:tc>
          <w:tcPr>
            <w:tcW w:w="1142" w:type="dxa"/>
            <w:vMerge w:val="restart"/>
            <w:tcBorders>
              <w:top w:val="nil"/>
              <w:left w:val="single" w:color="auto" w:sz="4" w:space="0"/>
              <w:bottom w:val="single" w:color="000000" w:sz="4" w:space="0"/>
              <w:right w:val="single" w:color="auto" w:sz="4" w:space="0"/>
            </w:tcBorders>
            <w:vAlign w:val="center"/>
          </w:tcPr>
          <w:p w14:paraId="561C9642">
            <w:pP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 树木超过表中最大胸径的，只付砍伐工资或移栽费用。2. 胸径按树根部以上1.3米处计算。</w:t>
            </w:r>
          </w:p>
        </w:tc>
      </w:tr>
      <w:tr w14:paraId="308D850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507" w:hRule="atLeast"/>
          <w:jc w:val="center"/>
        </w:trPr>
        <w:tc>
          <w:tcPr>
            <w:tcW w:w="397" w:type="dxa"/>
            <w:tcBorders>
              <w:top w:val="nil"/>
              <w:left w:val="single" w:color="auto" w:sz="4" w:space="0"/>
              <w:bottom w:val="single" w:color="auto" w:sz="4" w:space="0"/>
              <w:right w:val="single" w:color="auto" w:sz="4" w:space="0"/>
            </w:tcBorders>
            <w:vAlign w:val="center"/>
          </w:tcPr>
          <w:p w14:paraId="029FE7C0">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w:t>
            </w:r>
          </w:p>
        </w:tc>
        <w:tc>
          <w:tcPr>
            <w:tcW w:w="1476" w:type="dxa"/>
            <w:tcBorders>
              <w:top w:val="nil"/>
              <w:left w:val="nil"/>
              <w:bottom w:val="single" w:color="auto" w:sz="4" w:space="0"/>
              <w:right w:val="single" w:color="auto" w:sz="4" w:space="0"/>
            </w:tcBorders>
            <w:vAlign w:val="center"/>
          </w:tcPr>
          <w:p w14:paraId="327D0A27">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梓、楠</w:t>
            </w:r>
          </w:p>
        </w:tc>
        <w:tc>
          <w:tcPr>
            <w:tcW w:w="1042" w:type="dxa"/>
            <w:tcBorders>
              <w:top w:val="nil"/>
              <w:left w:val="nil"/>
              <w:bottom w:val="single" w:color="auto" w:sz="4" w:space="0"/>
              <w:right w:val="single" w:color="auto" w:sz="4" w:space="0"/>
            </w:tcBorders>
            <w:vAlign w:val="center"/>
          </w:tcPr>
          <w:p w14:paraId="0728687D">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15</w:t>
            </w:r>
          </w:p>
        </w:tc>
        <w:tc>
          <w:tcPr>
            <w:tcW w:w="1012" w:type="dxa"/>
            <w:tcBorders>
              <w:top w:val="nil"/>
              <w:left w:val="nil"/>
              <w:bottom w:val="single" w:color="auto" w:sz="4" w:space="0"/>
              <w:right w:val="single" w:color="auto" w:sz="4" w:space="0"/>
            </w:tcBorders>
            <w:vAlign w:val="center"/>
          </w:tcPr>
          <w:p w14:paraId="07CC5DC2">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27</w:t>
            </w:r>
          </w:p>
        </w:tc>
        <w:tc>
          <w:tcPr>
            <w:tcW w:w="1012" w:type="dxa"/>
            <w:tcBorders>
              <w:top w:val="nil"/>
              <w:left w:val="nil"/>
              <w:bottom w:val="single" w:color="auto" w:sz="4" w:space="0"/>
              <w:right w:val="single" w:color="auto" w:sz="4" w:space="0"/>
            </w:tcBorders>
            <w:vAlign w:val="center"/>
          </w:tcPr>
          <w:p w14:paraId="2B35F8A3">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30</w:t>
            </w:r>
          </w:p>
        </w:tc>
        <w:tc>
          <w:tcPr>
            <w:tcW w:w="1012" w:type="dxa"/>
            <w:tcBorders>
              <w:top w:val="nil"/>
              <w:left w:val="nil"/>
              <w:bottom w:val="single" w:color="auto" w:sz="4" w:space="0"/>
              <w:right w:val="single" w:color="auto" w:sz="4" w:space="0"/>
            </w:tcBorders>
            <w:vAlign w:val="center"/>
          </w:tcPr>
          <w:p w14:paraId="2C5B91E6">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38</w:t>
            </w:r>
          </w:p>
        </w:tc>
        <w:tc>
          <w:tcPr>
            <w:tcW w:w="1012" w:type="dxa"/>
            <w:tcBorders>
              <w:top w:val="nil"/>
              <w:left w:val="nil"/>
              <w:bottom w:val="single" w:color="auto" w:sz="4" w:space="0"/>
              <w:right w:val="single" w:color="auto" w:sz="4" w:space="0"/>
            </w:tcBorders>
            <w:vAlign w:val="center"/>
          </w:tcPr>
          <w:p w14:paraId="2738D9D1">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48</w:t>
            </w:r>
          </w:p>
        </w:tc>
        <w:tc>
          <w:tcPr>
            <w:tcW w:w="1012" w:type="dxa"/>
            <w:tcBorders>
              <w:top w:val="nil"/>
              <w:left w:val="nil"/>
              <w:bottom w:val="single" w:color="auto" w:sz="4" w:space="0"/>
              <w:right w:val="single" w:color="auto" w:sz="4" w:space="0"/>
            </w:tcBorders>
            <w:vAlign w:val="center"/>
          </w:tcPr>
          <w:p w14:paraId="5E891F68">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55</w:t>
            </w:r>
          </w:p>
        </w:tc>
        <w:tc>
          <w:tcPr>
            <w:tcW w:w="1142" w:type="dxa"/>
            <w:vMerge w:val="continue"/>
            <w:tcBorders>
              <w:top w:val="nil"/>
              <w:left w:val="single" w:color="auto" w:sz="4" w:space="0"/>
              <w:bottom w:val="single" w:color="000000" w:sz="4" w:space="0"/>
              <w:right w:val="single" w:color="auto" w:sz="4" w:space="0"/>
            </w:tcBorders>
            <w:vAlign w:val="center"/>
          </w:tcPr>
          <w:p w14:paraId="478356E0">
            <w:pPr>
              <w:rPr>
                <w:rFonts w:ascii="仿宋_GB2312" w:hAnsi="仿宋_GB2312" w:eastAsia="仿宋_GB2312" w:cs="仿宋_GB2312"/>
              </w:rPr>
            </w:pPr>
          </w:p>
        </w:tc>
      </w:tr>
      <w:tr w14:paraId="323617E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507" w:hRule="atLeast"/>
          <w:jc w:val="center"/>
        </w:trPr>
        <w:tc>
          <w:tcPr>
            <w:tcW w:w="397" w:type="dxa"/>
            <w:tcBorders>
              <w:top w:val="nil"/>
              <w:left w:val="single" w:color="auto" w:sz="4" w:space="0"/>
              <w:bottom w:val="single" w:color="auto" w:sz="4" w:space="0"/>
              <w:right w:val="single" w:color="auto" w:sz="4" w:space="0"/>
            </w:tcBorders>
            <w:vAlign w:val="center"/>
          </w:tcPr>
          <w:p w14:paraId="187F419D">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w:t>
            </w:r>
          </w:p>
        </w:tc>
        <w:tc>
          <w:tcPr>
            <w:tcW w:w="1476" w:type="dxa"/>
            <w:tcBorders>
              <w:top w:val="nil"/>
              <w:left w:val="nil"/>
              <w:bottom w:val="single" w:color="auto" w:sz="4" w:space="0"/>
              <w:right w:val="single" w:color="auto" w:sz="4" w:space="0"/>
            </w:tcBorders>
            <w:vAlign w:val="center"/>
          </w:tcPr>
          <w:p w14:paraId="575C1276">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杉树、松树</w:t>
            </w:r>
          </w:p>
        </w:tc>
        <w:tc>
          <w:tcPr>
            <w:tcW w:w="1042" w:type="dxa"/>
            <w:tcBorders>
              <w:top w:val="nil"/>
              <w:left w:val="nil"/>
              <w:bottom w:val="single" w:color="auto" w:sz="4" w:space="0"/>
              <w:right w:val="single" w:color="auto" w:sz="4" w:space="0"/>
            </w:tcBorders>
            <w:vAlign w:val="center"/>
          </w:tcPr>
          <w:p w14:paraId="6B82469C">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15</w:t>
            </w:r>
          </w:p>
        </w:tc>
        <w:tc>
          <w:tcPr>
            <w:tcW w:w="1012" w:type="dxa"/>
            <w:tcBorders>
              <w:top w:val="nil"/>
              <w:left w:val="nil"/>
              <w:bottom w:val="single" w:color="auto" w:sz="4" w:space="0"/>
              <w:right w:val="single" w:color="auto" w:sz="4" w:space="0"/>
            </w:tcBorders>
            <w:vAlign w:val="center"/>
          </w:tcPr>
          <w:p w14:paraId="083FA744">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27</w:t>
            </w:r>
          </w:p>
        </w:tc>
        <w:tc>
          <w:tcPr>
            <w:tcW w:w="1012" w:type="dxa"/>
            <w:tcBorders>
              <w:top w:val="nil"/>
              <w:left w:val="nil"/>
              <w:bottom w:val="single" w:color="auto" w:sz="4" w:space="0"/>
              <w:right w:val="single" w:color="auto" w:sz="4" w:space="0"/>
            </w:tcBorders>
            <w:vAlign w:val="center"/>
          </w:tcPr>
          <w:p w14:paraId="12AE4AB6">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30</w:t>
            </w:r>
          </w:p>
        </w:tc>
        <w:tc>
          <w:tcPr>
            <w:tcW w:w="1012" w:type="dxa"/>
            <w:tcBorders>
              <w:top w:val="nil"/>
              <w:left w:val="nil"/>
              <w:bottom w:val="single" w:color="auto" w:sz="4" w:space="0"/>
              <w:right w:val="single" w:color="auto" w:sz="4" w:space="0"/>
            </w:tcBorders>
            <w:vAlign w:val="center"/>
          </w:tcPr>
          <w:p w14:paraId="74B0B356">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38</w:t>
            </w:r>
          </w:p>
        </w:tc>
        <w:tc>
          <w:tcPr>
            <w:tcW w:w="1012" w:type="dxa"/>
            <w:tcBorders>
              <w:top w:val="nil"/>
              <w:left w:val="nil"/>
              <w:bottom w:val="single" w:color="auto" w:sz="4" w:space="0"/>
              <w:right w:val="single" w:color="auto" w:sz="4" w:space="0"/>
            </w:tcBorders>
            <w:vAlign w:val="center"/>
          </w:tcPr>
          <w:p w14:paraId="16A022F1">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45</w:t>
            </w:r>
          </w:p>
        </w:tc>
        <w:tc>
          <w:tcPr>
            <w:tcW w:w="1012" w:type="dxa"/>
            <w:tcBorders>
              <w:top w:val="nil"/>
              <w:left w:val="nil"/>
              <w:bottom w:val="single" w:color="auto" w:sz="4" w:space="0"/>
              <w:right w:val="single" w:color="auto" w:sz="4" w:space="0"/>
            </w:tcBorders>
            <w:vAlign w:val="center"/>
          </w:tcPr>
          <w:p w14:paraId="5115E4F5">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50</w:t>
            </w:r>
          </w:p>
        </w:tc>
        <w:tc>
          <w:tcPr>
            <w:tcW w:w="1142" w:type="dxa"/>
            <w:vMerge w:val="continue"/>
            <w:tcBorders>
              <w:top w:val="nil"/>
              <w:left w:val="single" w:color="auto" w:sz="4" w:space="0"/>
              <w:bottom w:val="single" w:color="000000" w:sz="4" w:space="0"/>
              <w:right w:val="single" w:color="auto" w:sz="4" w:space="0"/>
            </w:tcBorders>
            <w:vAlign w:val="center"/>
          </w:tcPr>
          <w:p w14:paraId="3A83F037">
            <w:pPr>
              <w:rPr>
                <w:rFonts w:ascii="仿宋_GB2312" w:hAnsi="仿宋_GB2312" w:eastAsia="仿宋_GB2312" w:cs="仿宋_GB2312"/>
              </w:rPr>
            </w:pPr>
          </w:p>
        </w:tc>
      </w:tr>
      <w:tr w14:paraId="3B61F94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507" w:hRule="atLeast"/>
          <w:jc w:val="center"/>
        </w:trPr>
        <w:tc>
          <w:tcPr>
            <w:tcW w:w="397" w:type="dxa"/>
            <w:tcBorders>
              <w:top w:val="nil"/>
              <w:left w:val="single" w:color="auto" w:sz="4" w:space="0"/>
              <w:bottom w:val="single" w:color="auto" w:sz="4" w:space="0"/>
              <w:right w:val="single" w:color="auto" w:sz="4" w:space="0"/>
            </w:tcBorders>
            <w:vAlign w:val="center"/>
          </w:tcPr>
          <w:p w14:paraId="2AB7F86E">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w:t>
            </w:r>
          </w:p>
        </w:tc>
        <w:tc>
          <w:tcPr>
            <w:tcW w:w="1476" w:type="dxa"/>
            <w:tcBorders>
              <w:top w:val="nil"/>
              <w:left w:val="nil"/>
              <w:bottom w:val="single" w:color="auto" w:sz="4" w:space="0"/>
              <w:right w:val="single" w:color="auto" w:sz="4" w:space="0"/>
            </w:tcBorders>
            <w:vAlign w:val="center"/>
          </w:tcPr>
          <w:p w14:paraId="45568F26">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桂花</w:t>
            </w:r>
          </w:p>
        </w:tc>
        <w:tc>
          <w:tcPr>
            <w:tcW w:w="1042" w:type="dxa"/>
            <w:tcBorders>
              <w:top w:val="nil"/>
              <w:left w:val="nil"/>
              <w:bottom w:val="single" w:color="auto" w:sz="4" w:space="0"/>
              <w:right w:val="single" w:color="auto" w:sz="4" w:space="0"/>
            </w:tcBorders>
            <w:vAlign w:val="center"/>
          </w:tcPr>
          <w:p w14:paraId="6906AFF8">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10</w:t>
            </w:r>
          </w:p>
        </w:tc>
        <w:tc>
          <w:tcPr>
            <w:tcW w:w="1012" w:type="dxa"/>
            <w:tcBorders>
              <w:top w:val="nil"/>
              <w:left w:val="nil"/>
              <w:bottom w:val="single" w:color="auto" w:sz="4" w:space="0"/>
              <w:right w:val="single" w:color="auto" w:sz="4" w:space="0"/>
            </w:tcBorders>
            <w:vAlign w:val="center"/>
          </w:tcPr>
          <w:p w14:paraId="366EF8F9">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30</w:t>
            </w:r>
          </w:p>
        </w:tc>
        <w:tc>
          <w:tcPr>
            <w:tcW w:w="1012" w:type="dxa"/>
            <w:tcBorders>
              <w:top w:val="nil"/>
              <w:left w:val="nil"/>
              <w:bottom w:val="single" w:color="auto" w:sz="4" w:space="0"/>
              <w:right w:val="single" w:color="auto" w:sz="4" w:space="0"/>
            </w:tcBorders>
            <w:vAlign w:val="center"/>
          </w:tcPr>
          <w:p w14:paraId="20EEE4C2">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50</w:t>
            </w:r>
          </w:p>
        </w:tc>
        <w:tc>
          <w:tcPr>
            <w:tcW w:w="1012" w:type="dxa"/>
            <w:tcBorders>
              <w:top w:val="nil"/>
              <w:left w:val="nil"/>
              <w:bottom w:val="single" w:color="auto" w:sz="4" w:space="0"/>
              <w:right w:val="single" w:color="auto" w:sz="4" w:space="0"/>
            </w:tcBorders>
            <w:vAlign w:val="center"/>
          </w:tcPr>
          <w:p w14:paraId="7AAFBC9B">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50</w:t>
            </w:r>
          </w:p>
        </w:tc>
        <w:tc>
          <w:tcPr>
            <w:tcW w:w="1012" w:type="dxa"/>
            <w:tcBorders>
              <w:top w:val="nil"/>
              <w:left w:val="nil"/>
              <w:bottom w:val="single" w:color="auto" w:sz="4" w:space="0"/>
              <w:right w:val="single" w:color="auto" w:sz="4" w:space="0"/>
            </w:tcBorders>
            <w:vAlign w:val="center"/>
          </w:tcPr>
          <w:p w14:paraId="133074A4">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80</w:t>
            </w:r>
          </w:p>
        </w:tc>
        <w:tc>
          <w:tcPr>
            <w:tcW w:w="1012" w:type="dxa"/>
            <w:tcBorders>
              <w:top w:val="nil"/>
              <w:left w:val="nil"/>
              <w:bottom w:val="single" w:color="auto" w:sz="4" w:space="0"/>
              <w:right w:val="single" w:color="auto" w:sz="4" w:space="0"/>
            </w:tcBorders>
            <w:vAlign w:val="center"/>
          </w:tcPr>
          <w:p w14:paraId="37FAD3AD">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150</w:t>
            </w:r>
          </w:p>
        </w:tc>
        <w:tc>
          <w:tcPr>
            <w:tcW w:w="1142" w:type="dxa"/>
            <w:vMerge w:val="continue"/>
            <w:tcBorders>
              <w:top w:val="nil"/>
              <w:left w:val="single" w:color="auto" w:sz="4" w:space="0"/>
              <w:bottom w:val="single" w:color="000000" w:sz="4" w:space="0"/>
              <w:right w:val="single" w:color="auto" w:sz="4" w:space="0"/>
            </w:tcBorders>
            <w:vAlign w:val="center"/>
          </w:tcPr>
          <w:p w14:paraId="2C976045">
            <w:pPr>
              <w:rPr>
                <w:rFonts w:ascii="仿宋_GB2312" w:hAnsi="仿宋_GB2312" w:eastAsia="仿宋_GB2312" w:cs="仿宋_GB2312"/>
              </w:rPr>
            </w:pPr>
          </w:p>
        </w:tc>
      </w:tr>
      <w:tr w14:paraId="671BA70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507" w:hRule="atLeast"/>
          <w:jc w:val="center"/>
        </w:trPr>
        <w:tc>
          <w:tcPr>
            <w:tcW w:w="397" w:type="dxa"/>
            <w:tcBorders>
              <w:top w:val="nil"/>
              <w:left w:val="single" w:color="auto" w:sz="4" w:space="0"/>
              <w:bottom w:val="single" w:color="auto" w:sz="4" w:space="0"/>
              <w:right w:val="single" w:color="auto" w:sz="4" w:space="0"/>
            </w:tcBorders>
            <w:vAlign w:val="center"/>
          </w:tcPr>
          <w:p w14:paraId="326748F2">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w:t>
            </w:r>
          </w:p>
        </w:tc>
        <w:tc>
          <w:tcPr>
            <w:tcW w:w="1476" w:type="dxa"/>
            <w:tcBorders>
              <w:top w:val="nil"/>
              <w:left w:val="nil"/>
              <w:bottom w:val="single" w:color="auto" w:sz="4" w:space="0"/>
              <w:right w:val="single" w:color="auto" w:sz="4" w:space="0"/>
            </w:tcBorders>
            <w:vAlign w:val="center"/>
          </w:tcPr>
          <w:p w14:paraId="6B3AE964">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玉兰</w:t>
            </w:r>
          </w:p>
        </w:tc>
        <w:tc>
          <w:tcPr>
            <w:tcW w:w="1042" w:type="dxa"/>
            <w:tcBorders>
              <w:top w:val="nil"/>
              <w:left w:val="nil"/>
              <w:bottom w:val="single" w:color="auto" w:sz="4" w:space="0"/>
              <w:right w:val="single" w:color="auto" w:sz="4" w:space="0"/>
            </w:tcBorders>
            <w:vAlign w:val="center"/>
          </w:tcPr>
          <w:p w14:paraId="3608E130">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15</w:t>
            </w:r>
          </w:p>
        </w:tc>
        <w:tc>
          <w:tcPr>
            <w:tcW w:w="1012" w:type="dxa"/>
            <w:tcBorders>
              <w:top w:val="nil"/>
              <w:left w:val="nil"/>
              <w:bottom w:val="single" w:color="auto" w:sz="4" w:space="0"/>
              <w:right w:val="single" w:color="auto" w:sz="4" w:space="0"/>
            </w:tcBorders>
            <w:vAlign w:val="center"/>
          </w:tcPr>
          <w:p w14:paraId="051C8FAE">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35</w:t>
            </w:r>
          </w:p>
        </w:tc>
        <w:tc>
          <w:tcPr>
            <w:tcW w:w="1012" w:type="dxa"/>
            <w:tcBorders>
              <w:top w:val="nil"/>
              <w:left w:val="nil"/>
              <w:bottom w:val="single" w:color="auto" w:sz="4" w:space="0"/>
              <w:right w:val="single" w:color="auto" w:sz="4" w:space="0"/>
            </w:tcBorders>
            <w:vAlign w:val="center"/>
          </w:tcPr>
          <w:p w14:paraId="64FA0DBD">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45</w:t>
            </w:r>
          </w:p>
        </w:tc>
        <w:tc>
          <w:tcPr>
            <w:tcW w:w="1012" w:type="dxa"/>
            <w:tcBorders>
              <w:top w:val="nil"/>
              <w:left w:val="nil"/>
              <w:bottom w:val="single" w:color="auto" w:sz="4" w:space="0"/>
              <w:right w:val="single" w:color="auto" w:sz="4" w:space="0"/>
            </w:tcBorders>
            <w:vAlign w:val="center"/>
          </w:tcPr>
          <w:p w14:paraId="08B239C6">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50</w:t>
            </w:r>
          </w:p>
        </w:tc>
        <w:tc>
          <w:tcPr>
            <w:tcW w:w="1012" w:type="dxa"/>
            <w:tcBorders>
              <w:top w:val="nil"/>
              <w:left w:val="nil"/>
              <w:bottom w:val="single" w:color="auto" w:sz="4" w:space="0"/>
              <w:right w:val="single" w:color="auto" w:sz="4" w:space="0"/>
            </w:tcBorders>
            <w:vAlign w:val="center"/>
          </w:tcPr>
          <w:p w14:paraId="257C76E3">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60</w:t>
            </w:r>
          </w:p>
        </w:tc>
        <w:tc>
          <w:tcPr>
            <w:tcW w:w="1012" w:type="dxa"/>
            <w:tcBorders>
              <w:top w:val="nil"/>
              <w:left w:val="nil"/>
              <w:bottom w:val="single" w:color="auto" w:sz="4" w:space="0"/>
              <w:right w:val="single" w:color="auto" w:sz="4" w:space="0"/>
            </w:tcBorders>
            <w:vAlign w:val="center"/>
          </w:tcPr>
          <w:p w14:paraId="5BF25661">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90</w:t>
            </w:r>
          </w:p>
        </w:tc>
        <w:tc>
          <w:tcPr>
            <w:tcW w:w="1142" w:type="dxa"/>
            <w:vMerge w:val="continue"/>
            <w:tcBorders>
              <w:top w:val="nil"/>
              <w:left w:val="single" w:color="auto" w:sz="4" w:space="0"/>
              <w:bottom w:val="single" w:color="000000" w:sz="4" w:space="0"/>
              <w:right w:val="single" w:color="auto" w:sz="4" w:space="0"/>
            </w:tcBorders>
            <w:vAlign w:val="center"/>
          </w:tcPr>
          <w:p w14:paraId="17750B0D">
            <w:pPr>
              <w:rPr>
                <w:rFonts w:ascii="仿宋_GB2312" w:hAnsi="仿宋_GB2312" w:eastAsia="仿宋_GB2312" w:cs="仿宋_GB2312"/>
              </w:rPr>
            </w:pPr>
          </w:p>
        </w:tc>
      </w:tr>
      <w:tr w14:paraId="4530F0B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507" w:hRule="atLeast"/>
          <w:jc w:val="center"/>
        </w:trPr>
        <w:tc>
          <w:tcPr>
            <w:tcW w:w="397" w:type="dxa"/>
            <w:tcBorders>
              <w:top w:val="nil"/>
              <w:left w:val="single" w:color="auto" w:sz="4" w:space="0"/>
              <w:bottom w:val="single" w:color="auto" w:sz="4" w:space="0"/>
              <w:right w:val="single" w:color="auto" w:sz="4" w:space="0"/>
            </w:tcBorders>
            <w:vAlign w:val="center"/>
          </w:tcPr>
          <w:p w14:paraId="06F4DBA1">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6</w:t>
            </w:r>
          </w:p>
        </w:tc>
        <w:tc>
          <w:tcPr>
            <w:tcW w:w="1476" w:type="dxa"/>
            <w:tcBorders>
              <w:top w:val="nil"/>
              <w:left w:val="nil"/>
              <w:bottom w:val="single" w:color="auto" w:sz="4" w:space="0"/>
              <w:right w:val="single" w:color="auto" w:sz="4" w:space="0"/>
            </w:tcBorders>
            <w:vAlign w:val="center"/>
          </w:tcPr>
          <w:p w14:paraId="1E218C45">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铁树</w:t>
            </w:r>
          </w:p>
        </w:tc>
        <w:tc>
          <w:tcPr>
            <w:tcW w:w="1042" w:type="dxa"/>
            <w:tcBorders>
              <w:top w:val="nil"/>
              <w:left w:val="nil"/>
              <w:bottom w:val="single" w:color="auto" w:sz="4" w:space="0"/>
              <w:right w:val="single" w:color="auto" w:sz="4" w:space="0"/>
            </w:tcBorders>
            <w:vAlign w:val="center"/>
          </w:tcPr>
          <w:p w14:paraId="1AAF6843">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60</w:t>
            </w:r>
          </w:p>
        </w:tc>
        <w:tc>
          <w:tcPr>
            <w:tcW w:w="1012" w:type="dxa"/>
            <w:tcBorders>
              <w:top w:val="nil"/>
              <w:left w:val="nil"/>
              <w:bottom w:val="single" w:color="auto" w:sz="4" w:space="0"/>
              <w:right w:val="single" w:color="auto" w:sz="4" w:space="0"/>
            </w:tcBorders>
            <w:vAlign w:val="center"/>
          </w:tcPr>
          <w:p w14:paraId="5EFF9609">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150</w:t>
            </w:r>
          </w:p>
        </w:tc>
        <w:tc>
          <w:tcPr>
            <w:tcW w:w="1012" w:type="dxa"/>
            <w:tcBorders>
              <w:top w:val="nil"/>
              <w:left w:val="nil"/>
              <w:bottom w:val="single" w:color="auto" w:sz="4" w:space="0"/>
              <w:right w:val="single" w:color="auto" w:sz="4" w:space="0"/>
            </w:tcBorders>
            <w:vAlign w:val="center"/>
          </w:tcPr>
          <w:p w14:paraId="55FCD89C">
            <w:pPr>
              <w:jc w:val="center"/>
              <w:rPr>
                <w:rFonts w:ascii="仿宋_GB2312" w:hAnsi="仿宋_GB2312" w:eastAsia="仿宋_GB2312" w:cs="仿宋_GB2312"/>
                <w:color w:val="000000"/>
                <w:kern w:val="0"/>
                <w:sz w:val="24"/>
              </w:rPr>
            </w:pPr>
          </w:p>
        </w:tc>
        <w:tc>
          <w:tcPr>
            <w:tcW w:w="1012" w:type="dxa"/>
            <w:tcBorders>
              <w:top w:val="nil"/>
              <w:left w:val="nil"/>
              <w:bottom w:val="single" w:color="auto" w:sz="4" w:space="0"/>
              <w:right w:val="single" w:color="auto" w:sz="4" w:space="0"/>
            </w:tcBorders>
            <w:vAlign w:val="center"/>
          </w:tcPr>
          <w:p w14:paraId="51224927">
            <w:pPr>
              <w:jc w:val="center"/>
              <w:rPr>
                <w:rFonts w:ascii="仿宋_GB2312" w:hAnsi="仿宋_GB2312" w:eastAsia="仿宋_GB2312" w:cs="仿宋_GB2312"/>
                <w:color w:val="000000"/>
                <w:kern w:val="0"/>
                <w:sz w:val="24"/>
              </w:rPr>
            </w:pPr>
          </w:p>
        </w:tc>
        <w:tc>
          <w:tcPr>
            <w:tcW w:w="1012" w:type="dxa"/>
            <w:tcBorders>
              <w:top w:val="nil"/>
              <w:left w:val="nil"/>
              <w:bottom w:val="single" w:color="auto" w:sz="4" w:space="0"/>
              <w:right w:val="single" w:color="auto" w:sz="4" w:space="0"/>
            </w:tcBorders>
            <w:vAlign w:val="center"/>
          </w:tcPr>
          <w:p w14:paraId="626B47EB">
            <w:pPr>
              <w:jc w:val="center"/>
              <w:rPr>
                <w:rFonts w:ascii="仿宋_GB2312" w:hAnsi="仿宋_GB2312" w:eastAsia="仿宋_GB2312" w:cs="仿宋_GB2312"/>
                <w:color w:val="000000"/>
                <w:kern w:val="0"/>
                <w:sz w:val="24"/>
              </w:rPr>
            </w:pPr>
          </w:p>
        </w:tc>
        <w:tc>
          <w:tcPr>
            <w:tcW w:w="1012" w:type="dxa"/>
            <w:tcBorders>
              <w:top w:val="nil"/>
              <w:left w:val="nil"/>
              <w:bottom w:val="single" w:color="auto" w:sz="4" w:space="0"/>
              <w:right w:val="single" w:color="auto" w:sz="4" w:space="0"/>
            </w:tcBorders>
            <w:vAlign w:val="center"/>
          </w:tcPr>
          <w:p w14:paraId="4DCF5DC9">
            <w:pPr>
              <w:jc w:val="center"/>
              <w:rPr>
                <w:rFonts w:ascii="仿宋_GB2312" w:hAnsi="仿宋_GB2312" w:eastAsia="仿宋_GB2312" w:cs="仿宋_GB2312"/>
                <w:color w:val="000000"/>
                <w:kern w:val="0"/>
                <w:sz w:val="24"/>
              </w:rPr>
            </w:pPr>
          </w:p>
        </w:tc>
        <w:tc>
          <w:tcPr>
            <w:tcW w:w="1142" w:type="dxa"/>
            <w:vMerge w:val="continue"/>
            <w:tcBorders>
              <w:top w:val="nil"/>
              <w:left w:val="single" w:color="auto" w:sz="4" w:space="0"/>
              <w:bottom w:val="single" w:color="000000" w:sz="4" w:space="0"/>
              <w:right w:val="single" w:color="auto" w:sz="4" w:space="0"/>
            </w:tcBorders>
            <w:vAlign w:val="center"/>
          </w:tcPr>
          <w:p w14:paraId="13CA3587">
            <w:pPr>
              <w:rPr>
                <w:rFonts w:ascii="仿宋_GB2312" w:hAnsi="仿宋_GB2312" w:eastAsia="仿宋_GB2312" w:cs="仿宋_GB2312"/>
              </w:rPr>
            </w:pPr>
          </w:p>
        </w:tc>
      </w:tr>
      <w:tr w14:paraId="18C8E6A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507" w:hRule="atLeast"/>
          <w:jc w:val="center"/>
        </w:trPr>
        <w:tc>
          <w:tcPr>
            <w:tcW w:w="397" w:type="dxa"/>
            <w:tcBorders>
              <w:top w:val="nil"/>
              <w:left w:val="single" w:color="auto" w:sz="4" w:space="0"/>
              <w:bottom w:val="single" w:color="auto" w:sz="4" w:space="0"/>
              <w:right w:val="single" w:color="auto" w:sz="4" w:space="0"/>
            </w:tcBorders>
            <w:vAlign w:val="center"/>
          </w:tcPr>
          <w:p w14:paraId="41BE9766">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7</w:t>
            </w:r>
          </w:p>
        </w:tc>
        <w:tc>
          <w:tcPr>
            <w:tcW w:w="1476" w:type="dxa"/>
            <w:tcBorders>
              <w:top w:val="nil"/>
              <w:left w:val="nil"/>
              <w:bottom w:val="single" w:color="auto" w:sz="4" w:space="0"/>
              <w:right w:val="single" w:color="auto" w:sz="4" w:space="0"/>
            </w:tcBorders>
            <w:vAlign w:val="center"/>
          </w:tcPr>
          <w:p w14:paraId="09F81160">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女贞、泡桐</w:t>
            </w:r>
          </w:p>
        </w:tc>
        <w:tc>
          <w:tcPr>
            <w:tcW w:w="1042" w:type="dxa"/>
            <w:tcBorders>
              <w:top w:val="nil"/>
              <w:left w:val="nil"/>
              <w:bottom w:val="single" w:color="auto" w:sz="4" w:space="0"/>
              <w:right w:val="single" w:color="auto" w:sz="4" w:space="0"/>
            </w:tcBorders>
            <w:vAlign w:val="center"/>
          </w:tcPr>
          <w:p w14:paraId="7587DA06">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15</w:t>
            </w:r>
          </w:p>
        </w:tc>
        <w:tc>
          <w:tcPr>
            <w:tcW w:w="1012" w:type="dxa"/>
            <w:tcBorders>
              <w:top w:val="nil"/>
              <w:left w:val="nil"/>
              <w:bottom w:val="single" w:color="auto" w:sz="4" w:space="0"/>
              <w:right w:val="single" w:color="auto" w:sz="4" w:space="0"/>
            </w:tcBorders>
            <w:vAlign w:val="center"/>
          </w:tcPr>
          <w:p w14:paraId="7BCBDD26">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30</w:t>
            </w:r>
          </w:p>
        </w:tc>
        <w:tc>
          <w:tcPr>
            <w:tcW w:w="1012" w:type="dxa"/>
            <w:tcBorders>
              <w:top w:val="nil"/>
              <w:left w:val="nil"/>
              <w:bottom w:val="single" w:color="auto" w:sz="4" w:space="0"/>
              <w:right w:val="single" w:color="auto" w:sz="4" w:space="0"/>
            </w:tcBorders>
            <w:vAlign w:val="center"/>
          </w:tcPr>
          <w:p w14:paraId="5DC62AB7">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40</w:t>
            </w:r>
          </w:p>
        </w:tc>
        <w:tc>
          <w:tcPr>
            <w:tcW w:w="1012" w:type="dxa"/>
            <w:tcBorders>
              <w:top w:val="nil"/>
              <w:left w:val="nil"/>
              <w:bottom w:val="single" w:color="auto" w:sz="4" w:space="0"/>
              <w:right w:val="single" w:color="auto" w:sz="4" w:space="0"/>
            </w:tcBorders>
            <w:vAlign w:val="center"/>
          </w:tcPr>
          <w:p w14:paraId="22111953">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38</w:t>
            </w:r>
          </w:p>
        </w:tc>
        <w:tc>
          <w:tcPr>
            <w:tcW w:w="1012" w:type="dxa"/>
            <w:tcBorders>
              <w:top w:val="nil"/>
              <w:left w:val="nil"/>
              <w:bottom w:val="single" w:color="auto" w:sz="4" w:space="0"/>
              <w:right w:val="single" w:color="auto" w:sz="4" w:space="0"/>
            </w:tcBorders>
            <w:vAlign w:val="center"/>
          </w:tcPr>
          <w:p w14:paraId="623D2D10">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45</w:t>
            </w:r>
          </w:p>
        </w:tc>
        <w:tc>
          <w:tcPr>
            <w:tcW w:w="1012" w:type="dxa"/>
            <w:tcBorders>
              <w:top w:val="nil"/>
              <w:left w:val="nil"/>
              <w:bottom w:val="single" w:color="auto" w:sz="4" w:space="0"/>
              <w:right w:val="single" w:color="auto" w:sz="4" w:space="0"/>
            </w:tcBorders>
            <w:vAlign w:val="center"/>
          </w:tcPr>
          <w:p w14:paraId="63CD4076">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50</w:t>
            </w:r>
          </w:p>
        </w:tc>
        <w:tc>
          <w:tcPr>
            <w:tcW w:w="1142" w:type="dxa"/>
            <w:vMerge w:val="continue"/>
            <w:tcBorders>
              <w:top w:val="nil"/>
              <w:left w:val="single" w:color="auto" w:sz="4" w:space="0"/>
              <w:bottom w:val="single" w:color="000000" w:sz="4" w:space="0"/>
              <w:right w:val="single" w:color="auto" w:sz="4" w:space="0"/>
            </w:tcBorders>
            <w:vAlign w:val="center"/>
          </w:tcPr>
          <w:p w14:paraId="4CFB94ED">
            <w:pPr>
              <w:rPr>
                <w:rFonts w:ascii="仿宋_GB2312" w:hAnsi="仿宋_GB2312" w:eastAsia="仿宋_GB2312" w:cs="仿宋_GB2312"/>
              </w:rPr>
            </w:pPr>
          </w:p>
        </w:tc>
      </w:tr>
      <w:tr w14:paraId="210E983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517" w:hRule="atLeast"/>
          <w:jc w:val="center"/>
        </w:trPr>
        <w:tc>
          <w:tcPr>
            <w:tcW w:w="397" w:type="dxa"/>
            <w:tcBorders>
              <w:top w:val="nil"/>
              <w:left w:val="single" w:color="auto" w:sz="4" w:space="0"/>
              <w:bottom w:val="single" w:color="auto" w:sz="4" w:space="0"/>
              <w:right w:val="single" w:color="auto" w:sz="4" w:space="0"/>
            </w:tcBorders>
            <w:vAlign w:val="center"/>
          </w:tcPr>
          <w:p w14:paraId="4839F6C6">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8</w:t>
            </w:r>
          </w:p>
        </w:tc>
        <w:tc>
          <w:tcPr>
            <w:tcW w:w="1476" w:type="dxa"/>
            <w:tcBorders>
              <w:top w:val="nil"/>
              <w:left w:val="nil"/>
              <w:bottom w:val="single" w:color="auto" w:sz="4" w:space="0"/>
              <w:right w:val="single" w:color="auto" w:sz="4" w:space="0"/>
            </w:tcBorders>
            <w:vAlign w:val="center"/>
          </w:tcPr>
          <w:p w14:paraId="403AAB78">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楠竹、竹</w:t>
            </w:r>
          </w:p>
        </w:tc>
        <w:tc>
          <w:tcPr>
            <w:tcW w:w="6102" w:type="dxa"/>
            <w:gridSpan w:val="6"/>
            <w:tcBorders>
              <w:top w:val="single" w:color="auto" w:sz="4" w:space="0"/>
              <w:left w:val="nil"/>
              <w:bottom w:val="single" w:color="auto" w:sz="4" w:space="0"/>
              <w:right w:val="single" w:color="auto" w:sz="4" w:space="0"/>
            </w:tcBorders>
            <w:vAlign w:val="center"/>
          </w:tcPr>
          <w:p w14:paraId="1C027D34">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每根围径10—20厘米补偿26元</w:t>
            </w:r>
          </w:p>
        </w:tc>
        <w:tc>
          <w:tcPr>
            <w:tcW w:w="1142" w:type="dxa"/>
            <w:vMerge w:val="continue"/>
            <w:tcBorders>
              <w:top w:val="nil"/>
              <w:left w:val="single" w:color="auto" w:sz="4" w:space="0"/>
              <w:bottom w:val="single" w:color="000000" w:sz="4" w:space="0"/>
              <w:right w:val="single" w:color="auto" w:sz="4" w:space="0"/>
            </w:tcBorders>
            <w:vAlign w:val="center"/>
          </w:tcPr>
          <w:p w14:paraId="4271A90E">
            <w:pPr>
              <w:rPr>
                <w:rFonts w:ascii="仿宋_GB2312" w:hAnsi="仿宋_GB2312" w:eastAsia="仿宋_GB2312" w:cs="仿宋_GB2312"/>
              </w:rPr>
            </w:pPr>
          </w:p>
        </w:tc>
      </w:tr>
    </w:tbl>
    <w:p w14:paraId="00626F22">
      <w:pPr>
        <w:rPr>
          <w:bCs/>
          <w:color w:val="000000"/>
          <w:kern w:val="0"/>
          <w:sz w:val="24"/>
        </w:rPr>
      </w:pPr>
    </w:p>
    <w:p w14:paraId="6D91B04A">
      <w:pPr>
        <w:rPr>
          <w:rFonts w:ascii="仿宋_GB2312" w:hAnsi="仿宋_GB2312" w:eastAsia="仿宋_GB2312" w:cs="仿宋_GB2312"/>
          <w:bCs/>
          <w:color w:val="000000"/>
          <w:sz w:val="24"/>
        </w:rPr>
      </w:pPr>
      <w:r>
        <w:rPr>
          <w:rFonts w:hint="eastAsia" w:ascii="仿宋_GB2312" w:hAnsi="仿宋_GB2312" w:eastAsia="仿宋_GB2312" w:cs="仿宋_GB2312"/>
          <w:bCs/>
          <w:color w:val="000000"/>
          <w:kern w:val="0"/>
          <w:sz w:val="24"/>
        </w:rPr>
        <w:t>征收建设用地范围内零星果树、经济林类青苗补偿标准：　　　　　　　（元/株）</w:t>
      </w:r>
    </w:p>
    <w:tbl>
      <w:tblPr>
        <w:tblStyle w:val="18"/>
        <w:tblW w:w="9297" w:type="dxa"/>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108" w:type="dxa"/>
          <w:bottom w:w="0" w:type="dxa"/>
          <w:right w:w="108" w:type="dxa"/>
        </w:tblCellMar>
      </w:tblPr>
      <w:tblGrid>
        <w:gridCol w:w="1151"/>
        <w:gridCol w:w="2724"/>
        <w:gridCol w:w="1844"/>
        <w:gridCol w:w="1844"/>
        <w:gridCol w:w="1734"/>
      </w:tblGrid>
      <w:tr w14:paraId="3FB3290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trHeight w:val="612" w:hRule="atLeast"/>
          <w:jc w:val="center"/>
        </w:trPr>
        <w:tc>
          <w:tcPr>
            <w:tcW w:w="1151" w:type="dxa"/>
            <w:tcBorders>
              <w:top w:val="single" w:color="auto" w:sz="4" w:space="0"/>
              <w:left w:val="single" w:color="auto" w:sz="4" w:space="0"/>
              <w:bottom w:val="single" w:color="auto" w:sz="4" w:space="0"/>
              <w:right w:val="single" w:color="auto" w:sz="4" w:space="0"/>
            </w:tcBorders>
            <w:vAlign w:val="center"/>
          </w:tcPr>
          <w:p w14:paraId="35C6C41C">
            <w:pPr>
              <w:spacing w:line="300" w:lineRule="exact"/>
              <w:jc w:val="center"/>
              <w:rPr>
                <w:rFonts w:ascii="仿宋_GB2312" w:hAnsi="仿宋_GB2312" w:eastAsia="仿宋_GB2312" w:cs="仿宋_GB2312"/>
                <w:bCs/>
                <w:kern w:val="0"/>
                <w:sz w:val="24"/>
              </w:rPr>
            </w:pPr>
            <w:r>
              <w:rPr>
                <w:rFonts w:hint="eastAsia" w:ascii="仿宋_GB2312" w:hAnsi="仿宋_GB2312" w:eastAsia="仿宋_GB2312" w:cs="仿宋_GB2312"/>
                <w:bCs/>
                <w:kern w:val="0"/>
                <w:sz w:val="24"/>
              </w:rPr>
              <w:t>序号</w:t>
            </w:r>
          </w:p>
        </w:tc>
        <w:tc>
          <w:tcPr>
            <w:tcW w:w="2724" w:type="dxa"/>
            <w:tcBorders>
              <w:top w:val="single" w:color="auto" w:sz="4" w:space="0"/>
              <w:left w:val="nil"/>
              <w:bottom w:val="single" w:color="auto" w:sz="4" w:space="0"/>
              <w:right w:val="single" w:color="auto" w:sz="4" w:space="0"/>
            </w:tcBorders>
            <w:vAlign w:val="center"/>
          </w:tcPr>
          <w:p w14:paraId="2BCA6A38">
            <w:pPr>
              <w:spacing w:line="300" w:lineRule="exact"/>
              <w:jc w:val="center"/>
              <w:rPr>
                <w:rFonts w:ascii="仿宋_GB2312" w:hAnsi="仿宋_GB2312" w:eastAsia="仿宋_GB2312" w:cs="仿宋_GB2312"/>
                <w:bCs/>
                <w:kern w:val="0"/>
                <w:sz w:val="24"/>
              </w:rPr>
            </w:pPr>
            <w:r>
              <w:rPr>
                <w:rFonts w:hint="eastAsia" w:ascii="仿宋_GB2312" w:hAnsi="仿宋_GB2312" w:eastAsia="仿宋_GB2312" w:cs="仿宋_GB2312"/>
                <w:bCs/>
                <w:kern w:val="0"/>
                <w:sz w:val="24"/>
              </w:rPr>
              <w:t>项 目 名 称</w:t>
            </w:r>
          </w:p>
        </w:tc>
        <w:tc>
          <w:tcPr>
            <w:tcW w:w="1844" w:type="dxa"/>
            <w:tcBorders>
              <w:top w:val="single" w:color="auto" w:sz="4" w:space="0"/>
              <w:left w:val="nil"/>
              <w:bottom w:val="single" w:color="auto" w:sz="4" w:space="0"/>
              <w:right w:val="single" w:color="auto" w:sz="4" w:space="0"/>
            </w:tcBorders>
            <w:vAlign w:val="center"/>
          </w:tcPr>
          <w:p w14:paraId="289756B2">
            <w:pPr>
              <w:spacing w:line="300" w:lineRule="exact"/>
              <w:jc w:val="center"/>
              <w:rPr>
                <w:rFonts w:ascii="仿宋_GB2312" w:hAnsi="仿宋_GB2312" w:eastAsia="仿宋_GB2312" w:cs="仿宋_GB2312"/>
                <w:bCs/>
                <w:kern w:val="0"/>
                <w:sz w:val="24"/>
              </w:rPr>
            </w:pPr>
            <w:r>
              <w:rPr>
                <w:rFonts w:hint="eastAsia" w:ascii="仿宋_GB2312" w:hAnsi="仿宋_GB2312" w:eastAsia="仿宋_GB2312" w:cs="仿宋_GB2312"/>
                <w:bCs/>
                <w:kern w:val="0"/>
                <w:sz w:val="24"/>
              </w:rPr>
              <w:t>苗期（3年内）</w:t>
            </w:r>
          </w:p>
        </w:tc>
        <w:tc>
          <w:tcPr>
            <w:tcW w:w="1844" w:type="dxa"/>
            <w:tcBorders>
              <w:top w:val="single" w:color="auto" w:sz="4" w:space="0"/>
              <w:left w:val="single" w:color="auto" w:sz="4" w:space="0"/>
              <w:bottom w:val="single" w:color="auto" w:sz="4" w:space="0"/>
              <w:right w:val="single" w:color="auto" w:sz="4" w:space="0"/>
            </w:tcBorders>
            <w:vAlign w:val="center"/>
          </w:tcPr>
          <w:p w14:paraId="3172E9C4">
            <w:pPr>
              <w:spacing w:line="300" w:lineRule="exact"/>
              <w:jc w:val="center"/>
              <w:rPr>
                <w:rFonts w:ascii="仿宋_GB2312" w:hAnsi="仿宋_GB2312" w:eastAsia="仿宋_GB2312" w:cs="仿宋_GB2312"/>
                <w:bCs/>
                <w:kern w:val="0"/>
                <w:sz w:val="24"/>
              </w:rPr>
            </w:pPr>
            <w:r>
              <w:rPr>
                <w:rFonts w:hint="eastAsia" w:ascii="仿宋_GB2312" w:hAnsi="仿宋_GB2312" w:eastAsia="仿宋_GB2312" w:cs="仿宋_GB2312"/>
                <w:bCs/>
                <w:kern w:val="0"/>
                <w:sz w:val="24"/>
              </w:rPr>
              <w:t>始产期（3-6年）</w:t>
            </w:r>
          </w:p>
        </w:tc>
        <w:tc>
          <w:tcPr>
            <w:tcW w:w="1734" w:type="dxa"/>
            <w:tcBorders>
              <w:top w:val="single" w:color="auto" w:sz="4" w:space="0"/>
              <w:left w:val="nil"/>
              <w:bottom w:val="single" w:color="auto" w:sz="4" w:space="0"/>
              <w:right w:val="single" w:color="auto" w:sz="4" w:space="0"/>
            </w:tcBorders>
            <w:vAlign w:val="center"/>
          </w:tcPr>
          <w:p w14:paraId="4B683CD8">
            <w:pPr>
              <w:spacing w:line="300" w:lineRule="exact"/>
              <w:jc w:val="center"/>
              <w:rPr>
                <w:rFonts w:ascii="仿宋_GB2312" w:hAnsi="仿宋_GB2312" w:eastAsia="仿宋_GB2312" w:cs="仿宋_GB2312"/>
                <w:bCs/>
                <w:kern w:val="0"/>
                <w:sz w:val="24"/>
              </w:rPr>
            </w:pPr>
            <w:r>
              <w:rPr>
                <w:rFonts w:hint="eastAsia" w:ascii="仿宋_GB2312" w:hAnsi="仿宋_GB2312" w:eastAsia="仿宋_GB2312" w:cs="仿宋_GB2312"/>
                <w:bCs/>
                <w:kern w:val="0"/>
                <w:sz w:val="24"/>
              </w:rPr>
              <w:t>盛产期</w:t>
            </w:r>
          </w:p>
          <w:p w14:paraId="7AAADAD2">
            <w:pPr>
              <w:spacing w:line="300" w:lineRule="exact"/>
              <w:jc w:val="center"/>
              <w:rPr>
                <w:rFonts w:ascii="仿宋_GB2312" w:hAnsi="仿宋_GB2312" w:eastAsia="仿宋_GB2312" w:cs="仿宋_GB2312"/>
                <w:bCs/>
                <w:kern w:val="0"/>
                <w:sz w:val="24"/>
              </w:rPr>
            </w:pPr>
            <w:r>
              <w:rPr>
                <w:rFonts w:hint="eastAsia" w:ascii="仿宋_GB2312" w:hAnsi="仿宋_GB2312" w:eastAsia="仿宋_GB2312" w:cs="仿宋_GB2312"/>
                <w:bCs/>
                <w:kern w:val="0"/>
                <w:sz w:val="24"/>
              </w:rPr>
              <w:t>（6年以上）</w:t>
            </w:r>
          </w:p>
        </w:tc>
      </w:tr>
      <w:tr w14:paraId="0414248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trHeight w:val="579" w:hRule="atLeast"/>
          <w:jc w:val="center"/>
        </w:trPr>
        <w:tc>
          <w:tcPr>
            <w:tcW w:w="1151" w:type="dxa"/>
            <w:tcBorders>
              <w:top w:val="nil"/>
              <w:left w:val="single" w:color="auto" w:sz="4" w:space="0"/>
              <w:bottom w:val="single" w:color="auto" w:sz="4" w:space="0"/>
              <w:right w:val="single" w:color="auto" w:sz="4" w:space="0"/>
            </w:tcBorders>
            <w:vAlign w:val="center"/>
          </w:tcPr>
          <w:p w14:paraId="344236CC">
            <w:pPr>
              <w:spacing w:line="300" w:lineRule="exact"/>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w:t>
            </w:r>
          </w:p>
        </w:tc>
        <w:tc>
          <w:tcPr>
            <w:tcW w:w="2724" w:type="dxa"/>
            <w:tcBorders>
              <w:top w:val="nil"/>
              <w:left w:val="nil"/>
              <w:bottom w:val="single" w:color="auto" w:sz="4" w:space="0"/>
              <w:right w:val="single" w:color="auto" w:sz="4" w:space="0"/>
            </w:tcBorders>
            <w:vAlign w:val="center"/>
          </w:tcPr>
          <w:p w14:paraId="477D1B1A">
            <w:pPr>
              <w:spacing w:line="300" w:lineRule="exact"/>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杨梅</w:t>
            </w:r>
          </w:p>
        </w:tc>
        <w:tc>
          <w:tcPr>
            <w:tcW w:w="1844" w:type="dxa"/>
            <w:tcBorders>
              <w:top w:val="single" w:color="auto" w:sz="4" w:space="0"/>
              <w:left w:val="nil"/>
              <w:bottom w:val="single" w:color="auto" w:sz="4" w:space="0"/>
              <w:right w:val="single" w:color="auto" w:sz="4" w:space="0"/>
            </w:tcBorders>
            <w:vAlign w:val="center"/>
          </w:tcPr>
          <w:p w14:paraId="74E33531">
            <w:pPr>
              <w:spacing w:line="300" w:lineRule="exact"/>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60</w:t>
            </w:r>
          </w:p>
        </w:tc>
        <w:tc>
          <w:tcPr>
            <w:tcW w:w="1844" w:type="dxa"/>
            <w:tcBorders>
              <w:top w:val="nil"/>
              <w:left w:val="single" w:color="auto" w:sz="4" w:space="0"/>
              <w:bottom w:val="single" w:color="auto" w:sz="4" w:space="0"/>
              <w:right w:val="single" w:color="auto" w:sz="4" w:space="0"/>
            </w:tcBorders>
            <w:vAlign w:val="center"/>
          </w:tcPr>
          <w:p w14:paraId="164B3F1F">
            <w:pPr>
              <w:spacing w:line="300" w:lineRule="exact"/>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100</w:t>
            </w:r>
          </w:p>
        </w:tc>
        <w:tc>
          <w:tcPr>
            <w:tcW w:w="1734" w:type="dxa"/>
            <w:tcBorders>
              <w:top w:val="nil"/>
              <w:left w:val="nil"/>
              <w:bottom w:val="single" w:color="auto" w:sz="4" w:space="0"/>
              <w:right w:val="single" w:color="auto" w:sz="4" w:space="0"/>
            </w:tcBorders>
            <w:vAlign w:val="center"/>
          </w:tcPr>
          <w:p w14:paraId="0556F4DE">
            <w:pPr>
              <w:spacing w:line="300" w:lineRule="exact"/>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180</w:t>
            </w:r>
          </w:p>
        </w:tc>
      </w:tr>
      <w:tr w14:paraId="398CAB0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trHeight w:val="612" w:hRule="atLeast"/>
          <w:jc w:val="center"/>
        </w:trPr>
        <w:tc>
          <w:tcPr>
            <w:tcW w:w="1151" w:type="dxa"/>
            <w:tcBorders>
              <w:top w:val="nil"/>
              <w:left w:val="single" w:color="auto" w:sz="4" w:space="0"/>
              <w:bottom w:val="single" w:color="auto" w:sz="4" w:space="0"/>
              <w:right w:val="single" w:color="auto" w:sz="4" w:space="0"/>
            </w:tcBorders>
            <w:vAlign w:val="center"/>
          </w:tcPr>
          <w:p w14:paraId="760343BD">
            <w:pPr>
              <w:spacing w:line="300" w:lineRule="exact"/>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2</w:t>
            </w:r>
          </w:p>
        </w:tc>
        <w:tc>
          <w:tcPr>
            <w:tcW w:w="2724" w:type="dxa"/>
            <w:tcBorders>
              <w:top w:val="nil"/>
              <w:left w:val="nil"/>
              <w:bottom w:val="single" w:color="auto" w:sz="4" w:space="0"/>
              <w:right w:val="single" w:color="auto" w:sz="4" w:space="0"/>
            </w:tcBorders>
            <w:vAlign w:val="center"/>
          </w:tcPr>
          <w:p w14:paraId="6F500216">
            <w:pPr>
              <w:spacing w:line="300" w:lineRule="exact"/>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桃、李、梨、枣、枇杷、石榴、棕、椿树、银杏</w:t>
            </w:r>
          </w:p>
        </w:tc>
        <w:tc>
          <w:tcPr>
            <w:tcW w:w="1844" w:type="dxa"/>
            <w:tcBorders>
              <w:top w:val="single" w:color="auto" w:sz="4" w:space="0"/>
              <w:left w:val="nil"/>
              <w:bottom w:val="single" w:color="auto" w:sz="4" w:space="0"/>
              <w:right w:val="single" w:color="auto" w:sz="4" w:space="0"/>
            </w:tcBorders>
            <w:vAlign w:val="center"/>
          </w:tcPr>
          <w:p w14:paraId="2DEB30EE">
            <w:pPr>
              <w:spacing w:line="300" w:lineRule="exact"/>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55</w:t>
            </w:r>
          </w:p>
        </w:tc>
        <w:tc>
          <w:tcPr>
            <w:tcW w:w="1844" w:type="dxa"/>
            <w:tcBorders>
              <w:top w:val="nil"/>
              <w:left w:val="single" w:color="auto" w:sz="4" w:space="0"/>
              <w:bottom w:val="single" w:color="auto" w:sz="4" w:space="0"/>
              <w:right w:val="single" w:color="auto" w:sz="4" w:space="0"/>
            </w:tcBorders>
            <w:vAlign w:val="center"/>
          </w:tcPr>
          <w:p w14:paraId="1944835E">
            <w:pPr>
              <w:spacing w:line="300" w:lineRule="exact"/>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90</w:t>
            </w:r>
          </w:p>
        </w:tc>
        <w:tc>
          <w:tcPr>
            <w:tcW w:w="1734" w:type="dxa"/>
            <w:tcBorders>
              <w:top w:val="nil"/>
              <w:left w:val="nil"/>
              <w:bottom w:val="single" w:color="auto" w:sz="4" w:space="0"/>
              <w:right w:val="single" w:color="auto" w:sz="4" w:space="0"/>
            </w:tcBorders>
            <w:vAlign w:val="center"/>
          </w:tcPr>
          <w:p w14:paraId="482EF482">
            <w:pPr>
              <w:spacing w:line="300" w:lineRule="exact"/>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120</w:t>
            </w:r>
          </w:p>
        </w:tc>
      </w:tr>
      <w:tr w14:paraId="2B90530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trHeight w:val="579" w:hRule="atLeast"/>
          <w:jc w:val="center"/>
        </w:trPr>
        <w:tc>
          <w:tcPr>
            <w:tcW w:w="1151" w:type="dxa"/>
            <w:tcBorders>
              <w:top w:val="nil"/>
              <w:left w:val="single" w:color="auto" w:sz="4" w:space="0"/>
              <w:bottom w:val="single" w:color="auto" w:sz="4" w:space="0"/>
              <w:right w:val="single" w:color="auto" w:sz="4" w:space="0"/>
            </w:tcBorders>
            <w:vAlign w:val="center"/>
          </w:tcPr>
          <w:p w14:paraId="2569BF0B">
            <w:pPr>
              <w:spacing w:line="300" w:lineRule="exact"/>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3</w:t>
            </w:r>
          </w:p>
        </w:tc>
        <w:tc>
          <w:tcPr>
            <w:tcW w:w="2724" w:type="dxa"/>
            <w:tcBorders>
              <w:top w:val="nil"/>
              <w:left w:val="nil"/>
              <w:bottom w:val="single" w:color="auto" w:sz="4" w:space="0"/>
              <w:right w:val="single" w:color="auto" w:sz="4" w:space="0"/>
            </w:tcBorders>
            <w:vAlign w:val="center"/>
          </w:tcPr>
          <w:p w14:paraId="402AD075">
            <w:pPr>
              <w:spacing w:line="300" w:lineRule="exact"/>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猕猴桃、葡萄</w:t>
            </w:r>
          </w:p>
        </w:tc>
        <w:tc>
          <w:tcPr>
            <w:tcW w:w="1844" w:type="dxa"/>
            <w:tcBorders>
              <w:top w:val="single" w:color="auto" w:sz="4" w:space="0"/>
              <w:left w:val="nil"/>
              <w:bottom w:val="single" w:color="auto" w:sz="4" w:space="0"/>
              <w:right w:val="single" w:color="auto" w:sz="4" w:space="0"/>
            </w:tcBorders>
            <w:vAlign w:val="center"/>
          </w:tcPr>
          <w:p w14:paraId="4CC929EE">
            <w:pPr>
              <w:spacing w:line="300" w:lineRule="exact"/>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30</w:t>
            </w:r>
          </w:p>
        </w:tc>
        <w:tc>
          <w:tcPr>
            <w:tcW w:w="1844" w:type="dxa"/>
            <w:tcBorders>
              <w:top w:val="nil"/>
              <w:left w:val="single" w:color="auto" w:sz="4" w:space="0"/>
              <w:bottom w:val="single" w:color="auto" w:sz="4" w:space="0"/>
              <w:right w:val="single" w:color="auto" w:sz="4" w:space="0"/>
            </w:tcBorders>
            <w:vAlign w:val="center"/>
          </w:tcPr>
          <w:p w14:paraId="622E07B1">
            <w:pPr>
              <w:spacing w:line="300" w:lineRule="exact"/>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70</w:t>
            </w:r>
          </w:p>
        </w:tc>
        <w:tc>
          <w:tcPr>
            <w:tcW w:w="1734" w:type="dxa"/>
            <w:tcBorders>
              <w:top w:val="nil"/>
              <w:left w:val="nil"/>
              <w:bottom w:val="single" w:color="auto" w:sz="4" w:space="0"/>
              <w:right w:val="single" w:color="auto" w:sz="4" w:space="0"/>
            </w:tcBorders>
            <w:vAlign w:val="center"/>
          </w:tcPr>
          <w:p w14:paraId="4AA05C7F">
            <w:pPr>
              <w:spacing w:line="300" w:lineRule="exact"/>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100</w:t>
            </w:r>
          </w:p>
        </w:tc>
      </w:tr>
      <w:tr w14:paraId="31F626A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trHeight w:val="579" w:hRule="atLeast"/>
          <w:jc w:val="center"/>
        </w:trPr>
        <w:tc>
          <w:tcPr>
            <w:tcW w:w="1151" w:type="dxa"/>
            <w:tcBorders>
              <w:top w:val="nil"/>
              <w:left w:val="single" w:color="auto" w:sz="4" w:space="0"/>
              <w:bottom w:val="single" w:color="auto" w:sz="4" w:space="0"/>
              <w:right w:val="single" w:color="auto" w:sz="4" w:space="0"/>
            </w:tcBorders>
            <w:vAlign w:val="center"/>
          </w:tcPr>
          <w:p w14:paraId="2380A832">
            <w:pPr>
              <w:spacing w:line="300" w:lineRule="exact"/>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4</w:t>
            </w:r>
          </w:p>
        </w:tc>
        <w:tc>
          <w:tcPr>
            <w:tcW w:w="2724" w:type="dxa"/>
            <w:tcBorders>
              <w:top w:val="nil"/>
              <w:left w:val="nil"/>
              <w:bottom w:val="single" w:color="auto" w:sz="4" w:space="0"/>
              <w:right w:val="single" w:color="auto" w:sz="4" w:space="0"/>
            </w:tcBorders>
            <w:vAlign w:val="center"/>
          </w:tcPr>
          <w:p w14:paraId="77E5FC1C">
            <w:pPr>
              <w:spacing w:line="300" w:lineRule="exact"/>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油桐</w:t>
            </w:r>
          </w:p>
        </w:tc>
        <w:tc>
          <w:tcPr>
            <w:tcW w:w="1844" w:type="dxa"/>
            <w:tcBorders>
              <w:top w:val="single" w:color="auto" w:sz="4" w:space="0"/>
              <w:left w:val="nil"/>
              <w:bottom w:val="single" w:color="auto" w:sz="4" w:space="0"/>
              <w:right w:val="single" w:color="auto" w:sz="4" w:space="0"/>
            </w:tcBorders>
            <w:vAlign w:val="center"/>
          </w:tcPr>
          <w:p w14:paraId="5AE4E4CB">
            <w:pPr>
              <w:spacing w:line="300" w:lineRule="exact"/>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20</w:t>
            </w:r>
          </w:p>
        </w:tc>
        <w:tc>
          <w:tcPr>
            <w:tcW w:w="1844" w:type="dxa"/>
            <w:tcBorders>
              <w:top w:val="nil"/>
              <w:left w:val="single" w:color="auto" w:sz="4" w:space="0"/>
              <w:bottom w:val="single" w:color="auto" w:sz="4" w:space="0"/>
              <w:right w:val="single" w:color="auto" w:sz="4" w:space="0"/>
            </w:tcBorders>
            <w:vAlign w:val="center"/>
          </w:tcPr>
          <w:p w14:paraId="4B0F7002">
            <w:pPr>
              <w:spacing w:line="300" w:lineRule="exact"/>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60</w:t>
            </w:r>
          </w:p>
        </w:tc>
        <w:tc>
          <w:tcPr>
            <w:tcW w:w="1734" w:type="dxa"/>
            <w:tcBorders>
              <w:top w:val="nil"/>
              <w:left w:val="nil"/>
              <w:bottom w:val="single" w:color="auto" w:sz="4" w:space="0"/>
              <w:right w:val="single" w:color="auto" w:sz="4" w:space="0"/>
            </w:tcBorders>
            <w:vAlign w:val="center"/>
          </w:tcPr>
          <w:p w14:paraId="20CA03D5">
            <w:pPr>
              <w:spacing w:line="300" w:lineRule="exact"/>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180</w:t>
            </w:r>
          </w:p>
        </w:tc>
      </w:tr>
      <w:tr w14:paraId="68F2F47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trHeight w:val="589" w:hRule="atLeast"/>
          <w:jc w:val="center"/>
        </w:trPr>
        <w:tc>
          <w:tcPr>
            <w:tcW w:w="1151" w:type="dxa"/>
            <w:tcBorders>
              <w:top w:val="nil"/>
              <w:left w:val="single" w:color="auto" w:sz="4" w:space="0"/>
              <w:bottom w:val="single" w:color="auto" w:sz="4" w:space="0"/>
              <w:right w:val="single" w:color="auto" w:sz="4" w:space="0"/>
            </w:tcBorders>
            <w:vAlign w:val="center"/>
          </w:tcPr>
          <w:p w14:paraId="7E42E981">
            <w:pPr>
              <w:spacing w:line="300" w:lineRule="exact"/>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5</w:t>
            </w:r>
          </w:p>
        </w:tc>
        <w:tc>
          <w:tcPr>
            <w:tcW w:w="2724" w:type="dxa"/>
            <w:tcBorders>
              <w:top w:val="nil"/>
              <w:left w:val="nil"/>
              <w:bottom w:val="single" w:color="auto" w:sz="4" w:space="0"/>
              <w:right w:val="single" w:color="auto" w:sz="4" w:space="0"/>
            </w:tcBorders>
            <w:vAlign w:val="center"/>
          </w:tcPr>
          <w:p w14:paraId="6B993576">
            <w:pPr>
              <w:spacing w:line="300" w:lineRule="exact"/>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柚、柑、桔、</w:t>
            </w:r>
            <w:r>
              <w:rPr>
                <w:rFonts w:hint="eastAsia" w:ascii="仿宋_GB2312" w:hAnsi="仿宋_GB2312" w:eastAsia="仿宋_GB2312" w:cs="仿宋_GB2312"/>
                <w:color w:val="000000"/>
                <w:kern w:val="0"/>
                <w:sz w:val="24"/>
              </w:rPr>
              <w:t>板栗</w:t>
            </w:r>
          </w:p>
        </w:tc>
        <w:tc>
          <w:tcPr>
            <w:tcW w:w="1844" w:type="dxa"/>
            <w:tcBorders>
              <w:top w:val="single" w:color="auto" w:sz="4" w:space="0"/>
              <w:left w:val="nil"/>
              <w:bottom w:val="single" w:color="auto" w:sz="4" w:space="0"/>
              <w:right w:val="single" w:color="auto" w:sz="4" w:space="0"/>
            </w:tcBorders>
            <w:vAlign w:val="center"/>
          </w:tcPr>
          <w:p w14:paraId="17357677">
            <w:pPr>
              <w:spacing w:line="300" w:lineRule="exact"/>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40</w:t>
            </w:r>
          </w:p>
        </w:tc>
        <w:tc>
          <w:tcPr>
            <w:tcW w:w="1844" w:type="dxa"/>
            <w:tcBorders>
              <w:top w:val="nil"/>
              <w:left w:val="single" w:color="auto" w:sz="4" w:space="0"/>
              <w:bottom w:val="single" w:color="auto" w:sz="4" w:space="0"/>
              <w:right w:val="single" w:color="auto" w:sz="4" w:space="0"/>
            </w:tcBorders>
            <w:vAlign w:val="center"/>
          </w:tcPr>
          <w:p w14:paraId="2DB237F7">
            <w:pPr>
              <w:spacing w:line="300" w:lineRule="exact"/>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80</w:t>
            </w:r>
          </w:p>
        </w:tc>
        <w:tc>
          <w:tcPr>
            <w:tcW w:w="1734" w:type="dxa"/>
            <w:tcBorders>
              <w:top w:val="nil"/>
              <w:left w:val="nil"/>
              <w:bottom w:val="single" w:color="auto" w:sz="4" w:space="0"/>
              <w:right w:val="single" w:color="auto" w:sz="4" w:space="0"/>
            </w:tcBorders>
            <w:vAlign w:val="center"/>
          </w:tcPr>
          <w:p w14:paraId="6670BD93">
            <w:pPr>
              <w:spacing w:line="300" w:lineRule="exact"/>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150</w:t>
            </w:r>
          </w:p>
        </w:tc>
      </w:tr>
    </w:tbl>
    <w:p w14:paraId="66EBCB8B">
      <w:pPr>
        <w:rPr>
          <w:rFonts w:ascii="仿宋_GB2312" w:hAnsi="仿宋_GB2312" w:eastAsia="仿宋_GB2312" w:cs="仿宋_GB2312"/>
          <w:bCs/>
          <w:color w:val="000000"/>
          <w:sz w:val="24"/>
        </w:rPr>
      </w:pPr>
    </w:p>
    <w:p w14:paraId="132CC8FF">
      <w:pPr>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rPr>
        <w:t>征收建设用地范围内零星苗木、花卉青苗补偿标准：</w:t>
      </w:r>
      <w:r>
        <w:rPr>
          <w:rFonts w:hint="eastAsia" w:ascii="仿宋_GB2312" w:hAnsi="仿宋_GB2312" w:eastAsia="仿宋_GB2312" w:cs="仿宋_GB2312"/>
          <w:bCs/>
          <w:color w:val="000000"/>
          <w:kern w:val="0"/>
          <w:sz w:val="24"/>
        </w:rPr>
        <w:t>（元/株）</w:t>
      </w:r>
    </w:p>
    <w:tbl>
      <w:tblPr>
        <w:tblStyle w:val="18"/>
        <w:tblW w:w="9176" w:type="dxa"/>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108" w:type="dxa"/>
          <w:bottom w:w="0" w:type="dxa"/>
          <w:right w:w="108" w:type="dxa"/>
        </w:tblCellMar>
      </w:tblPr>
      <w:tblGrid>
        <w:gridCol w:w="951"/>
        <w:gridCol w:w="1286"/>
        <w:gridCol w:w="1118"/>
        <w:gridCol w:w="1120"/>
        <w:gridCol w:w="1118"/>
        <w:gridCol w:w="1118"/>
        <w:gridCol w:w="2465"/>
      </w:tblGrid>
      <w:tr w14:paraId="2832DB1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951" w:type="dxa"/>
            <w:vMerge w:val="restart"/>
            <w:tcBorders>
              <w:top w:val="single" w:color="auto" w:sz="4" w:space="0"/>
              <w:left w:val="single" w:color="auto" w:sz="4" w:space="0"/>
              <w:bottom w:val="single" w:color="000000" w:sz="4" w:space="0"/>
              <w:right w:val="single" w:color="auto" w:sz="4" w:space="0"/>
            </w:tcBorders>
            <w:vAlign w:val="center"/>
          </w:tcPr>
          <w:p w14:paraId="1D2AC68A">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序号</w:t>
            </w:r>
          </w:p>
        </w:tc>
        <w:tc>
          <w:tcPr>
            <w:tcW w:w="1286" w:type="dxa"/>
            <w:vMerge w:val="restart"/>
            <w:tcBorders>
              <w:top w:val="single" w:color="auto" w:sz="4" w:space="0"/>
              <w:left w:val="single" w:color="auto" w:sz="4" w:space="0"/>
              <w:bottom w:val="single" w:color="000000" w:sz="4" w:space="0"/>
              <w:right w:val="single" w:color="auto" w:sz="4" w:space="0"/>
            </w:tcBorders>
            <w:vAlign w:val="center"/>
          </w:tcPr>
          <w:p w14:paraId="6A0DCCB1">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项目名称</w:t>
            </w:r>
          </w:p>
        </w:tc>
        <w:tc>
          <w:tcPr>
            <w:tcW w:w="2238" w:type="dxa"/>
            <w:gridSpan w:val="2"/>
            <w:tcBorders>
              <w:top w:val="single" w:color="auto" w:sz="4" w:space="0"/>
              <w:left w:val="nil"/>
              <w:bottom w:val="single" w:color="auto" w:sz="4" w:space="0"/>
              <w:right w:val="single" w:color="auto" w:sz="4" w:space="0"/>
            </w:tcBorders>
            <w:vAlign w:val="center"/>
          </w:tcPr>
          <w:p w14:paraId="0F9A70BE">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规格</w:t>
            </w:r>
          </w:p>
        </w:tc>
        <w:tc>
          <w:tcPr>
            <w:tcW w:w="1118" w:type="dxa"/>
            <w:vMerge w:val="restart"/>
            <w:tcBorders>
              <w:top w:val="single" w:color="auto" w:sz="4" w:space="0"/>
              <w:left w:val="single" w:color="auto" w:sz="4" w:space="0"/>
              <w:bottom w:val="single" w:color="000000" w:sz="4" w:space="0"/>
              <w:right w:val="single" w:color="auto" w:sz="4" w:space="0"/>
            </w:tcBorders>
            <w:vAlign w:val="center"/>
          </w:tcPr>
          <w:p w14:paraId="107C9B30">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单位</w:t>
            </w:r>
          </w:p>
        </w:tc>
        <w:tc>
          <w:tcPr>
            <w:tcW w:w="1118" w:type="dxa"/>
            <w:vMerge w:val="restart"/>
            <w:tcBorders>
              <w:top w:val="single" w:color="auto" w:sz="4" w:space="0"/>
              <w:left w:val="single" w:color="auto" w:sz="4" w:space="0"/>
              <w:bottom w:val="single" w:color="000000" w:sz="4" w:space="0"/>
              <w:right w:val="single" w:color="auto" w:sz="4" w:space="0"/>
            </w:tcBorders>
            <w:vAlign w:val="center"/>
          </w:tcPr>
          <w:p w14:paraId="0B8EC9E1">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补偿金额（元）</w:t>
            </w:r>
          </w:p>
        </w:tc>
        <w:tc>
          <w:tcPr>
            <w:tcW w:w="2465" w:type="dxa"/>
            <w:vMerge w:val="restart"/>
            <w:tcBorders>
              <w:top w:val="single" w:color="auto" w:sz="4" w:space="0"/>
              <w:left w:val="single" w:color="auto" w:sz="4" w:space="0"/>
              <w:bottom w:val="single" w:color="000000" w:sz="4" w:space="0"/>
              <w:right w:val="single" w:color="auto" w:sz="4" w:space="0"/>
            </w:tcBorders>
            <w:vAlign w:val="center"/>
          </w:tcPr>
          <w:p w14:paraId="3586ED93">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说 明</w:t>
            </w:r>
          </w:p>
        </w:tc>
      </w:tr>
      <w:tr w14:paraId="1918AE8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951" w:type="dxa"/>
            <w:vMerge w:val="continue"/>
            <w:tcBorders>
              <w:top w:val="single" w:color="auto" w:sz="4" w:space="0"/>
              <w:left w:val="single" w:color="auto" w:sz="4" w:space="0"/>
              <w:bottom w:val="single" w:color="000000" w:sz="4" w:space="0"/>
              <w:right w:val="single" w:color="auto" w:sz="4" w:space="0"/>
            </w:tcBorders>
            <w:vAlign w:val="center"/>
          </w:tcPr>
          <w:p w14:paraId="51AEB6A3">
            <w:pPr>
              <w:rPr>
                <w:rFonts w:ascii="仿宋_GB2312" w:hAnsi="仿宋_GB2312" w:eastAsia="仿宋_GB2312" w:cs="仿宋_GB2312"/>
              </w:rPr>
            </w:pPr>
          </w:p>
        </w:tc>
        <w:tc>
          <w:tcPr>
            <w:tcW w:w="1286" w:type="dxa"/>
            <w:vMerge w:val="continue"/>
            <w:tcBorders>
              <w:top w:val="single" w:color="auto" w:sz="4" w:space="0"/>
              <w:left w:val="single" w:color="auto" w:sz="4" w:space="0"/>
              <w:bottom w:val="single" w:color="000000" w:sz="4" w:space="0"/>
              <w:right w:val="single" w:color="auto" w:sz="4" w:space="0"/>
            </w:tcBorders>
            <w:vAlign w:val="center"/>
          </w:tcPr>
          <w:p w14:paraId="6428A324">
            <w:pPr>
              <w:rPr>
                <w:rFonts w:ascii="仿宋_GB2312" w:hAnsi="仿宋_GB2312" w:eastAsia="仿宋_GB2312" w:cs="仿宋_GB2312"/>
              </w:rPr>
            </w:pPr>
          </w:p>
        </w:tc>
        <w:tc>
          <w:tcPr>
            <w:tcW w:w="1118" w:type="dxa"/>
            <w:tcBorders>
              <w:top w:val="nil"/>
              <w:left w:val="nil"/>
              <w:bottom w:val="single" w:color="auto" w:sz="4" w:space="0"/>
              <w:right w:val="single" w:color="auto" w:sz="4" w:space="0"/>
            </w:tcBorders>
            <w:vAlign w:val="center"/>
          </w:tcPr>
          <w:p w14:paraId="621C947A">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高度（米）</w:t>
            </w:r>
          </w:p>
        </w:tc>
        <w:tc>
          <w:tcPr>
            <w:tcW w:w="1120" w:type="dxa"/>
            <w:tcBorders>
              <w:top w:val="nil"/>
              <w:left w:val="nil"/>
              <w:bottom w:val="single" w:color="auto" w:sz="4" w:space="0"/>
              <w:right w:val="single" w:color="auto" w:sz="4" w:space="0"/>
            </w:tcBorders>
            <w:vAlign w:val="center"/>
          </w:tcPr>
          <w:p w14:paraId="5015F596">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冠幅（米）</w:t>
            </w:r>
          </w:p>
        </w:tc>
        <w:tc>
          <w:tcPr>
            <w:tcW w:w="1118" w:type="dxa"/>
            <w:vMerge w:val="continue"/>
            <w:tcBorders>
              <w:top w:val="single" w:color="auto" w:sz="4" w:space="0"/>
              <w:left w:val="single" w:color="auto" w:sz="4" w:space="0"/>
              <w:bottom w:val="single" w:color="000000" w:sz="4" w:space="0"/>
              <w:right w:val="single" w:color="auto" w:sz="4" w:space="0"/>
            </w:tcBorders>
            <w:vAlign w:val="center"/>
          </w:tcPr>
          <w:p w14:paraId="5F21BB8B">
            <w:pPr>
              <w:rPr>
                <w:rFonts w:ascii="仿宋_GB2312" w:hAnsi="仿宋_GB2312" w:eastAsia="仿宋_GB2312" w:cs="仿宋_GB2312"/>
              </w:rPr>
            </w:pPr>
          </w:p>
        </w:tc>
        <w:tc>
          <w:tcPr>
            <w:tcW w:w="1118" w:type="dxa"/>
            <w:vMerge w:val="continue"/>
            <w:tcBorders>
              <w:top w:val="single" w:color="auto" w:sz="4" w:space="0"/>
              <w:left w:val="single" w:color="auto" w:sz="4" w:space="0"/>
              <w:bottom w:val="single" w:color="000000" w:sz="4" w:space="0"/>
              <w:right w:val="single" w:color="auto" w:sz="4" w:space="0"/>
            </w:tcBorders>
            <w:vAlign w:val="center"/>
          </w:tcPr>
          <w:p w14:paraId="692D74B7">
            <w:pPr>
              <w:rPr>
                <w:rFonts w:ascii="仿宋_GB2312" w:hAnsi="仿宋_GB2312" w:eastAsia="仿宋_GB2312" w:cs="仿宋_GB2312"/>
              </w:rPr>
            </w:pPr>
          </w:p>
        </w:tc>
        <w:tc>
          <w:tcPr>
            <w:tcW w:w="2465" w:type="dxa"/>
            <w:vMerge w:val="continue"/>
            <w:tcBorders>
              <w:top w:val="single" w:color="auto" w:sz="4" w:space="0"/>
              <w:left w:val="single" w:color="auto" w:sz="4" w:space="0"/>
              <w:bottom w:val="single" w:color="000000" w:sz="4" w:space="0"/>
              <w:right w:val="single" w:color="auto" w:sz="4" w:space="0"/>
            </w:tcBorders>
            <w:vAlign w:val="center"/>
          </w:tcPr>
          <w:p w14:paraId="563FF4E8">
            <w:pPr>
              <w:rPr>
                <w:rFonts w:ascii="仿宋_GB2312" w:hAnsi="仿宋_GB2312" w:eastAsia="仿宋_GB2312" w:cs="仿宋_GB2312"/>
              </w:rPr>
            </w:pPr>
          </w:p>
        </w:tc>
      </w:tr>
      <w:tr w14:paraId="2EF8880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509" w:hRule="atLeast"/>
          <w:jc w:val="center"/>
        </w:trPr>
        <w:tc>
          <w:tcPr>
            <w:tcW w:w="951" w:type="dxa"/>
            <w:vMerge w:val="restart"/>
            <w:tcBorders>
              <w:top w:val="nil"/>
              <w:left w:val="single" w:color="auto" w:sz="4" w:space="0"/>
              <w:bottom w:val="single" w:color="auto" w:sz="4" w:space="0"/>
              <w:right w:val="single" w:color="auto" w:sz="4" w:space="0"/>
            </w:tcBorders>
            <w:vAlign w:val="center"/>
          </w:tcPr>
          <w:p w14:paraId="2590F1E0">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w:t>
            </w:r>
          </w:p>
        </w:tc>
        <w:tc>
          <w:tcPr>
            <w:tcW w:w="1286" w:type="dxa"/>
            <w:vMerge w:val="restart"/>
            <w:tcBorders>
              <w:top w:val="nil"/>
              <w:left w:val="single" w:color="auto" w:sz="4" w:space="0"/>
              <w:bottom w:val="single" w:color="auto" w:sz="4" w:space="0"/>
              <w:right w:val="single" w:color="auto" w:sz="4" w:space="0"/>
            </w:tcBorders>
            <w:vAlign w:val="center"/>
          </w:tcPr>
          <w:p w14:paraId="3CB1C65D">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茉莉、木槿</w:t>
            </w:r>
          </w:p>
        </w:tc>
        <w:tc>
          <w:tcPr>
            <w:tcW w:w="1118" w:type="dxa"/>
            <w:tcBorders>
              <w:top w:val="nil"/>
              <w:left w:val="nil"/>
              <w:bottom w:val="single" w:color="auto" w:sz="4" w:space="0"/>
              <w:right w:val="single" w:color="auto" w:sz="4" w:space="0"/>
            </w:tcBorders>
            <w:vAlign w:val="center"/>
          </w:tcPr>
          <w:p w14:paraId="41E0D5F7">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0.5</w:t>
            </w:r>
          </w:p>
        </w:tc>
        <w:tc>
          <w:tcPr>
            <w:tcW w:w="1120" w:type="dxa"/>
            <w:tcBorders>
              <w:top w:val="nil"/>
              <w:left w:val="nil"/>
              <w:bottom w:val="single" w:color="auto" w:sz="4" w:space="0"/>
              <w:right w:val="single" w:color="auto" w:sz="4" w:space="0"/>
            </w:tcBorders>
            <w:vAlign w:val="center"/>
          </w:tcPr>
          <w:p w14:paraId="6AA0EC4C">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　</w:t>
            </w:r>
          </w:p>
        </w:tc>
        <w:tc>
          <w:tcPr>
            <w:tcW w:w="1118" w:type="dxa"/>
            <w:tcBorders>
              <w:top w:val="nil"/>
              <w:left w:val="nil"/>
              <w:bottom w:val="single" w:color="auto" w:sz="4" w:space="0"/>
              <w:right w:val="single" w:color="auto" w:sz="4" w:space="0"/>
            </w:tcBorders>
            <w:vAlign w:val="center"/>
          </w:tcPr>
          <w:p w14:paraId="4106F6F2">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株</w:t>
            </w:r>
          </w:p>
        </w:tc>
        <w:tc>
          <w:tcPr>
            <w:tcW w:w="1118" w:type="dxa"/>
            <w:tcBorders>
              <w:top w:val="nil"/>
              <w:left w:val="nil"/>
              <w:bottom w:val="single" w:color="auto" w:sz="4" w:space="0"/>
              <w:right w:val="single" w:color="auto" w:sz="4" w:space="0"/>
            </w:tcBorders>
            <w:vAlign w:val="center"/>
          </w:tcPr>
          <w:p w14:paraId="517016CE">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25</w:t>
            </w:r>
          </w:p>
        </w:tc>
        <w:tc>
          <w:tcPr>
            <w:tcW w:w="2465" w:type="dxa"/>
            <w:vMerge w:val="restart"/>
            <w:tcBorders>
              <w:top w:val="nil"/>
              <w:left w:val="single" w:color="auto" w:sz="4" w:space="0"/>
              <w:bottom w:val="single" w:color="auto" w:sz="4" w:space="0"/>
              <w:right w:val="single" w:color="auto" w:sz="4" w:space="0"/>
            </w:tcBorders>
            <w:vAlign w:val="center"/>
          </w:tcPr>
          <w:p w14:paraId="2D45DBF7">
            <w:pP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高度1米以上，每增高30厘米，另补偿20元。</w:t>
            </w:r>
          </w:p>
        </w:tc>
      </w:tr>
      <w:tr w14:paraId="5E907D9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558" w:hRule="atLeast"/>
          <w:jc w:val="center"/>
        </w:trPr>
        <w:tc>
          <w:tcPr>
            <w:tcW w:w="951" w:type="dxa"/>
            <w:vMerge w:val="continue"/>
            <w:tcBorders>
              <w:top w:val="nil"/>
              <w:left w:val="single" w:color="auto" w:sz="4" w:space="0"/>
              <w:bottom w:val="single" w:color="auto" w:sz="4" w:space="0"/>
              <w:right w:val="single" w:color="auto" w:sz="4" w:space="0"/>
            </w:tcBorders>
            <w:vAlign w:val="center"/>
          </w:tcPr>
          <w:p w14:paraId="3A60E6A8">
            <w:pPr>
              <w:rPr>
                <w:rFonts w:ascii="仿宋_GB2312" w:hAnsi="仿宋_GB2312" w:eastAsia="仿宋_GB2312" w:cs="仿宋_GB2312"/>
              </w:rPr>
            </w:pPr>
          </w:p>
        </w:tc>
        <w:tc>
          <w:tcPr>
            <w:tcW w:w="1286" w:type="dxa"/>
            <w:vMerge w:val="continue"/>
            <w:tcBorders>
              <w:top w:val="nil"/>
              <w:left w:val="single" w:color="auto" w:sz="4" w:space="0"/>
              <w:bottom w:val="single" w:color="auto" w:sz="4" w:space="0"/>
              <w:right w:val="single" w:color="auto" w:sz="4" w:space="0"/>
            </w:tcBorders>
            <w:vAlign w:val="center"/>
          </w:tcPr>
          <w:p w14:paraId="5975E4B4">
            <w:pPr>
              <w:rPr>
                <w:rFonts w:ascii="仿宋_GB2312" w:hAnsi="仿宋_GB2312" w:eastAsia="仿宋_GB2312" w:cs="仿宋_GB2312"/>
              </w:rPr>
            </w:pPr>
          </w:p>
        </w:tc>
        <w:tc>
          <w:tcPr>
            <w:tcW w:w="1118" w:type="dxa"/>
            <w:tcBorders>
              <w:top w:val="nil"/>
              <w:left w:val="nil"/>
              <w:bottom w:val="single" w:color="auto" w:sz="4" w:space="0"/>
              <w:right w:val="single" w:color="auto" w:sz="4" w:space="0"/>
            </w:tcBorders>
            <w:vAlign w:val="center"/>
          </w:tcPr>
          <w:p w14:paraId="041CB3AD">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w:t>
            </w:r>
          </w:p>
        </w:tc>
        <w:tc>
          <w:tcPr>
            <w:tcW w:w="1120" w:type="dxa"/>
            <w:tcBorders>
              <w:top w:val="nil"/>
              <w:left w:val="nil"/>
              <w:bottom w:val="single" w:color="auto" w:sz="4" w:space="0"/>
              <w:right w:val="single" w:color="auto" w:sz="4" w:space="0"/>
            </w:tcBorders>
            <w:vAlign w:val="center"/>
          </w:tcPr>
          <w:p w14:paraId="69F56E9D">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　</w:t>
            </w:r>
          </w:p>
        </w:tc>
        <w:tc>
          <w:tcPr>
            <w:tcW w:w="1118" w:type="dxa"/>
            <w:tcBorders>
              <w:top w:val="nil"/>
              <w:left w:val="nil"/>
              <w:bottom w:val="single" w:color="auto" w:sz="4" w:space="0"/>
              <w:right w:val="single" w:color="auto" w:sz="4" w:space="0"/>
            </w:tcBorders>
            <w:vAlign w:val="center"/>
          </w:tcPr>
          <w:p w14:paraId="327306A8">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株</w:t>
            </w:r>
          </w:p>
        </w:tc>
        <w:tc>
          <w:tcPr>
            <w:tcW w:w="1118" w:type="dxa"/>
            <w:tcBorders>
              <w:top w:val="nil"/>
              <w:left w:val="nil"/>
              <w:bottom w:val="single" w:color="auto" w:sz="4" w:space="0"/>
              <w:right w:val="single" w:color="auto" w:sz="4" w:space="0"/>
            </w:tcBorders>
            <w:vAlign w:val="center"/>
          </w:tcPr>
          <w:p w14:paraId="1EDB5DEF">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40</w:t>
            </w:r>
          </w:p>
        </w:tc>
        <w:tc>
          <w:tcPr>
            <w:tcW w:w="2465" w:type="dxa"/>
            <w:vMerge w:val="continue"/>
            <w:tcBorders>
              <w:top w:val="nil"/>
              <w:left w:val="single" w:color="auto" w:sz="4" w:space="0"/>
              <w:bottom w:val="single" w:color="auto" w:sz="4" w:space="0"/>
              <w:right w:val="single" w:color="auto" w:sz="4" w:space="0"/>
            </w:tcBorders>
            <w:vAlign w:val="center"/>
          </w:tcPr>
          <w:p w14:paraId="0A9ABBC1">
            <w:pPr>
              <w:rPr>
                <w:rFonts w:ascii="仿宋_GB2312" w:hAnsi="仿宋_GB2312" w:eastAsia="仿宋_GB2312" w:cs="仿宋_GB2312"/>
              </w:rPr>
            </w:pPr>
          </w:p>
        </w:tc>
      </w:tr>
      <w:tr w14:paraId="43D4E04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951" w:type="dxa"/>
            <w:vMerge w:val="restart"/>
            <w:tcBorders>
              <w:top w:val="nil"/>
              <w:left w:val="single" w:color="auto" w:sz="4" w:space="0"/>
              <w:bottom w:val="single" w:color="auto" w:sz="4" w:space="0"/>
              <w:right w:val="single" w:color="auto" w:sz="4" w:space="0"/>
            </w:tcBorders>
            <w:vAlign w:val="center"/>
          </w:tcPr>
          <w:p w14:paraId="65A31466">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w:t>
            </w:r>
          </w:p>
        </w:tc>
        <w:tc>
          <w:tcPr>
            <w:tcW w:w="1286" w:type="dxa"/>
            <w:vMerge w:val="restart"/>
            <w:tcBorders>
              <w:top w:val="nil"/>
              <w:left w:val="single" w:color="auto" w:sz="4" w:space="0"/>
              <w:bottom w:val="single" w:color="000000" w:sz="4" w:space="0"/>
              <w:right w:val="single" w:color="auto" w:sz="4" w:space="0"/>
            </w:tcBorders>
            <w:vAlign w:val="center"/>
          </w:tcPr>
          <w:p w14:paraId="4409658D">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迎春花、山茶花</w:t>
            </w:r>
          </w:p>
        </w:tc>
        <w:tc>
          <w:tcPr>
            <w:tcW w:w="1118" w:type="dxa"/>
            <w:tcBorders>
              <w:top w:val="nil"/>
              <w:left w:val="nil"/>
              <w:bottom w:val="single" w:color="auto" w:sz="4" w:space="0"/>
              <w:right w:val="single" w:color="auto" w:sz="4" w:space="0"/>
            </w:tcBorders>
            <w:vAlign w:val="center"/>
          </w:tcPr>
          <w:p w14:paraId="68DEDA9C">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1年生</w:t>
            </w:r>
          </w:p>
        </w:tc>
        <w:tc>
          <w:tcPr>
            <w:tcW w:w="1120" w:type="dxa"/>
            <w:tcBorders>
              <w:top w:val="nil"/>
              <w:left w:val="nil"/>
              <w:bottom w:val="single" w:color="auto" w:sz="4" w:space="0"/>
              <w:right w:val="single" w:color="auto" w:sz="4" w:space="0"/>
            </w:tcBorders>
            <w:vAlign w:val="center"/>
          </w:tcPr>
          <w:p w14:paraId="4DE384CE">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　</w:t>
            </w:r>
          </w:p>
        </w:tc>
        <w:tc>
          <w:tcPr>
            <w:tcW w:w="1118" w:type="dxa"/>
            <w:tcBorders>
              <w:top w:val="nil"/>
              <w:left w:val="nil"/>
              <w:bottom w:val="single" w:color="auto" w:sz="4" w:space="0"/>
              <w:right w:val="single" w:color="auto" w:sz="4" w:space="0"/>
            </w:tcBorders>
            <w:vAlign w:val="center"/>
          </w:tcPr>
          <w:p w14:paraId="049E5640">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株</w:t>
            </w:r>
          </w:p>
        </w:tc>
        <w:tc>
          <w:tcPr>
            <w:tcW w:w="1118" w:type="dxa"/>
            <w:tcBorders>
              <w:top w:val="nil"/>
              <w:left w:val="nil"/>
              <w:bottom w:val="single" w:color="auto" w:sz="4" w:space="0"/>
              <w:right w:val="single" w:color="auto" w:sz="4" w:space="0"/>
            </w:tcBorders>
            <w:vAlign w:val="center"/>
          </w:tcPr>
          <w:p w14:paraId="19A4AA3C">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25</w:t>
            </w:r>
          </w:p>
        </w:tc>
        <w:tc>
          <w:tcPr>
            <w:tcW w:w="2465" w:type="dxa"/>
            <w:vMerge w:val="restart"/>
            <w:tcBorders>
              <w:top w:val="nil"/>
              <w:left w:val="single" w:color="auto" w:sz="4" w:space="0"/>
              <w:bottom w:val="single" w:color="auto" w:sz="4" w:space="0"/>
              <w:right w:val="single" w:color="auto" w:sz="4" w:space="0"/>
            </w:tcBorders>
            <w:vAlign w:val="center"/>
          </w:tcPr>
          <w:p w14:paraId="5B964932">
            <w:pP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冠径1.5米以上，每增大50厘米，另补偿20元。</w:t>
            </w:r>
          </w:p>
        </w:tc>
      </w:tr>
      <w:tr w14:paraId="7F1AF3A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951" w:type="dxa"/>
            <w:vMerge w:val="continue"/>
            <w:tcBorders>
              <w:top w:val="nil"/>
              <w:left w:val="single" w:color="auto" w:sz="4" w:space="0"/>
              <w:bottom w:val="single" w:color="auto" w:sz="4" w:space="0"/>
              <w:right w:val="single" w:color="auto" w:sz="4" w:space="0"/>
            </w:tcBorders>
            <w:vAlign w:val="center"/>
          </w:tcPr>
          <w:p w14:paraId="16914A62">
            <w:pPr>
              <w:rPr>
                <w:rFonts w:ascii="仿宋_GB2312" w:hAnsi="仿宋_GB2312" w:eastAsia="仿宋_GB2312" w:cs="仿宋_GB2312"/>
              </w:rPr>
            </w:pPr>
          </w:p>
        </w:tc>
        <w:tc>
          <w:tcPr>
            <w:tcW w:w="1286" w:type="dxa"/>
            <w:vMerge w:val="continue"/>
            <w:tcBorders>
              <w:top w:val="nil"/>
              <w:left w:val="single" w:color="auto" w:sz="4" w:space="0"/>
              <w:bottom w:val="single" w:color="000000" w:sz="4" w:space="0"/>
              <w:right w:val="single" w:color="auto" w:sz="4" w:space="0"/>
            </w:tcBorders>
            <w:vAlign w:val="center"/>
          </w:tcPr>
          <w:p w14:paraId="3F8F5B49">
            <w:pPr>
              <w:rPr>
                <w:rFonts w:ascii="仿宋_GB2312" w:hAnsi="仿宋_GB2312" w:eastAsia="仿宋_GB2312" w:cs="仿宋_GB2312"/>
              </w:rPr>
            </w:pPr>
          </w:p>
        </w:tc>
        <w:tc>
          <w:tcPr>
            <w:tcW w:w="1118" w:type="dxa"/>
            <w:tcBorders>
              <w:top w:val="nil"/>
              <w:left w:val="nil"/>
              <w:bottom w:val="single" w:color="auto" w:sz="4" w:space="0"/>
              <w:right w:val="single" w:color="auto" w:sz="4" w:space="0"/>
            </w:tcBorders>
            <w:vAlign w:val="center"/>
          </w:tcPr>
          <w:p w14:paraId="299E2481">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　</w:t>
            </w:r>
          </w:p>
        </w:tc>
        <w:tc>
          <w:tcPr>
            <w:tcW w:w="1120" w:type="dxa"/>
            <w:tcBorders>
              <w:top w:val="nil"/>
              <w:left w:val="nil"/>
              <w:bottom w:val="single" w:color="auto" w:sz="4" w:space="0"/>
              <w:right w:val="single" w:color="auto" w:sz="4" w:space="0"/>
            </w:tcBorders>
            <w:vAlign w:val="center"/>
          </w:tcPr>
          <w:p w14:paraId="23C9D8A5">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0.8</w:t>
            </w:r>
          </w:p>
        </w:tc>
        <w:tc>
          <w:tcPr>
            <w:tcW w:w="1118" w:type="dxa"/>
            <w:tcBorders>
              <w:top w:val="nil"/>
              <w:left w:val="nil"/>
              <w:bottom w:val="single" w:color="auto" w:sz="4" w:space="0"/>
              <w:right w:val="single" w:color="auto" w:sz="4" w:space="0"/>
            </w:tcBorders>
            <w:vAlign w:val="center"/>
          </w:tcPr>
          <w:p w14:paraId="0D322B01">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株</w:t>
            </w:r>
          </w:p>
        </w:tc>
        <w:tc>
          <w:tcPr>
            <w:tcW w:w="1118" w:type="dxa"/>
            <w:tcBorders>
              <w:top w:val="nil"/>
              <w:left w:val="nil"/>
              <w:bottom w:val="single" w:color="auto" w:sz="4" w:space="0"/>
              <w:right w:val="single" w:color="auto" w:sz="4" w:space="0"/>
            </w:tcBorders>
            <w:vAlign w:val="center"/>
          </w:tcPr>
          <w:p w14:paraId="058E5EB0">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60</w:t>
            </w:r>
          </w:p>
        </w:tc>
        <w:tc>
          <w:tcPr>
            <w:tcW w:w="2465" w:type="dxa"/>
            <w:vMerge w:val="continue"/>
            <w:tcBorders>
              <w:top w:val="nil"/>
              <w:left w:val="single" w:color="auto" w:sz="4" w:space="0"/>
              <w:bottom w:val="single" w:color="auto" w:sz="4" w:space="0"/>
              <w:right w:val="single" w:color="auto" w:sz="4" w:space="0"/>
            </w:tcBorders>
            <w:vAlign w:val="center"/>
          </w:tcPr>
          <w:p w14:paraId="70A997D0">
            <w:pPr>
              <w:rPr>
                <w:rFonts w:ascii="仿宋_GB2312" w:hAnsi="仿宋_GB2312" w:eastAsia="仿宋_GB2312" w:cs="仿宋_GB2312"/>
              </w:rPr>
            </w:pPr>
          </w:p>
        </w:tc>
      </w:tr>
      <w:tr w14:paraId="395B943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951" w:type="dxa"/>
            <w:vMerge w:val="continue"/>
            <w:tcBorders>
              <w:top w:val="nil"/>
              <w:left w:val="single" w:color="auto" w:sz="4" w:space="0"/>
              <w:bottom w:val="single" w:color="auto" w:sz="4" w:space="0"/>
              <w:right w:val="single" w:color="auto" w:sz="4" w:space="0"/>
            </w:tcBorders>
            <w:vAlign w:val="center"/>
          </w:tcPr>
          <w:p w14:paraId="0C9E9104">
            <w:pPr>
              <w:rPr>
                <w:rFonts w:ascii="仿宋_GB2312" w:hAnsi="仿宋_GB2312" w:eastAsia="仿宋_GB2312" w:cs="仿宋_GB2312"/>
              </w:rPr>
            </w:pPr>
          </w:p>
        </w:tc>
        <w:tc>
          <w:tcPr>
            <w:tcW w:w="1286" w:type="dxa"/>
            <w:vMerge w:val="continue"/>
            <w:tcBorders>
              <w:top w:val="nil"/>
              <w:left w:val="single" w:color="auto" w:sz="4" w:space="0"/>
              <w:bottom w:val="single" w:color="000000" w:sz="4" w:space="0"/>
              <w:right w:val="single" w:color="auto" w:sz="4" w:space="0"/>
            </w:tcBorders>
            <w:vAlign w:val="center"/>
          </w:tcPr>
          <w:p w14:paraId="29D0BA98">
            <w:pPr>
              <w:rPr>
                <w:rFonts w:ascii="仿宋_GB2312" w:hAnsi="仿宋_GB2312" w:eastAsia="仿宋_GB2312" w:cs="仿宋_GB2312"/>
              </w:rPr>
            </w:pPr>
          </w:p>
        </w:tc>
        <w:tc>
          <w:tcPr>
            <w:tcW w:w="1118" w:type="dxa"/>
            <w:tcBorders>
              <w:top w:val="nil"/>
              <w:left w:val="nil"/>
              <w:bottom w:val="single" w:color="auto" w:sz="4" w:space="0"/>
              <w:right w:val="single" w:color="auto" w:sz="4" w:space="0"/>
            </w:tcBorders>
            <w:vAlign w:val="center"/>
          </w:tcPr>
          <w:p w14:paraId="2CB49D27">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　</w:t>
            </w:r>
          </w:p>
        </w:tc>
        <w:tc>
          <w:tcPr>
            <w:tcW w:w="1120" w:type="dxa"/>
            <w:tcBorders>
              <w:top w:val="nil"/>
              <w:left w:val="nil"/>
              <w:bottom w:val="single" w:color="auto" w:sz="4" w:space="0"/>
              <w:right w:val="single" w:color="auto" w:sz="4" w:space="0"/>
            </w:tcBorders>
            <w:vAlign w:val="center"/>
          </w:tcPr>
          <w:p w14:paraId="24A638A0">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1.5</w:t>
            </w:r>
          </w:p>
        </w:tc>
        <w:tc>
          <w:tcPr>
            <w:tcW w:w="1118" w:type="dxa"/>
            <w:tcBorders>
              <w:top w:val="nil"/>
              <w:left w:val="nil"/>
              <w:bottom w:val="single" w:color="auto" w:sz="4" w:space="0"/>
              <w:right w:val="single" w:color="auto" w:sz="4" w:space="0"/>
            </w:tcBorders>
            <w:vAlign w:val="center"/>
          </w:tcPr>
          <w:p w14:paraId="3609E8C1">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株</w:t>
            </w:r>
          </w:p>
        </w:tc>
        <w:tc>
          <w:tcPr>
            <w:tcW w:w="1118" w:type="dxa"/>
            <w:tcBorders>
              <w:top w:val="nil"/>
              <w:left w:val="nil"/>
              <w:bottom w:val="single" w:color="auto" w:sz="4" w:space="0"/>
              <w:right w:val="single" w:color="auto" w:sz="4" w:space="0"/>
            </w:tcBorders>
            <w:vAlign w:val="center"/>
          </w:tcPr>
          <w:p w14:paraId="2BB5B3BC">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100</w:t>
            </w:r>
          </w:p>
        </w:tc>
        <w:tc>
          <w:tcPr>
            <w:tcW w:w="2465" w:type="dxa"/>
            <w:vMerge w:val="continue"/>
            <w:tcBorders>
              <w:top w:val="nil"/>
              <w:left w:val="single" w:color="auto" w:sz="4" w:space="0"/>
              <w:bottom w:val="single" w:color="auto" w:sz="4" w:space="0"/>
              <w:right w:val="single" w:color="auto" w:sz="4" w:space="0"/>
            </w:tcBorders>
            <w:vAlign w:val="center"/>
          </w:tcPr>
          <w:p w14:paraId="00A3B112">
            <w:pPr>
              <w:rPr>
                <w:rFonts w:ascii="仿宋_GB2312" w:hAnsi="仿宋_GB2312" w:eastAsia="仿宋_GB2312" w:cs="仿宋_GB2312"/>
              </w:rPr>
            </w:pPr>
          </w:p>
        </w:tc>
      </w:tr>
      <w:tr w14:paraId="4CAAFA4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951" w:type="dxa"/>
            <w:vMerge w:val="restart"/>
            <w:tcBorders>
              <w:top w:val="nil"/>
              <w:left w:val="single" w:color="auto" w:sz="4" w:space="0"/>
              <w:bottom w:val="single" w:color="auto" w:sz="4" w:space="0"/>
              <w:right w:val="single" w:color="auto" w:sz="4" w:space="0"/>
            </w:tcBorders>
            <w:vAlign w:val="center"/>
          </w:tcPr>
          <w:p w14:paraId="29AB9567">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w:t>
            </w:r>
          </w:p>
        </w:tc>
        <w:tc>
          <w:tcPr>
            <w:tcW w:w="1286" w:type="dxa"/>
            <w:vMerge w:val="restart"/>
            <w:tcBorders>
              <w:top w:val="nil"/>
              <w:left w:val="single" w:color="auto" w:sz="4" w:space="0"/>
              <w:bottom w:val="single" w:color="000000" w:sz="4" w:space="0"/>
              <w:right w:val="single" w:color="auto" w:sz="4" w:space="0"/>
            </w:tcBorders>
            <w:vAlign w:val="center"/>
          </w:tcPr>
          <w:p w14:paraId="01426873">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黄杨、夹竹桃</w:t>
            </w:r>
          </w:p>
        </w:tc>
        <w:tc>
          <w:tcPr>
            <w:tcW w:w="1118" w:type="dxa"/>
            <w:tcBorders>
              <w:top w:val="nil"/>
              <w:left w:val="nil"/>
              <w:bottom w:val="single" w:color="auto" w:sz="4" w:space="0"/>
              <w:right w:val="single" w:color="auto" w:sz="4" w:space="0"/>
            </w:tcBorders>
            <w:vAlign w:val="center"/>
          </w:tcPr>
          <w:p w14:paraId="7B9DBDAE">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1年生</w:t>
            </w:r>
          </w:p>
        </w:tc>
        <w:tc>
          <w:tcPr>
            <w:tcW w:w="1120" w:type="dxa"/>
            <w:tcBorders>
              <w:top w:val="nil"/>
              <w:left w:val="nil"/>
              <w:bottom w:val="single" w:color="auto" w:sz="4" w:space="0"/>
              <w:right w:val="single" w:color="auto" w:sz="4" w:space="0"/>
            </w:tcBorders>
            <w:vAlign w:val="center"/>
          </w:tcPr>
          <w:p w14:paraId="5F2D0632">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　</w:t>
            </w:r>
          </w:p>
        </w:tc>
        <w:tc>
          <w:tcPr>
            <w:tcW w:w="1118" w:type="dxa"/>
            <w:tcBorders>
              <w:top w:val="nil"/>
              <w:left w:val="nil"/>
              <w:bottom w:val="single" w:color="auto" w:sz="4" w:space="0"/>
              <w:right w:val="single" w:color="auto" w:sz="4" w:space="0"/>
            </w:tcBorders>
            <w:vAlign w:val="center"/>
          </w:tcPr>
          <w:p w14:paraId="2A649344">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丛</w:t>
            </w:r>
          </w:p>
        </w:tc>
        <w:tc>
          <w:tcPr>
            <w:tcW w:w="1118" w:type="dxa"/>
            <w:tcBorders>
              <w:top w:val="nil"/>
              <w:left w:val="nil"/>
              <w:bottom w:val="single" w:color="auto" w:sz="4" w:space="0"/>
              <w:right w:val="single" w:color="auto" w:sz="4" w:space="0"/>
            </w:tcBorders>
            <w:vAlign w:val="center"/>
          </w:tcPr>
          <w:p w14:paraId="1BA81986">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25</w:t>
            </w:r>
          </w:p>
        </w:tc>
        <w:tc>
          <w:tcPr>
            <w:tcW w:w="2465" w:type="dxa"/>
            <w:vMerge w:val="restart"/>
            <w:tcBorders>
              <w:top w:val="nil"/>
              <w:left w:val="single" w:color="auto" w:sz="4" w:space="0"/>
              <w:bottom w:val="single" w:color="auto" w:sz="4" w:space="0"/>
              <w:right w:val="single" w:color="auto" w:sz="4" w:space="0"/>
            </w:tcBorders>
            <w:vAlign w:val="center"/>
          </w:tcPr>
          <w:p w14:paraId="6CA28915">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4年以上生30元/丛。</w:t>
            </w:r>
          </w:p>
        </w:tc>
      </w:tr>
      <w:tr w14:paraId="24A6664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951" w:type="dxa"/>
            <w:vMerge w:val="continue"/>
            <w:tcBorders>
              <w:top w:val="nil"/>
              <w:left w:val="single" w:color="auto" w:sz="4" w:space="0"/>
              <w:bottom w:val="single" w:color="auto" w:sz="4" w:space="0"/>
              <w:right w:val="single" w:color="auto" w:sz="4" w:space="0"/>
            </w:tcBorders>
            <w:vAlign w:val="center"/>
          </w:tcPr>
          <w:p w14:paraId="1BF5EAF0">
            <w:pPr>
              <w:rPr>
                <w:rFonts w:ascii="仿宋_GB2312" w:hAnsi="仿宋_GB2312" w:eastAsia="仿宋_GB2312" w:cs="仿宋_GB2312"/>
              </w:rPr>
            </w:pPr>
          </w:p>
        </w:tc>
        <w:tc>
          <w:tcPr>
            <w:tcW w:w="1286" w:type="dxa"/>
            <w:vMerge w:val="continue"/>
            <w:tcBorders>
              <w:top w:val="nil"/>
              <w:left w:val="single" w:color="auto" w:sz="4" w:space="0"/>
              <w:bottom w:val="single" w:color="000000" w:sz="4" w:space="0"/>
              <w:right w:val="single" w:color="auto" w:sz="4" w:space="0"/>
            </w:tcBorders>
            <w:vAlign w:val="center"/>
          </w:tcPr>
          <w:p w14:paraId="4CA37BB0">
            <w:pPr>
              <w:rPr>
                <w:rFonts w:ascii="仿宋_GB2312" w:hAnsi="仿宋_GB2312" w:eastAsia="仿宋_GB2312" w:cs="仿宋_GB2312"/>
              </w:rPr>
            </w:pPr>
          </w:p>
        </w:tc>
        <w:tc>
          <w:tcPr>
            <w:tcW w:w="1118" w:type="dxa"/>
            <w:tcBorders>
              <w:top w:val="nil"/>
              <w:left w:val="nil"/>
              <w:bottom w:val="single" w:color="auto" w:sz="4" w:space="0"/>
              <w:right w:val="single" w:color="auto" w:sz="4" w:space="0"/>
            </w:tcBorders>
            <w:vAlign w:val="center"/>
          </w:tcPr>
          <w:p w14:paraId="301157F4">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2年生</w:t>
            </w:r>
          </w:p>
        </w:tc>
        <w:tc>
          <w:tcPr>
            <w:tcW w:w="1120" w:type="dxa"/>
            <w:tcBorders>
              <w:top w:val="nil"/>
              <w:left w:val="nil"/>
              <w:bottom w:val="single" w:color="auto" w:sz="4" w:space="0"/>
              <w:right w:val="single" w:color="auto" w:sz="4" w:space="0"/>
            </w:tcBorders>
            <w:vAlign w:val="center"/>
          </w:tcPr>
          <w:p w14:paraId="7C1F5CAC">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　</w:t>
            </w:r>
          </w:p>
        </w:tc>
        <w:tc>
          <w:tcPr>
            <w:tcW w:w="1118" w:type="dxa"/>
            <w:tcBorders>
              <w:top w:val="nil"/>
              <w:left w:val="nil"/>
              <w:bottom w:val="single" w:color="auto" w:sz="4" w:space="0"/>
              <w:right w:val="single" w:color="auto" w:sz="4" w:space="0"/>
            </w:tcBorders>
            <w:vAlign w:val="center"/>
          </w:tcPr>
          <w:p w14:paraId="3F5B0604">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丛</w:t>
            </w:r>
          </w:p>
        </w:tc>
        <w:tc>
          <w:tcPr>
            <w:tcW w:w="1118" w:type="dxa"/>
            <w:tcBorders>
              <w:top w:val="nil"/>
              <w:left w:val="nil"/>
              <w:bottom w:val="single" w:color="auto" w:sz="4" w:space="0"/>
              <w:right w:val="single" w:color="auto" w:sz="4" w:space="0"/>
            </w:tcBorders>
            <w:vAlign w:val="center"/>
          </w:tcPr>
          <w:p w14:paraId="10897CA0">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30</w:t>
            </w:r>
          </w:p>
        </w:tc>
        <w:tc>
          <w:tcPr>
            <w:tcW w:w="2465" w:type="dxa"/>
            <w:vMerge w:val="continue"/>
            <w:tcBorders>
              <w:top w:val="nil"/>
              <w:left w:val="single" w:color="auto" w:sz="4" w:space="0"/>
              <w:bottom w:val="single" w:color="auto" w:sz="4" w:space="0"/>
              <w:right w:val="single" w:color="auto" w:sz="4" w:space="0"/>
            </w:tcBorders>
            <w:vAlign w:val="center"/>
          </w:tcPr>
          <w:p w14:paraId="72D0D354">
            <w:pPr>
              <w:rPr>
                <w:rFonts w:ascii="仿宋_GB2312" w:hAnsi="仿宋_GB2312" w:eastAsia="仿宋_GB2312" w:cs="仿宋_GB2312"/>
              </w:rPr>
            </w:pPr>
          </w:p>
        </w:tc>
      </w:tr>
      <w:tr w14:paraId="1CD8C63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951" w:type="dxa"/>
            <w:vMerge w:val="continue"/>
            <w:tcBorders>
              <w:top w:val="nil"/>
              <w:left w:val="single" w:color="auto" w:sz="4" w:space="0"/>
              <w:bottom w:val="single" w:color="auto" w:sz="4" w:space="0"/>
              <w:right w:val="single" w:color="auto" w:sz="4" w:space="0"/>
            </w:tcBorders>
            <w:vAlign w:val="center"/>
          </w:tcPr>
          <w:p w14:paraId="3FEBC4A5">
            <w:pPr>
              <w:rPr>
                <w:rFonts w:ascii="仿宋_GB2312" w:hAnsi="仿宋_GB2312" w:eastAsia="仿宋_GB2312" w:cs="仿宋_GB2312"/>
              </w:rPr>
            </w:pPr>
          </w:p>
        </w:tc>
        <w:tc>
          <w:tcPr>
            <w:tcW w:w="1286" w:type="dxa"/>
            <w:vMerge w:val="continue"/>
            <w:tcBorders>
              <w:top w:val="nil"/>
              <w:left w:val="single" w:color="auto" w:sz="4" w:space="0"/>
              <w:bottom w:val="single" w:color="000000" w:sz="4" w:space="0"/>
              <w:right w:val="single" w:color="auto" w:sz="4" w:space="0"/>
            </w:tcBorders>
            <w:vAlign w:val="center"/>
          </w:tcPr>
          <w:p w14:paraId="04066579">
            <w:pPr>
              <w:rPr>
                <w:rFonts w:ascii="仿宋_GB2312" w:hAnsi="仿宋_GB2312" w:eastAsia="仿宋_GB2312" w:cs="仿宋_GB2312"/>
              </w:rPr>
            </w:pPr>
          </w:p>
        </w:tc>
        <w:tc>
          <w:tcPr>
            <w:tcW w:w="1118" w:type="dxa"/>
            <w:tcBorders>
              <w:top w:val="nil"/>
              <w:left w:val="nil"/>
              <w:bottom w:val="single" w:color="auto" w:sz="4" w:space="0"/>
              <w:right w:val="single" w:color="auto" w:sz="4" w:space="0"/>
            </w:tcBorders>
            <w:vAlign w:val="center"/>
          </w:tcPr>
          <w:p w14:paraId="4FDDD24E">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3年生</w:t>
            </w:r>
          </w:p>
        </w:tc>
        <w:tc>
          <w:tcPr>
            <w:tcW w:w="1120" w:type="dxa"/>
            <w:tcBorders>
              <w:top w:val="nil"/>
              <w:left w:val="nil"/>
              <w:bottom w:val="single" w:color="auto" w:sz="4" w:space="0"/>
              <w:right w:val="single" w:color="auto" w:sz="4" w:space="0"/>
            </w:tcBorders>
            <w:vAlign w:val="center"/>
          </w:tcPr>
          <w:p w14:paraId="7705E0B6">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　</w:t>
            </w:r>
          </w:p>
        </w:tc>
        <w:tc>
          <w:tcPr>
            <w:tcW w:w="1118" w:type="dxa"/>
            <w:tcBorders>
              <w:top w:val="nil"/>
              <w:left w:val="nil"/>
              <w:bottom w:val="single" w:color="auto" w:sz="4" w:space="0"/>
              <w:right w:val="single" w:color="auto" w:sz="4" w:space="0"/>
            </w:tcBorders>
            <w:vAlign w:val="center"/>
          </w:tcPr>
          <w:p w14:paraId="5BA71E02">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丛</w:t>
            </w:r>
          </w:p>
        </w:tc>
        <w:tc>
          <w:tcPr>
            <w:tcW w:w="1118" w:type="dxa"/>
            <w:tcBorders>
              <w:top w:val="nil"/>
              <w:left w:val="nil"/>
              <w:bottom w:val="single" w:color="auto" w:sz="4" w:space="0"/>
              <w:right w:val="single" w:color="auto" w:sz="4" w:space="0"/>
            </w:tcBorders>
            <w:vAlign w:val="center"/>
          </w:tcPr>
          <w:p w14:paraId="69BF85A2">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40</w:t>
            </w:r>
          </w:p>
        </w:tc>
        <w:tc>
          <w:tcPr>
            <w:tcW w:w="2465" w:type="dxa"/>
            <w:vMerge w:val="continue"/>
            <w:tcBorders>
              <w:top w:val="nil"/>
              <w:left w:val="single" w:color="auto" w:sz="4" w:space="0"/>
              <w:bottom w:val="single" w:color="auto" w:sz="4" w:space="0"/>
              <w:right w:val="single" w:color="auto" w:sz="4" w:space="0"/>
            </w:tcBorders>
            <w:vAlign w:val="center"/>
          </w:tcPr>
          <w:p w14:paraId="0E75B53F">
            <w:pPr>
              <w:rPr>
                <w:rFonts w:ascii="仿宋_GB2312" w:hAnsi="仿宋_GB2312" w:eastAsia="仿宋_GB2312" w:cs="仿宋_GB2312"/>
              </w:rPr>
            </w:pPr>
          </w:p>
        </w:tc>
      </w:tr>
      <w:tr w14:paraId="5258E21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951" w:type="dxa"/>
            <w:vMerge w:val="restart"/>
            <w:tcBorders>
              <w:top w:val="nil"/>
              <w:left w:val="single" w:color="auto" w:sz="4" w:space="0"/>
              <w:bottom w:val="single" w:color="auto" w:sz="4" w:space="0"/>
              <w:right w:val="single" w:color="auto" w:sz="4" w:space="0"/>
            </w:tcBorders>
            <w:vAlign w:val="center"/>
          </w:tcPr>
          <w:p w14:paraId="577AE847">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w:t>
            </w:r>
          </w:p>
        </w:tc>
        <w:tc>
          <w:tcPr>
            <w:tcW w:w="1286" w:type="dxa"/>
            <w:vMerge w:val="restart"/>
            <w:tcBorders>
              <w:top w:val="nil"/>
              <w:left w:val="single" w:color="auto" w:sz="4" w:space="0"/>
              <w:bottom w:val="single" w:color="000000" w:sz="4" w:space="0"/>
              <w:right w:val="single" w:color="auto" w:sz="4" w:space="0"/>
            </w:tcBorders>
            <w:vAlign w:val="center"/>
          </w:tcPr>
          <w:p w14:paraId="1055940F">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七里香、栀子花</w:t>
            </w:r>
          </w:p>
        </w:tc>
        <w:tc>
          <w:tcPr>
            <w:tcW w:w="1118" w:type="dxa"/>
            <w:tcBorders>
              <w:top w:val="nil"/>
              <w:left w:val="nil"/>
              <w:bottom w:val="single" w:color="auto" w:sz="4" w:space="0"/>
              <w:right w:val="single" w:color="auto" w:sz="4" w:space="0"/>
            </w:tcBorders>
            <w:vAlign w:val="center"/>
          </w:tcPr>
          <w:p w14:paraId="056CB7AB">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　</w:t>
            </w:r>
          </w:p>
        </w:tc>
        <w:tc>
          <w:tcPr>
            <w:tcW w:w="1120" w:type="dxa"/>
            <w:tcBorders>
              <w:top w:val="nil"/>
              <w:left w:val="nil"/>
              <w:bottom w:val="single" w:color="auto" w:sz="4" w:space="0"/>
              <w:right w:val="single" w:color="auto" w:sz="4" w:space="0"/>
            </w:tcBorders>
            <w:vAlign w:val="center"/>
          </w:tcPr>
          <w:p w14:paraId="2DC9744E">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0.4</w:t>
            </w:r>
          </w:p>
        </w:tc>
        <w:tc>
          <w:tcPr>
            <w:tcW w:w="1118" w:type="dxa"/>
            <w:tcBorders>
              <w:top w:val="nil"/>
              <w:left w:val="nil"/>
              <w:bottom w:val="single" w:color="auto" w:sz="4" w:space="0"/>
              <w:right w:val="single" w:color="auto" w:sz="4" w:space="0"/>
            </w:tcBorders>
            <w:vAlign w:val="center"/>
          </w:tcPr>
          <w:p w14:paraId="3D8B254E">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株</w:t>
            </w:r>
          </w:p>
        </w:tc>
        <w:tc>
          <w:tcPr>
            <w:tcW w:w="1118" w:type="dxa"/>
            <w:tcBorders>
              <w:top w:val="nil"/>
              <w:left w:val="nil"/>
              <w:bottom w:val="single" w:color="auto" w:sz="4" w:space="0"/>
              <w:right w:val="single" w:color="auto" w:sz="4" w:space="0"/>
            </w:tcBorders>
            <w:vAlign w:val="center"/>
          </w:tcPr>
          <w:p w14:paraId="1853D5E3">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15</w:t>
            </w:r>
          </w:p>
        </w:tc>
        <w:tc>
          <w:tcPr>
            <w:tcW w:w="2465" w:type="dxa"/>
            <w:vMerge w:val="restart"/>
            <w:tcBorders>
              <w:top w:val="nil"/>
              <w:left w:val="single" w:color="auto" w:sz="4" w:space="0"/>
              <w:bottom w:val="single" w:color="auto" w:sz="4" w:space="0"/>
              <w:right w:val="single" w:color="auto" w:sz="4" w:space="0"/>
            </w:tcBorders>
            <w:vAlign w:val="center"/>
          </w:tcPr>
          <w:p w14:paraId="6648BC5A">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冠幅1米以上，每增大10厘米，另补偿20元。</w:t>
            </w:r>
          </w:p>
        </w:tc>
      </w:tr>
      <w:tr w14:paraId="225914B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951" w:type="dxa"/>
            <w:vMerge w:val="continue"/>
            <w:tcBorders>
              <w:top w:val="nil"/>
              <w:left w:val="single" w:color="auto" w:sz="4" w:space="0"/>
              <w:bottom w:val="single" w:color="auto" w:sz="4" w:space="0"/>
              <w:right w:val="single" w:color="auto" w:sz="4" w:space="0"/>
            </w:tcBorders>
            <w:vAlign w:val="center"/>
          </w:tcPr>
          <w:p w14:paraId="7E087F9C">
            <w:pPr>
              <w:rPr>
                <w:rFonts w:ascii="仿宋_GB2312" w:hAnsi="仿宋_GB2312" w:eastAsia="仿宋_GB2312" w:cs="仿宋_GB2312"/>
              </w:rPr>
            </w:pPr>
          </w:p>
        </w:tc>
        <w:tc>
          <w:tcPr>
            <w:tcW w:w="1286" w:type="dxa"/>
            <w:vMerge w:val="continue"/>
            <w:tcBorders>
              <w:top w:val="nil"/>
              <w:left w:val="single" w:color="auto" w:sz="4" w:space="0"/>
              <w:bottom w:val="single" w:color="000000" w:sz="4" w:space="0"/>
              <w:right w:val="single" w:color="auto" w:sz="4" w:space="0"/>
            </w:tcBorders>
            <w:vAlign w:val="center"/>
          </w:tcPr>
          <w:p w14:paraId="7B232F90">
            <w:pPr>
              <w:rPr>
                <w:rFonts w:ascii="仿宋_GB2312" w:hAnsi="仿宋_GB2312" w:eastAsia="仿宋_GB2312" w:cs="仿宋_GB2312"/>
              </w:rPr>
            </w:pPr>
          </w:p>
        </w:tc>
        <w:tc>
          <w:tcPr>
            <w:tcW w:w="1118" w:type="dxa"/>
            <w:tcBorders>
              <w:top w:val="nil"/>
              <w:left w:val="nil"/>
              <w:bottom w:val="single" w:color="auto" w:sz="4" w:space="0"/>
              <w:right w:val="single" w:color="auto" w:sz="4" w:space="0"/>
            </w:tcBorders>
            <w:vAlign w:val="center"/>
          </w:tcPr>
          <w:p w14:paraId="014E64C4">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　</w:t>
            </w:r>
          </w:p>
        </w:tc>
        <w:tc>
          <w:tcPr>
            <w:tcW w:w="1120" w:type="dxa"/>
            <w:tcBorders>
              <w:top w:val="nil"/>
              <w:left w:val="nil"/>
              <w:bottom w:val="single" w:color="auto" w:sz="4" w:space="0"/>
              <w:right w:val="single" w:color="auto" w:sz="4" w:space="0"/>
            </w:tcBorders>
            <w:vAlign w:val="center"/>
          </w:tcPr>
          <w:p w14:paraId="55065F60">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0.7</w:t>
            </w:r>
          </w:p>
        </w:tc>
        <w:tc>
          <w:tcPr>
            <w:tcW w:w="1118" w:type="dxa"/>
            <w:tcBorders>
              <w:top w:val="nil"/>
              <w:left w:val="nil"/>
              <w:bottom w:val="single" w:color="auto" w:sz="4" w:space="0"/>
              <w:right w:val="single" w:color="auto" w:sz="4" w:space="0"/>
            </w:tcBorders>
            <w:vAlign w:val="center"/>
          </w:tcPr>
          <w:p w14:paraId="4810B537">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株</w:t>
            </w:r>
          </w:p>
        </w:tc>
        <w:tc>
          <w:tcPr>
            <w:tcW w:w="1118" w:type="dxa"/>
            <w:tcBorders>
              <w:top w:val="nil"/>
              <w:left w:val="nil"/>
              <w:bottom w:val="single" w:color="auto" w:sz="4" w:space="0"/>
              <w:right w:val="single" w:color="auto" w:sz="4" w:space="0"/>
            </w:tcBorders>
            <w:vAlign w:val="center"/>
          </w:tcPr>
          <w:p w14:paraId="5EBD652A">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30</w:t>
            </w:r>
          </w:p>
        </w:tc>
        <w:tc>
          <w:tcPr>
            <w:tcW w:w="2465" w:type="dxa"/>
            <w:vMerge w:val="continue"/>
            <w:tcBorders>
              <w:top w:val="nil"/>
              <w:left w:val="single" w:color="auto" w:sz="4" w:space="0"/>
              <w:bottom w:val="single" w:color="auto" w:sz="4" w:space="0"/>
              <w:right w:val="single" w:color="auto" w:sz="4" w:space="0"/>
            </w:tcBorders>
            <w:vAlign w:val="center"/>
          </w:tcPr>
          <w:p w14:paraId="5A72DE0C">
            <w:pPr>
              <w:rPr>
                <w:rFonts w:ascii="仿宋_GB2312" w:hAnsi="仿宋_GB2312" w:eastAsia="仿宋_GB2312" w:cs="仿宋_GB2312"/>
              </w:rPr>
            </w:pPr>
          </w:p>
        </w:tc>
      </w:tr>
      <w:tr w14:paraId="2819D15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951" w:type="dxa"/>
            <w:vMerge w:val="continue"/>
            <w:tcBorders>
              <w:top w:val="nil"/>
              <w:left w:val="single" w:color="auto" w:sz="4" w:space="0"/>
              <w:bottom w:val="single" w:color="auto" w:sz="4" w:space="0"/>
              <w:right w:val="single" w:color="auto" w:sz="4" w:space="0"/>
            </w:tcBorders>
            <w:vAlign w:val="center"/>
          </w:tcPr>
          <w:p w14:paraId="2B920331">
            <w:pPr>
              <w:rPr>
                <w:rFonts w:ascii="仿宋_GB2312" w:hAnsi="仿宋_GB2312" w:eastAsia="仿宋_GB2312" w:cs="仿宋_GB2312"/>
              </w:rPr>
            </w:pPr>
          </w:p>
        </w:tc>
        <w:tc>
          <w:tcPr>
            <w:tcW w:w="1286" w:type="dxa"/>
            <w:vMerge w:val="continue"/>
            <w:tcBorders>
              <w:top w:val="nil"/>
              <w:left w:val="single" w:color="auto" w:sz="4" w:space="0"/>
              <w:bottom w:val="single" w:color="000000" w:sz="4" w:space="0"/>
              <w:right w:val="single" w:color="auto" w:sz="4" w:space="0"/>
            </w:tcBorders>
            <w:vAlign w:val="center"/>
          </w:tcPr>
          <w:p w14:paraId="6D397003">
            <w:pPr>
              <w:rPr>
                <w:rFonts w:ascii="仿宋_GB2312" w:hAnsi="仿宋_GB2312" w:eastAsia="仿宋_GB2312" w:cs="仿宋_GB2312"/>
              </w:rPr>
            </w:pPr>
          </w:p>
        </w:tc>
        <w:tc>
          <w:tcPr>
            <w:tcW w:w="1118" w:type="dxa"/>
            <w:tcBorders>
              <w:top w:val="nil"/>
              <w:left w:val="nil"/>
              <w:bottom w:val="single" w:color="auto" w:sz="4" w:space="0"/>
              <w:right w:val="single" w:color="auto" w:sz="4" w:space="0"/>
            </w:tcBorders>
            <w:vAlign w:val="center"/>
          </w:tcPr>
          <w:p w14:paraId="7CBF8BAE">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　</w:t>
            </w:r>
          </w:p>
        </w:tc>
        <w:tc>
          <w:tcPr>
            <w:tcW w:w="1120" w:type="dxa"/>
            <w:tcBorders>
              <w:top w:val="nil"/>
              <w:left w:val="nil"/>
              <w:bottom w:val="single" w:color="auto" w:sz="4" w:space="0"/>
              <w:right w:val="single" w:color="auto" w:sz="4" w:space="0"/>
            </w:tcBorders>
            <w:vAlign w:val="center"/>
          </w:tcPr>
          <w:p w14:paraId="14025868">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w:t>
            </w:r>
          </w:p>
        </w:tc>
        <w:tc>
          <w:tcPr>
            <w:tcW w:w="1118" w:type="dxa"/>
            <w:tcBorders>
              <w:top w:val="nil"/>
              <w:left w:val="nil"/>
              <w:bottom w:val="single" w:color="auto" w:sz="4" w:space="0"/>
              <w:right w:val="single" w:color="auto" w:sz="4" w:space="0"/>
            </w:tcBorders>
            <w:vAlign w:val="center"/>
          </w:tcPr>
          <w:p w14:paraId="7990F8AE">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 xml:space="preserve">株 </w:t>
            </w:r>
          </w:p>
        </w:tc>
        <w:tc>
          <w:tcPr>
            <w:tcW w:w="1118" w:type="dxa"/>
            <w:tcBorders>
              <w:top w:val="nil"/>
              <w:left w:val="nil"/>
              <w:bottom w:val="single" w:color="auto" w:sz="4" w:space="0"/>
              <w:right w:val="single" w:color="auto" w:sz="4" w:space="0"/>
            </w:tcBorders>
            <w:vAlign w:val="center"/>
          </w:tcPr>
          <w:p w14:paraId="4D83B25D">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50</w:t>
            </w:r>
          </w:p>
        </w:tc>
        <w:tc>
          <w:tcPr>
            <w:tcW w:w="2465" w:type="dxa"/>
            <w:vMerge w:val="continue"/>
            <w:tcBorders>
              <w:top w:val="nil"/>
              <w:left w:val="single" w:color="auto" w:sz="4" w:space="0"/>
              <w:bottom w:val="single" w:color="auto" w:sz="4" w:space="0"/>
              <w:right w:val="single" w:color="auto" w:sz="4" w:space="0"/>
            </w:tcBorders>
            <w:vAlign w:val="center"/>
          </w:tcPr>
          <w:p w14:paraId="7C8D0376">
            <w:pPr>
              <w:rPr>
                <w:rFonts w:ascii="仿宋_GB2312" w:hAnsi="仿宋_GB2312" w:eastAsia="仿宋_GB2312" w:cs="仿宋_GB2312"/>
              </w:rPr>
            </w:pPr>
          </w:p>
        </w:tc>
      </w:tr>
      <w:tr w14:paraId="49BA747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951" w:type="dxa"/>
            <w:vMerge w:val="restart"/>
            <w:tcBorders>
              <w:top w:val="nil"/>
              <w:left w:val="single" w:color="auto" w:sz="4" w:space="0"/>
              <w:bottom w:val="single" w:color="auto" w:sz="4" w:space="0"/>
              <w:right w:val="single" w:color="auto" w:sz="4" w:space="0"/>
            </w:tcBorders>
            <w:vAlign w:val="center"/>
          </w:tcPr>
          <w:p w14:paraId="59CBB5F1">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w:t>
            </w:r>
          </w:p>
        </w:tc>
        <w:tc>
          <w:tcPr>
            <w:tcW w:w="1286" w:type="dxa"/>
            <w:vMerge w:val="restart"/>
            <w:tcBorders>
              <w:top w:val="nil"/>
              <w:left w:val="single" w:color="auto" w:sz="4" w:space="0"/>
              <w:bottom w:val="single" w:color="000000" w:sz="4" w:space="0"/>
              <w:right w:val="single" w:color="auto" w:sz="4" w:space="0"/>
            </w:tcBorders>
            <w:vAlign w:val="center"/>
          </w:tcPr>
          <w:p w14:paraId="6397957F">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芭蕉、美人蕉</w:t>
            </w:r>
          </w:p>
        </w:tc>
        <w:tc>
          <w:tcPr>
            <w:tcW w:w="1118" w:type="dxa"/>
            <w:tcBorders>
              <w:top w:val="nil"/>
              <w:left w:val="nil"/>
              <w:bottom w:val="single" w:color="auto" w:sz="4" w:space="0"/>
              <w:right w:val="single" w:color="auto" w:sz="4" w:space="0"/>
            </w:tcBorders>
            <w:vAlign w:val="center"/>
          </w:tcPr>
          <w:p w14:paraId="3F1AA5D8">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小</w:t>
            </w:r>
          </w:p>
        </w:tc>
        <w:tc>
          <w:tcPr>
            <w:tcW w:w="1120" w:type="dxa"/>
            <w:tcBorders>
              <w:top w:val="nil"/>
              <w:left w:val="nil"/>
              <w:bottom w:val="single" w:color="auto" w:sz="4" w:space="0"/>
              <w:right w:val="single" w:color="auto" w:sz="4" w:space="0"/>
            </w:tcBorders>
            <w:vAlign w:val="center"/>
          </w:tcPr>
          <w:p w14:paraId="6241E732">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　</w:t>
            </w:r>
          </w:p>
        </w:tc>
        <w:tc>
          <w:tcPr>
            <w:tcW w:w="1118" w:type="dxa"/>
            <w:tcBorders>
              <w:top w:val="nil"/>
              <w:left w:val="nil"/>
              <w:bottom w:val="single" w:color="auto" w:sz="4" w:space="0"/>
              <w:right w:val="single" w:color="auto" w:sz="4" w:space="0"/>
            </w:tcBorders>
            <w:vAlign w:val="center"/>
          </w:tcPr>
          <w:p w14:paraId="5B651C4B">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丛</w:t>
            </w:r>
          </w:p>
        </w:tc>
        <w:tc>
          <w:tcPr>
            <w:tcW w:w="1118" w:type="dxa"/>
            <w:tcBorders>
              <w:top w:val="nil"/>
              <w:left w:val="nil"/>
              <w:bottom w:val="single" w:color="auto" w:sz="4" w:space="0"/>
              <w:right w:val="single" w:color="auto" w:sz="4" w:space="0"/>
            </w:tcBorders>
            <w:vAlign w:val="center"/>
          </w:tcPr>
          <w:p w14:paraId="173606D2">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25</w:t>
            </w:r>
          </w:p>
        </w:tc>
        <w:tc>
          <w:tcPr>
            <w:tcW w:w="2465" w:type="dxa"/>
            <w:tcBorders>
              <w:top w:val="nil"/>
              <w:left w:val="single" w:color="auto" w:sz="4" w:space="0"/>
              <w:bottom w:val="single" w:color="auto" w:sz="4" w:space="0"/>
              <w:right w:val="single" w:color="auto" w:sz="4" w:space="0"/>
            </w:tcBorders>
            <w:vAlign w:val="center"/>
          </w:tcPr>
          <w:p w14:paraId="06F4CB3C">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3-5株/丛　</w:t>
            </w:r>
          </w:p>
        </w:tc>
      </w:tr>
      <w:tr w14:paraId="395147B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951" w:type="dxa"/>
            <w:vMerge w:val="continue"/>
            <w:tcBorders>
              <w:top w:val="nil"/>
              <w:left w:val="single" w:color="auto" w:sz="4" w:space="0"/>
              <w:bottom w:val="single" w:color="auto" w:sz="4" w:space="0"/>
              <w:right w:val="single" w:color="auto" w:sz="4" w:space="0"/>
            </w:tcBorders>
            <w:vAlign w:val="center"/>
          </w:tcPr>
          <w:p w14:paraId="13DBD39E">
            <w:pPr>
              <w:rPr>
                <w:rFonts w:ascii="仿宋_GB2312" w:hAnsi="仿宋_GB2312" w:eastAsia="仿宋_GB2312" w:cs="仿宋_GB2312"/>
              </w:rPr>
            </w:pPr>
          </w:p>
        </w:tc>
        <w:tc>
          <w:tcPr>
            <w:tcW w:w="1286" w:type="dxa"/>
            <w:vMerge w:val="continue"/>
            <w:tcBorders>
              <w:top w:val="nil"/>
              <w:left w:val="single" w:color="auto" w:sz="4" w:space="0"/>
              <w:bottom w:val="single" w:color="000000" w:sz="4" w:space="0"/>
              <w:right w:val="single" w:color="auto" w:sz="4" w:space="0"/>
            </w:tcBorders>
            <w:vAlign w:val="center"/>
          </w:tcPr>
          <w:p w14:paraId="56F4CD3C">
            <w:pPr>
              <w:rPr>
                <w:rFonts w:ascii="仿宋_GB2312" w:hAnsi="仿宋_GB2312" w:eastAsia="仿宋_GB2312" w:cs="仿宋_GB2312"/>
              </w:rPr>
            </w:pPr>
          </w:p>
        </w:tc>
        <w:tc>
          <w:tcPr>
            <w:tcW w:w="1118" w:type="dxa"/>
            <w:tcBorders>
              <w:top w:val="nil"/>
              <w:left w:val="nil"/>
              <w:bottom w:val="single" w:color="auto" w:sz="4" w:space="0"/>
              <w:right w:val="single" w:color="auto" w:sz="4" w:space="0"/>
            </w:tcBorders>
            <w:vAlign w:val="center"/>
          </w:tcPr>
          <w:p w14:paraId="69E94EFA">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中</w:t>
            </w:r>
          </w:p>
        </w:tc>
        <w:tc>
          <w:tcPr>
            <w:tcW w:w="1120" w:type="dxa"/>
            <w:tcBorders>
              <w:top w:val="nil"/>
              <w:left w:val="nil"/>
              <w:bottom w:val="single" w:color="auto" w:sz="4" w:space="0"/>
              <w:right w:val="single" w:color="auto" w:sz="4" w:space="0"/>
            </w:tcBorders>
            <w:vAlign w:val="center"/>
          </w:tcPr>
          <w:p w14:paraId="2F66B7EE">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　</w:t>
            </w:r>
          </w:p>
        </w:tc>
        <w:tc>
          <w:tcPr>
            <w:tcW w:w="1118" w:type="dxa"/>
            <w:tcBorders>
              <w:top w:val="nil"/>
              <w:left w:val="nil"/>
              <w:bottom w:val="single" w:color="auto" w:sz="4" w:space="0"/>
              <w:right w:val="single" w:color="auto" w:sz="4" w:space="0"/>
            </w:tcBorders>
            <w:vAlign w:val="center"/>
          </w:tcPr>
          <w:p w14:paraId="0F112C5C">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丛</w:t>
            </w:r>
          </w:p>
        </w:tc>
        <w:tc>
          <w:tcPr>
            <w:tcW w:w="1118" w:type="dxa"/>
            <w:tcBorders>
              <w:top w:val="single" w:color="auto" w:sz="4" w:space="0"/>
              <w:left w:val="nil"/>
              <w:bottom w:val="single" w:color="auto" w:sz="4" w:space="0"/>
              <w:right w:val="single" w:color="auto" w:sz="4" w:space="0"/>
            </w:tcBorders>
            <w:vAlign w:val="center"/>
          </w:tcPr>
          <w:p w14:paraId="78F399D8">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28</w:t>
            </w:r>
          </w:p>
        </w:tc>
        <w:tc>
          <w:tcPr>
            <w:tcW w:w="2465" w:type="dxa"/>
            <w:tcBorders>
              <w:top w:val="single" w:color="auto" w:sz="4" w:space="0"/>
              <w:left w:val="single" w:color="auto" w:sz="4" w:space="0"/>
              <w:bottom w:val="single" w:color="auto" w:sz="4" w:space="0"/>
              <w:right w:val="single" w:color="auto" w:sz="4" w:space="0"/>
            </w:tcBorders>
            <w:vAlign w:val="center"/>
          </w:tcPr>
          <w:p w14:paraId="579EC1B3">
            <w:pPr>
              <w:ind w:firstLine="720" w:firstLineChars="300"/>
              <w:rPr>
                <w:rFonts w:ascii="仿宋_GB2312" w:hAnsi="仿宋_GB2312" w:eastAsia="仿宋_GB2312" w:cs="仿宋_GB2312"/>
                <w:sz w:val="24"/>
              </w:rPr>
            </w:pPr>
            <w:r>
              <w:rPr>
                <w:rFonts w:hint="eastAsia" w:ascii="仿宋_GB2312" w:hAnsi="仿宋_GB2312" w:eastAsia="仿宋_GB2312" w:cs="仿宋_GB2312"/>
                <w:sz w:val="24"/>
              </w:rPr>
              <w:t>6-10株/丛</w:t>
            </w:r>
          </w:p>
        </w:tc>
      </w:tr>
      <w:tr w14:paraId="23B1C90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951" w:type="dxa"/>
            <w:vMerge w:val="continue"/>
            <w:tcBorders>
              <w:top w:val="nil"/>
              <w:left w:val="single" w:color="auto" w:sz="4" w:space="0"/>
              <w:bottom w:val="single" w:color="auto" w:sz="4" w:space="0"/>
              <w:right w:val="single" w:color="auto" w:sz="4" w:space="0"/>
            </w:tcBorders>
            <w:vAlign w:val="center"/>
          </w:tcPr>
          <w:p w14:paraId="5AE21278">
            <w:pPr>
              <w:rPr>
                <w:rFonts w:ascii="仿宋_GB2312" w:hAnsi="仿宋_GB2312" w:eastAsia="仿宋_GB2312" w:cs="仿宋_GB2312"/>
              </w:rPr>
            </w:pPr>
          </w:p>
        </w:tc>
        <w:tc>
          <w:tcPr>
            <w:tcW w:w="1286" w:type="dxa"/>
            <w:vMerge w:val="continue"/>
            <w:tcBorders>
              <w:top w:val="nil"/>
              <w:left w:val="single" w:color="auto" w:sz="4" w:space="0"/>
              <w:bottom w:val="single" w:color="000000" w:sz="4" w:space="0"/>
              <w:right w:val="single" w:color="auto" w:sz="4" w:space="0"/>
            </w:tcBorders>
            <w:vAlign w:val="center"/>
          </w:tcPr>
          <w:p w14:paraId="4D12CD2F">
            <w:pPr>
              <w:rPr>
                <w:rFonts w:ascii="仿宋_GB2312" w:hAnsi="仿宋_GB2312" w:eastAsia="仿宋_GB2312" w:cs="仿宋_GB2312"/>
              </w:rPr>
            </w:pPr>
          </w:p>
        </w:tc>
        <w:tc>
          <w:tcPr>
            <w:tcW w:w="1118" w:type="dxa"/>
            <w:tcBorders>
              <w:top w:val="nil"/>
              <w:left w:val="nil"/>
              <w:bottom w:val="single" w:color="auto" w:sz="4" w:space="0"/>
              <w:right w:val="single" w:color="auto" w:sz="4" w:space="0"/>
            </w:tcBorders>
            <w:vAlign w:val="center"/>
          </w:tcPr>
          <w:p w14:paraId="5E2EC7DC">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大</w:t>
            </w:r>
          </w:p>
        </w:tc>
        <w:tc>
          <w:tcPr>
            <w:tcW w:w="1120" w:type="dxa"/>
            <w:tcBorders>
              <w:top w:val="nil"/>
              <w:left w:val="nil"/>
              <w:bottom w:val="single" w:color="auto" w:sz="4" w:space="0"/>
              <w:right w:val="single" w:color="auto" w:sz="4" w:space="0"/>
            </w:tcBorders>
            <w:vAlign w:val="center"/>
          </w:tcPr>
          <w:p w14:paraId="3DB21EE6">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　</w:t>
            </w:r>
          </w:p>
        </w:tc>
        <w:tc>
          <w:tcPr>
            <w:tcW w:w="1118" w:type="dxa"/>
            <w:tcBorders>
              <w:top w:val="nil"/>
              <w:left w:val="nil"/>
              <w:bottom w:val="single" w:color="auto" w:sz="4" w:space="0"/>
              <w:right w:val="single" w:color="auto" w:sz="4" w:space="0"/>
            </w:tcBorders>
            <w:vAlign w:val="center"/>
          </w:tcPr>
          <w:p w14:paraId="482DEFEF">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丛</w:t>
            </w:r>
          </w:p>
        </w:tc>
        <w:tc>
          <w:tcPr>
            <w:tcW w:w="1118" w:type="dxa"/>
            <w:tcBorders>
              <w:top w:val="single" w:color="auto" w:sz="4" w:space="0"/>
              <w:left w:val="nil"/>
              <w:bottom w:val="single" w:color="auto" w:sz="4" w:space="0"/>
              <w:right w:val="single" w:color="auto" w:sz="4" w:space="0"/>
            </w:tcBorders>
            <w:vAlign w:val="center"/>
          </w:tcPr>
          <w:p w14:paraId="389E2A07">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30</w:t>
            </w:r>
          </w:p>
        </w:tc>
        <w:tc>
          <w:tcPr>
            <w:tcW w:w="2465" w:type="dxa"/>
            <w:tcBorders>
              <w:top w:val="single" w:color="auto" w:sz="4" w:space="0"/>
              <w:left w:val="single" w:color="auto" w:sz="4" w:space="0"/>
              <w:bottom w:val="single" w:color="auto" w:sz="4" w:space="0"/>
              <w:right w:val="single" w:color="auto" w:sz="4" w:space="0"/>
            </w:tcBorders>
            <w:vAlign w:val="center"/>
          </w:tcPr>
          <w:p w14:paraId="6322871D">
            <w:pPr>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11株/丛以上</w:t>
            </w:r>
          </w:p>
        </w:tc>
      </w:tr>
      <w:tr w14:paraId="076B4EE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951" w:type="dxa"/>
            <w:vMerge w:val="restart"/>
            <w:tcBorders>
              <w:top w:val="nil"/>
              <w:left w:val="single" w:color="auto" w:sz="4" w:space="0"/>
              <w:bottom w:val="single" w:color="auto" w:sz="4" w:space="0"/>
              <w:right w:val="single" w:color="auto" w:sz="4" w:space="0"/>
            </w:tcBorders>
            <w:vAlign w:val="center"/>
          </w:tcPr>
          <w:p w14:paraId="452B2E17">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6</w:t>
            </w:r>
          </w:p>
        </w:tc>
        <w:tc>
          <w:tcPr>
            <w:tcW w:w="1286" w:type="dxa"/>
            <w:vMerge w:val="restart"/>
            <w:tcBorders>
              <w:top w:val="nil"/>
              <w:left w:val="single" w:color="auto" w:sz="4" w:space="0"/>
              <w:bottom w:val="single" w:color="000000" w:sz="4" w:space="0"/>
              <w:right w:val="single" w:color="auto" w:sz="4" w:space="0"/>
            </w:tcBorders>
            <w:vAlign w:val="center"/>
          </w:tcPr>
          <w:p w14:paraId="2AEE3901">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月季、杜鹃</w:t>
            </w:r>
          </w:p>
        </w:tc>
        <w:tc>
          <w:tcPr>
            <w:tcW w:w="1118" w:type="dxa"/>
            <w:tcBorders>
              <w:top w:val="nil"/>
              <w:left w:val="nil"/>
              <w:bottom w:val="single" w:color="auto" w:sz="4" w:space="0"/>
              <w:right w:val="single" w:color="auto" w:sz="4" w:space="0"/>
            </w:tcBorders>
            <w:vAlign w:val="center"/>
          </w:tcPr>
          <w:p w14:paraId="2F49F4C1">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1年生</w:t>
            </w:r>
          </w:p>
        </w:tc>
        <w:tc>
          <w:tcPr>
            <w:tcW w:w="1120" w:type="dxa"/>
            <w:tcBorders>
              <w:top w:val="nil"/>
              <w:left w:val="nil"/>
              <w:bottom w:val="single" w:color="auto" w:sz="4" w:space="0"/>
              <w:right w:val="single" w:color="auto" w:sz="4" w:space="0"/>
            </w:tcBorders>
            <w:vAlign w:val="center"/>
          </w:tcPr>
          <w:p w14:paraId="0325692B">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　</w:t>
            </w:r>
          </w:p>
        </w:tc>
        <w:tc>
          <w:tcPr>
            <w:tcW w:w="1118" w:type="dxa"/>
            <w:tcBorders>
              <w:top w:val="nil"/>
              <w:left w:val="nil"/>
              <w:bottom w:val="single" w:color="auto" w:sz="4" w:space="0"/>
              <w:right w:val="single" w:color="auto" w:sz="4" w:space="0"/>
            </w:tcBorders>
            <w:vAlign w:val="center"/>
          </w:tcPr>
          <w:p w14:paraId="7B2C48FC">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株</w:t>
            </w:r>
          </w:p>
        </w:tc>
        <w:tc>
          <w:tcPr>
            <w:tcW w:w="1118" w:type="dxa"/>
            <w:tcBorders>
              <w:top w:val="nil"/>
              <w:left w:val="nil"/>
              <w:bottom w:val="single" w:color="auto" w:sz="4" w:space="0"/>
              <w:right w:val="single" w:color="auto" w:sz="4" w:space="0"/>
            </w:tcBorders>
            <w:vAlign w:val="center"/>
          </w:tcPr>
          <w:p w14:paraId="41D96F4D">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25</w:t>
            </w:r>
          </w:p>
        </w:tc>
        <w:tc>
          <w:tcPr>
            <w:tcW w:w="2465" w:type="dxa"/>
            <w:vMerge w:val="restart"/>
            <w:tcBorders>
              <w:top w:val="nil"/>
              <w:left w:val="single" w:color="auto" w:sz="4" w:space="0"/>
              <w:bottom w:val="single" w:color="auto" w:sz="4" w:space="0"/>
              <w:right w:val="single" w:color="auto" w:sz="4" w:space="0"/>
            </w:tcBorders>
            <w:vAlign w:val="center"/>
          </w:tcPr>
          <w:p w14:paraId="09797042">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4年以上30元/株。</w:t>
            </w:r>
          </w:p>
        </w:tc>
      </w:tr>
      <w:tr w14:paraId="3262EE8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951" w:type="dxa"/>
            <w:vMerge w:val="continue"/>
            <w:tcBorders>
              <w:top w:val="nil"/>
              <w:left w:val="single" w:color="auto" w:sz="4" w:space="0"/>
              <w:bottom w:val="single" w:color="auto" w:sz="4" w:space="0"/>
              <w:right w:val="single" w:color="auto" w:sz="4" w:space="0"/>
            </w:tcBorders>
            <w:vAlign w:val="center"/>
          </w:tcPr>
          <w:p w14:paraId="30B93D25">
            <w:pPr>
              <w:rPr>
                <w:rFonts w:ascii="仿宋_GB2312" w:hAnsi="仿宋_GB2312" w:eastAsia="仿宋_GB2312" w:cs="仿宋_GB2312"/>
              </w:rPr>
            </w:pPr>
          </w:p>
        </w:tc>
        <w:tc>
          <w:tcPr>
            <w:tcW w:w="1286" w:type="dxa"/>
            <w:vMerge w:val="continue"/>
            <w:tcBorders>
              <w:top w:val="nil"/>
              <w:left w:val="single" w:color="auto" w:sz="4" w:space="0"/>
              <w:bottom w:val="single" w:color="000000" w:sz="4" w:space="0"/>
              <w:right w:val="single" w:color="auto" w:sz="4" w:space="0"/>
            </w:tcBorders>
            <w:vAlign w:val="center"/>
          </w:tcPr>
          <w:p w14:paraId="2107EB01">
            <w:pPr>
              <w:rPr>
                <w:rFonts w:ascii="仿宋_GB2312" w:hAnsi="仿宋_GB2312" w:eastAsia="仿宋_GB2312" w:cs="仿宋_GB2312"/>
              </w:rPr>
            </w:pPr>
          </w:p>
        </w:tc>
        <w:tc>
          <w:tcPr>
            <w:tcW w:w="1118" w:type="dxa"/>
            <w:tcBorders>
              <w:top w:val="nil"/>
              <w:left w:val="nil"/>
              <w:bottom w:val="single" w:color="auto" w:sz="4" w:space="0"/>
              <w:right w:val="single" w:color="auto" w:sz="4" w:space="0"/>
            </w:tcBorders>
            <w:vAlign w:val="center"/>
          </w:tcPr>
          <w:p w14:paraId="6F84214B">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2年生</w:t>
            </w:r>
          </w:p>
        </w:tc>
        <w:tc>
          <w:tcPr>
            <w:tcW w:w="1120" w:type="dxa"/>
            <w:tcBorders>
              <w:top w:val="nil"/>
              <w:left w:val="nil"/>
              <w:bottom w:val="single" w:color="auto" w:sz="4" w:space="0"/>
              <w:right w:val="single" w:color="auto" w:sz="4" w:space="0"/>
            </w:tcBorders>
            <w:vAlign w:val="center"/>
          </w:tcPr>
          <w:p w14:paraId="7AB95666">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　</w:t>
            </w:r>
          </w:p>
        </w:tc>
        <w:tc>
          <w:tcPr>
            <w:tcW w:w="1118" w:type="dxa"/>
            <w:tcBorders>
              <w:top w:val="nil"/>
              <w:left w:val="nil"/>
              <w:bottom w:val="single" w:color="auto" w:sz="4" w:space="0"/>
              <w:right w:val="single" w:color="auto" w:sz="4" w:space="0"/>
            </w:tcBorders>
            <w:vAlign w:val="center"/>
          </w:tcPr>
          <w:p w14:paraId="44D40E6F">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株</w:t>
            </w:r>
          </w:p>
        </w:tc>
        <w:tc>
          <w:tcPr>
            <w:tcW w:w="1118" w:type="dxa"/>
            <w:tcBorders>
              <w:top w:val="nil"/>
              <w:left w:val="nil"/>
              <w:bottom w:val="single" w:color="auto" w:sz="4" w:space="0"/>
              <w:right w:val="single" w:color="auto" w:sz="4" w:space="0"/>
            </w:tcBorders>
            <w:vAlign w:val="center"/>
          </w:tcPr>
          <w:p w14:paraId="06DA8E11">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30</w:t>
            </w:r>
          </w:p>
        </w:tc>
        <w:tc>
          <w:tcPr>
            <w:tcW w:w="2465" w:type="dxa"/>
            <w:vMerge w:val="continue"/>
            <w:tcBorders>
              <w:top w:val="nil"/>
              <w:left w:val="single" w:color="auto" w:sz="4" w:space="0"/>
              <w:bottom w:val="single" w:color="auto" w:sz="4" w:space="0"/>
              <w:right w:val="single" w:color="auto" w:sz="4" w:space="0"/>
            </w:tcBorders>
            <w:vAlign w:val="center"/>
          </w:tcPr>
          <w:p w14:paraId="1BC28514">
            <w:pPr>
              <w:rPr>
                <w:rFonts w:ascii="仿宋_GB2312" w:hAnsi="仿宋_GB2312" w:eastAsia="仿宋_GB2312" w:cs="仿宋_GB2312"/>
              </w:rPr>
            </w:pPr>
          </w:p>
        </w:tc>
      </w:tr>
      <w:tr w14:paraId="71A2D24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951" w:type="dxa"/>
            <w:vMerge w:val="continue"/>
            <w:tcBorders>
              <w:top w:val="nil"/>
              <w:left w:val="single" w:color="auto" w:sz="4" w:space="0"/>
              <w:bottom w:val="single" w:color="auto" w:sz="4" w:space="0"/>
              <w:right w:val="single" w:color="auto" w:sz="4" w:space="0"/>
            </w:tcBorders>
            <w:vAlign w:val="center"/>
          </w:tcPr>
          <w:p w14:paraId="294F3E42">
            <w:pPr>
              <w:rPr>
                <w:rFonts w:ascii="仿宋_GB2312" w:hAnsi="仿宋_GB2312" w:eastAsia="仿宋_GB2312" w:cs="仿宋_GB2312"/>
              </w:rPr>
            </w:pPr>
          </w:p>
        </w:tc>
        <w:tc>
          <w:tcPr>
            <w:tcW w:w="1286" w:type="dxa"/>
            <w:vMerge w:val="continue"/>
            <w:tcBorders>
              <w:top w:val="nil"/>
              <w:left w:val="single" w:color="auto" w:sz="4" w:space="0"/>
              <w:bottom w:val="single" w:color="000000" w:sz="4" w:space="0"/>
              <w:right w:val="single" w:color="auto" w:sz="4" w:space="0"/>
            </w:tcBorders>
            <w:vAlign w:val="center"/>
          </w:tcPr>
          <w:p w14:paraId="048B9DAF">
            <w:pPr>
              <w:rPr>
                <w:rFonts w:ascii="仿宋_GB2312" w:hAnsi="仿宋_GB2312" w:eastAsia="仿宋_GB2312" w:cs="仿宋_GB2312"/>
              </w:rPr>
            </w:pPr>
          </w:p>
        </w:tc>
        <w:tc>
          <w:tcPr>
            <w:tcW w:w="1118" w:type="dxa"/>
            <w:tcBorders>
              <w:top w:val="nil"/>
              <w:left w:val="nil"/>
              <w:bottom w:val="single" w:color="auto" w:sz="4" w:space="0"/>
              <w:right w:val="single" w:color="auto" w:sz="4" w:space="0"/>
            </w:tcBorders>
            <w:vAlign w:val="center"/>
          </w:tcPr>
          <w:p w14:paraId="2F224DE5">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3年生</w:t>
            </w:r>
          </w:p>
        </w:tc>
        <w:tc>
          <w:tcPr>
            <w:tcW w:w="1120" w:type="dxa"/>
            <w:tcBorders>
              <w:top w:val="nil"/>
              <w:left w:val="nil"/>
              <w:bottom w:val="single" w:color="auto" w:sz="4" w:space="0"/>
              <w:right w:val="single" w:color="auto" w:sz="4" w:space="0"/>
            </w:tcBorders>
            <w:vAlign w:val="center"/>
          </w:tcPr>
          <w:p w14:paraId="45202805">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　</w:t>
            </w:r>
          </w:p>
        </w:tc>
        <w:tc>
          <w:tcPr>
            <w:tcW w:w="1118" w:type="dxa"/>
            <w:tcBorders>
              <w:top w:val="nil"/>
              <w:left w:val="nil"/>
              <w:bottom w:val="single" w:color="auto" w:sz="4" w:space="0"/>
              <w:right w:val="single" w:color="auto" w:sz="4" w:space="0"/>
            </w:tcBorders>
            <w:vAlign w:val="center"/>
          </w:tcPr>
          <w:p w14:paraId="14011CC1">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株</w:t>
            </w:r>
          </w:p>
        </w:tc>
        <w:tc>
          <w:tcPr>
            <w:tcW w:w="1118" w:type="dxa"/>
            <w:tcBorders>
              <w:top w:val="nil"/>
              <w:left w:val="nil"/>
              <w:bottom w:val="single" w:color="auto" w:sz="4" w:space="0"/>
              <w:right w:val="single" w:color="auto" w:sz="4" w:space="0"/>
            </w:tcBorders>
            <w:vAlign w:val="center"/>
          </w:tcPr>
          <w:p w14:paraId="580D3DA4">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40</w:t>
            </w:r>
          </w:p>
        </w:tc>
        <w:tc>
          <w:tcPr>
            <w:tcW w:w="2465" w:type="dxa"/>
            <w:vMerge w:val="continue"/>
            <w:tcBorders>
              <w:top w:val="nil"/>
              <w:left w:val="single" w:color="auto" w:sz="4" w:space="0"/>
              <w:bottom w:val="single" w:color="auto" w:sz="4" w:space="0"/>
              <w:right w:val="single" w:color="auto" w:sz="4" w:space="0"/>
            </w:tcBorders>
            <w:vAlign w:val="center"/>
          </w:tcPr>
          <w:p w14:paraId="0343DE25">
            <w:pPr>
              <w:rPr>
                <w:rFonts w:ascii="仿宋_GB2312" w:hAnsi="仿宋_GB2312" w:eastAsia="仿宋_GB2312" w:cs="仿宋_GB2312"/>
              </w:rPr>
            </w:pPr>
          </w:p>
        </w:tc>
      </w:tr>
      <w:tr w14:paraId="1974221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951" w:type="dxa"/>
            <w:vMerge w:val="restart"/>
            <w:tcBorders>
              <w:top w:val="nil"/>
              <w:left w:val="single" w:color="auto" w:sz="4" w:space="0"/>
              <w:bottom w:val="single" w:color="auto" w:sz="4" w:space="0"/>
              <w:right w:val="single" w:color="auto" w:sz="4" w:space="0"/>
            </w:tcBorders>
            <w:vAlign w:val="center"/>
          </w:tcPr>
          <w:p w14:paraId="004806F0">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7</w:t>
            </w:r>
          </w:p>
        </w:tc>
        <w:tc>
          <w:tcPr>
            <w:tcW w:w="1286" w:type="dxa"/>
            <w:vMerge w:val="restart"/>
            <w:tcBorders>
              <w:top w:val="nil"/>
              <w:left w:val="single" w:color="auto" w:sz="4" w:space="0"/>
              <w:bottom w:val="single" w:color="000000" w:sz="4" w:space="0"/>
              <w:right w:val="single" w:color="auto" w:sz="4" w:space="0"/>
            </w:tcBorders>
            <w:vAlign w:val="center"/>
          </w:tcPr>
          <w:p w14:paraId="0F7CC003">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木芙蓉</w:t>
            </w:r>
          </w:p>
        </w:tc>
        <w:tc>
          <w:tcPr>
            <w:tcW w:w="1118" w:type="dxa"/>
            <w:tcBorders>
              <w:top w:val="nil"/>
              <w:left w:val="nil"/>
              <w:bottom w:val="single" w:color="auto" w:sz="4" w:space="0"/>
              <w:right w:val="single" w:color="auto" w:sz="4" w:space="0"/>
            </w:tcBorders>
            <w:vAlign w:val="center"/>
          </w:tcPr>
          <w:p w14:paraId="769595FB">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w:t>
            </w:r>
          </w:p>
        </w:tc>
        <w:tc>
          <w:tcPr>
            <w:tcW w:w="1120" w:type="dxa"/>
            <w:tcBorders>
              <w:top w:val="nil"/>
              <w:left w:val="nil"/>
              <w:bottom w:val="single" w:color="auto" w:sz="4" w:space="0"/>
              <w:right w:val="single" w:color="auto" w:sz="4" w:space="0"/>
            </w:tcBorders>
            <w:vAlign w:val="center"/>
          </w:tcPr>
          <w:p w14:paraId="2C518B59">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　</w:t>
            </w:r>
          </w:p>
        </w:tc>
        <w:tc>
          <w:tcPr>
            <w:tcW w:w="1118" w:type="dxa"/>
            <w:tcBorders>
              <w:top w:val="nil"/>
              <w:left w:val="nil"/>
              <w:bottom w:val="single" w:color="auto" w:sz="4" w:space="0"/>
              <w:right w:val="single" w:color="auto" w:sz="4" w:space="0"/>
            </w:tcBorders>
            <w:vAlign w:val="center"/>
          </w:tcPr>
          <w:p w14:paraId="4F4B4866">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株</w:t>
            </w:r>
          </w:p>
        </w:tc>
        <w:tc>
          <w:tcPr>
            <w:tcW w:w="1118" w:type="dxa"/>
            <w:tcBorders>
              <w:top w:val="nil"/>
              <w:left w:val="nil"/>
              <w:bottom w:val="single" w:color="auto" w:sz="4" w:space="0"/>
              <w:right w:val="single" w:color="auto" w:sz="4" w:space="0"/>
            </w:tcBorders>
            <w:vAlign w:val="center"/>
          </w:tcPr>
          <w:p w14:paraId="24884AEE">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15</w:t>
            </w:r>
          </w:p>
        </w:tc>
        <w:tc>
          <w:tcPr>
            <w:tcW w:w="2465" w:type="dxa"/>
            <w:vMerge w:val="restart"/>
            <w:tcBorders>
              <w:top w:val="nil"/>
              <w:left w:val="single" w:color="auto" w:sz="4" w:space="0"/>
              <w:bottom w:val="single" w:color="auto" w:sz="4" w:space="0"/>
              <w:right w:val="single" w:color="auto" w:sz="4" w:space="0"/>
            </w:tcBorders>
            <w:vAlign w:val="center"/>
          </w:tcPr>
          <w:p w14:paraId="6EDC2A01">
            <w:pP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高度1.70米以上，每增高50厘米，另补偿20元。</w:t>
            </w:r>
          </w:p>
        </w:tc>
      </w:tr>
      <w:tr w14:paraId="4B2F2D5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951" w:type="dxa"/>
            <w:vMerge w:val="continue"/>
            <w:tcBorders>
              <w:top w:val="nil"/>
              <w:left w:val="single" w:color="auto" w:sz="4" w:space="0"/>
              <w:bottom w:val="single" w:color="auto" w:sz="4" w:space="0"/>
              <w:right w:val="single" w:color="auto" w:sz="4" w:space="0"/>
            </w:tcBorders>
            <w:vAlign w:val="center"/>
          </w:tcPr>
          <w:p w14:paraId="29334E05">
            <w:pPr>
              <w:rPr>
                <w:rFonts w:ascii="仿宋_GB2312" w:hAnsi="仿宋_GB2312" w:eastAsia="仿宋_GB2312" w:cs="仿宋_GB2312"/>
              </w:rPr>
            </w:pPr>
          </w:p>
        </w:tc>
        <w:tc>
          <w:tcPr>
            <w:tcW w:w="1286" w:type="dxa"/>
            <w:vMerge w:val="continue"/>
            <w:tcBorders>
              <w:top w:val="nil"/>
              <w:left w:val="single" w:color="auto" w:sz="4" w:space="0"/>
              <w:bottom w:val="single" w:color="000000" w:sz="4" w:space="0"/>
              <w:right w:val="single" w:color="auto" w:sz="4" w:space="0"/>
            </w:tcBorders>
            <w:vAlign w:val="center"/>
          </w:tcPr>
          <w:p w14:paraId="55769B89">
            <w:pPr>
              <w:rPr>
                <w:rFonts w:ascii="仿宋_GB2312" w:hAnsi="仿宋_GB2312" w:eastAsia="仿宋_GB2312" w:cs="仿宋_GB2312"/>
              </w:rPr>
            </w:pPr>
          </w:p>
        </w:tc>
        <w:tc>
          <w:tcPr>
            <w:tcW w:w="1118" w:type="dxa"/>
            <w:tcBorders>
              <w:top w:val="nil"/>
              <w:left w:val="nil"/>
              <w:bottom w:val="single" w:color="auto" w:sz="4" w:space="0"/>
              <w:right w:val="single" w:color="auto" w:sz="4" w:space="0"/>
            </w:tcBorders>
            <w:vAlign w:val="center"/>
          </w:tcPr>
          <w:p w14:paraId="64A8AD60">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1.4</w:t>
            </w:r>
          </w:p>
        </w:tc>
        <w:tc>
          <w:tcPr>
            <w:tcW w:w="1120" w:type="dxa"/>
            <w:tcBorders>
              <w:top w:val="nil"/>
              <w:left w:val="nil"/>
              <w:bottom w:val="single" w:color="auto" w:sz="4" w:space="0"/>
              <w:right w:val="single" w:color="auto" w:sz="4" w:space="0"/>
            </w:tcBorders>
            <w:vAlign w:val="center"/>
          </w:tcPr>
          <w:p w14:paraId="56048551">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　</w:t>
            </w:r>
          </w:p>
        </w:tc>
        <w:tc>
          <w:tcPr>
            <w:tcW w:w="1118" w:type="dxa"/>
            <w:tcBorders>
              <w:top w:val="nil"/>
              <w:left w:val="nil"/>
              <w:bottom w:val="single" w:color="auto" w:sz="4" w:space="0"/>
              <w:right w:val="single" w:color="auto" w:sz="4" w:space="0"/>
            </w:tcBorders>
            <w:vAlign w:val="center"/>
          </w:tcPr>
          <w:p w14:paraId="0DA0BABE">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株</w:t>
            </w:r>
          </w:p>
        </w:tc>
        <w:tc>
          <w:tcPr>
            <w:tcW w:w="1118" w:type="dxa"/>
            <w:tcBorders>
              <w:top w:val="nil"/>
              <w:left w:val="nil"/>
              <w:bottom w:val="single" w:color="auto" w:sz="4" w:space="0"/>
              <w:right w:val="single" w:color="auto" w:sz="4" w:space="0"/>
            </w:tcBorders>
            <w:vAlign w:val="center"/>
          </w:tcPr>
          <w:p w14:paraId="0E39BE9E">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30</w:t>
            </w:r>
          </w:p>
        </w:tc>
        <w:tc>
          <w:tcPr>
            <w:tcW w:w="2465" w:type="dxa"/>
            <w:vMerge w:val="continue"/>
            <w:tcBorders>
              <w:top w:val="nil"/>
              <w:left w:val="single" w:color="auto" w:sz="4" w:space="0"/>
              <w:bottom w:val="single" w:color="auto" w:sz="4" w:space="0"/>
              <w:right w:val="single" w:color="auto" w:sz="4" w:space="0"/>
            </w:tcBorders>
            <w:vAlign w:val="center"/>
          </w:tcPr>
          <w:p w14:paraId="66ECD240">
            <w:pPr>
              <w:rPr>
                <w:rFonts w:ascii="仿宋_GB2312" w:hAnsi="仿宋_GB2312" w:eastAsia="仿宋_GB2312" w:cs="仿宋_GB2312"/>
              </w:rPr>
            </w:pPr>
          </w:p>
        </w:tc>
      </w:tr>
      <w:tr w14:paraId="5A518D2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951" w:type="dxa"/>
            <w:vMerge w:val="continue"/>
            <w:tcBorders>
              <w:top w:val="nil"/>
              <w:left w:val="single" w:color="auto" w:sz="4" w:space="0"/>
              <w:bottom w:val="single" w:color="auto" w:sz="4" w:space="0"/>
              <w:right w:val="single" w:color="auto" w:sz="4" w:space="0"/>
            </w:tcBorders>
            <w:vAlign w:val="center"/>
          </w:tcPr>
          <w:p w14:paraId="4D7A415B">
            <w:pPr>
              <w:rPr>
                <w:rFonts w:ascii="仿宋_GB2312" w:hAnsi="仿宋_GB2312" w:eastAsia="仿宋_GB2312" w:cs="仿宋_GB2312"/>
              </w:rPr>
            </w:pPr>
          </w:p>
        </w:tc>
        <w:tc>
          <w:tcPr>
            <w:tcW w:w="1286" w:type="dxa"/>
            <w:vMerge w:val="continue"/>
            <w:tcBorders>
              <w:top w:val="nil"/>
              <w:left w:val="single" w:color="auto" w:sz="4" w:space="0"/>
              <w:bottom w:val="single" w:color="000000" w:sz="4" w:space="0"/>
              <w:right w:val="single" w:color="auto" w:sz="4" w:space="0"/>
            </w:tcBorders>
            <w:vAlign w:val="center"/>
          </w:tcPr>
          <w:p w14:paraId="345EDDC7">
            <w:pPr>
              <w:rPr>
                <w:rFonts w:ascii="仿宋_GB2312" w:hAnsi="仿宋_GB2312" w:eastAsia="仿宋_GB2312" w:cs="仿宋_GB2312"/>
              </w:rPr>
            </w:pPr>
          </w:p>
        </w:tc>
        <w:tc>
          <w:tcPr>
            <w:tcW w:w="1118" w:type="dxa"/>
            <w:tcBorders>
              <w:top w:val="nil"/>
              <w:left w:val="nil"/>
              <w:bottom w:val="single" w:color="auto" w:sz="4" w:space="0"/>
              <w:right w:val="single" w:color="auto" w:sz="4" w:space="0"/>
            </w:tcBorders>
            <w:vAlign w:val="center"/>
          </w:tcPr>
          <w:p w14:paraId="034197C5">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1.7</w:t>
            </w:r>
          </w:p>
        </w:tc>
        <w:tc>
          <w:tcPr>
            <w:tcW w:w="1120" w:type="dxa"/>
            <w:tcBorders>
              <w:top w:val="nil"/>
              <w:left w:val="nil"/>
              <w:bottom w:val="single" w:color="auto" w:sz="4" w:space="0"/>
              <w:right w:val="single" w:color="auto" w:sz="4" w:space="0"/>
            </w:tcBorders>
            <w:vAlign w:val="center"/>
          </w:tcPr>
          <w:p w14:paraId="2EDAB4BC">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　</w:t>
            </w:r>
          </w:p>
        </w:tc>
        <w:tc>
          <w:tcPr>
            <w:tcW w:w="1118" w:type="dxa"/>
            <w:tcBorders>
              <w:top w:val="nil"/>
              <w:left w:val="nil"/>
              <w:bottom w:val="single" w:color="auto" w:sz="4" w:space="0"/>
              <w:right w:val="single" w:color="auto" w:sz="4" w:space="0"/>
            </w:tcBorders>
            <w:vAlign w:val="center"/>
          </w:tcPr>
          <w:p w14:paraId="28809D10">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株</w:t>
            </w:r>
          </w:p>
        </w:tc>
        <w:tc>
          <w:tcPr>
            <w:tcW w:w="1118" w:type="dxa"/>
            <w:tcBorders>
              <w:top w:val="nil"/>
              <w:left w:val="nil"/>
              <w:bottom w:val="single" w:color="auto" w:sz="4" w:space="0"/>
              <w:right w:val="single" w:color="auto" w:sz="4" w:space="0"/>
            </w:tcBorders>
            <w:vAlign w:val="center"/>
          </w:tcPr>
          <w:p w14:paraId="34246620">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40</w:t>
            </w:r>
          </w:p>
        </w:tc>
        <w:tc>
          <w:tcPr>
            <w:tcW w:w="2465" w:type="dxa"/>
            <w:vMerge w:val="continue"/>
            <w:tcBorders>
              <w:top w:val="nil"/>
              <w:left w:val="single" w:color="auto" w:sz="4" w:space="0"/>
              <w:bottom w:val="single" w:color="auto" w:sz="4" w:space="0"/>
              <w:right w:val="single" w:color="auto" w:sz="4" w:space="0"/>
            </w:tcBorders>
            <w:vAlign w:val="center"/>
          </w:tcPr>
          <w:p w14:paraId="67E31B5F">
            <w:pPr>
              <w:rPr>
                <w:rFonts w:ascii="仿宋_GB2312" w:hAnsi="仿宋_GB2312" w:eastAsia="仿宋_GB2312" w:cs="仿宋_GB2312"/>
              </w:rPr>
            </w:pPr>
          </w:p>
        </w:tc>
      </w:tr>
      <w:tr w14:paraId="61BCDA0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951" w:type="dxa"/>
            <w:vMerge w:val="restart"/>
            <w:tcBorders>
              <w:top w:val="nil"/>
              <w:left w:val="single" w:color="auto" w:sz="4" w:space="0"/>
              <w:bottom w:val="single" w:color="auto" w:sz="4" w:space="0"/>
              <w:right w:val="single" w:color="auto" w:sz="4" w:space="0"/>
            </w:tcBorders>
            <w:vAlign w:val="center"/>
          </w:tcPr>
          <w:p w14:paraId="0C096B9D">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8</w:t>
            </w:r>
          </w:p>
        </w:tc>
        <w:tc>
          <w:tcPr>
            <w:tcW w:w="1286" w:type="dxa"/>
            <w:vMerge w:val="restart"/>
            <w:tcBorders>
              <w:top w:val="nil"/>
              <w:left w:val="single" w:color="auto" w:sz="4" w:space="0"/>
              <w:bottom w:val="single" w:color="auto" w:sz="4" w:space="0"/>
              <w:right w:val="single" w:color="auto" w:sz="4" w:space="0"/>
            </w:tcBorders>
            <w:vAlign w:val="center"/>
          </w:tcPr>
          <w:p w14:paraId="01C107F5">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葱兰</w:t>
            </w:r>
          </w:p>
        </w:tc>
        <w:tc>
          <w:tcPr>
            <w:tcW w:w="1118" w:type="dxa"/>
            <w:tcBorders>
              <w:top w:val="nil"/>
              <w:left w:val="nil"/>
              <w:bottom w:val="single" w:color="auto" w:sz="4" w:space="0"/>
              <w:right w:val="single" w:color="auto" w:sz="4" w:space="0"/>
            </w:tcBorders>
            <w:vAlign w:val="center"/>
          </w:tcPr>
          <w:p w14:paraId="03932534">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　</w:t>
            </w:r>
          </w:p>
        </w:tc>
        <w:tc>
          <w:tcPr>
            <w:tcW w:w="1120" w:type="dxa"/>
            <w:tcBorders>
              <w:top w:val="nil"/>
              <w:left w:val="nil"/>
              <w:bottom w:val="single" w:color="auto" w:sz="4" w:space="0"/>
              <w:right w:val="single" w:color="auto" w:sz="4" w:space="0"/>
            </w:tcBorders>
            <w:vAlign w:val="center"/>
          </w:tcPr>
          <w:p w14:paraId="74A43EF7">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　</w:t>
            </w:r>
          </w:p>
        </w:tc>
        <w:tc>
          <w:tcPr>
            <w:tcW w:w="1118" w:type="dxa"/>
            <w:tcBorders>
              <w:top w:val="nil"/>
              <w:left w:val="nil"/>
              <w:bottom w:val="single" w:color="auto" w:sz="4" w:space="0"/>
              <w:right w:val="single" w:color="auto" w:sz="4" w:space="0"/>
            </w:tcBorders>
            <w:vAlign w:val="center"/>
          </w:tcPr>
          <w:p w14:paraId="16225FF9">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小丛</w:t>
            </w:r>
          </w:p>
        </w:tc>
        <w:tc>
          <w:tcPr>
            <w:tcW w:w="1118" w:type="dxa"/>
            <w:tcBorders>
              <w:top w:val="nil"/>
              <w:left w:val="nil"/>
              <w:bottom w:val="single" w:color="auto" w:sz="4" w:space="0"/>
              <w:right w:val="single" w:color="auto" w:sz="4" w:space="0"/>
            </w:tcBorders>
            <w:vAlign w:val="center"/>
          </w:tcPr>
          <w:p w14:paraId="2402D9BE">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15</w:t>
            </w:r>
          </w:p>
        </w:tc>
        <w:tc>
          <w:tcPr>
            <w:tcW w:w="2465" w:type="dxa"/>
            <w:tcBorders>
              <w:top w:val="nil"/>
              <w:left w:val="single" w:color="auto" w:sz="4" w:space="0"/>
              <w:bottom w:val="single" w:color="auto" w:sz="4" w:space="0"/>
              <w:right w:val="single" w:color="auto" w:sz="4" w:space="0"/>
            </w:tcBorders>
            <w:vAlign w:val="center"/>
          </w:tcPr>
          <w:p w14:paraId="47BC1A0B">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3-6株/丛　</w:t>
            </w:r>
          </w:p>
        </w:tc>
      </w:tr>
      <w:tr w14:paraId="2262649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454" w:hRule="atLeast"/>
          <w:jc w:val="center"/>
        </w:trPr>
        <w:tc>
          <w:tcPr>
            <w:tcW w:w="951" w:type="dxa"/>
            <w:vMerge w:val="continue"/>
            <w:tcBorders>
              <w:top w:val="nil"/>
              <w:left w:val="single" w:color="auto" w:sz="4" w:space="0"/>
              <w:bottom w:val="single" w:color="auto" w:sz="4" w:space="0"/>
              <w:right w:val="single" w:color="auto" w:sz="4" w:space="0"/>
            </w:tcBorders>
            <w:vAlign w:val="center"/>
          </w:tcPr>
          <w:p w14:paraId="11D9E1AD">
            <w:pPr>
              <w:rPr>
                <w:rFonts w:ascii="仿宋_GB2312" w:hAnsi="仿宋_GB2312" w:eastAsia="仿宋_GB2312" w:cs="仿宋_GB2312"/>
              </w:rPr>
            </w:pPr>
          </w:p>
        </w:tc>
        <w:tc>
          <w:tcPr>
            <w:tcW w:w="1286" w:type="dxa"/>
            <w:vMerge w:val="continue"/>
            <w:tcBorders>
              <w:top w:val="nil"/>
              <w:left w:val="single" w:color="auto" w:sz="4" w:space="0"/>
              <w:bottom w:val="single" w:color="auto" w:sz="4" w:space="0"/>
              <w:right w:val="single" w:color="auto" w:sz="4" w:space="0"/>
            </w:tcBorders>
            <w:vAlign w:val="center"/>
          </w:tcPr>
          <w:p w14:paraId="3FCC7665">
            <w:pPr>
              <w:rPr>
                <w:rFonts w:ascii="仿宋_GB2312" w:hAnsi="仿宋_GB2312" w:eastAsia="仿宋_GB2312" w:cs="仿宋_GB2312"/>
              </w:rPr>
            </w:pPr>
          </w:p>
        </w:tc>
        <w:tc>
          <w:tcPr>
            <w:tcW w:w="1118" w:type="dxa"/>
            <w:tcBorders>
              <w:top w:val="nil"/>
              <w:left w:val="nil"/>
              <w:bottom w:val="single" w:color="auto" w:sz="4" w:space="0"/>
              <w:right w:val="single" w:color="auto" w:sz="4" w:space="0"/>
            </w:tcBorders>
            <w:vAlign w:val="center"/>
          </w:tcPr>
          <w:p w14:paraId="3F4D9EA3">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　</w:t>
            </w:r>
          </w:p>
        </w:tc>
        <w:tc>
          <w:tcPr>
            <w:tcW w:w="1120" w:type="dxa"/>
            <w:tcBorders>
              <w:top w:val="nil"/>
              <w:left w:val="nil"/>
              <w:bottom w:val="single" w:color="auto" w:sz="4" w:space="0"/>
              <w:right w:val="single" w:color="auto" w:sz="4" w:space="0"/>
            </w:tcBorders>
            <w:vAlign w:val="center"/>
          </w:tcPr>
          <w:p w14:paraId="2F7E65DC">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　</w:t>
            </w:r>
          </w:p>
        </w:tc>
        <w:tc>
          <w:tcPr>
            <w:tcW w:w="1118" w:type="dxa"/>
            <w:tcBorders>
              <w:top w:val="nil"/>
              <w:left w:val="nil"/>
              <w:bottom w:val="single" w:color="auto" w:sz="4" w:space="0"/>
              <w:right w:val="single" w:color="auto" w:sz="4" w:space="0"/>
            </w:tcBorders>
            <w:vAlign w:val="center"/>
          </w:tcPr>
          <w:p w14:paraId="6AA2A039">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大丛</w:t>
            </w:r>
          </w:p>
        </w:tc>
        <w:tc>
          <w:tcPr>
            <w:tcW w:w="1118" w:type="dxa"/>
            <w:tcBorders>
              <w:top w:val="single" w:color="auto" w:sz="4" w:space="0"/>
              <w:left w:val="nil"/>
              <w:bottom w:val="single" w:color="auto" w:sz="4" w:space="0"/>
              <w:right w:val="single" w:color="auto" w:sz="4" w:space="0"/>
            </w:tcBorders>
            <w:vAlign w:val="center"/>
          </w:tcPr>
          <w:p w14:paraId="66A4843D">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20</w:t>
            </w:r>
          </w:p>
        </w:tc>
        <w:tc>
          <w:tcPr>
            <w:tcW w:w="2465" w:type="dxa"/>
            <w:tcBorders>
              <w:top w:val="single" w:color="auto" w:sz="4" w:space="0"/>
              <w:left w:val="single" w:color="auto" w:sz="4" w:space="0"/>
              <w:bottom w:val="single" w:color="auto" w:sz="4" w:space="0"/>
              <w:right w:val="single" w:color="auto" w:sz="4" w:space="0"/>
            </w:tcBorders>
            <w:vAlign w:val="center"/>
          </w:tcPr>
          <w:p w14:paraId="6427D28F">
            <w:pPr>
              <w:ind w:firstLine="720" w:firstLineChars="300"/>
              <w:rPr>
                <w:rFonts w:ascii="仿宋_GB2312" w:hAnsi="仿宋_GB2312" w:eastAsia="仿宋_GB2312" w:cs="仿宋_GB2312"/>
                <w:sz w:val="24"/>
              </w:rPr>
            </w:pPr>
            <w:r>
              <w:rPr>
                <w:rFonts w:hint="eastAsia" w:ascii="仿宋_GB2312" w:hAnsi="仿宋_GB2312" w:eastAsia="仿宋_GB2312" w:cs="仿宋_GB2312"/>
                <w:sz w:val="24"/>
              </w:rPr>
              <w:t>7株/丛</w:t>
            </w:r>
          </w:p>
        </w:tc>
      </w:tr>
      <w:tr w14:paraId="512AF84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454" w:hRule="atLeast"/>
          <w:jc w:val="center"/>
        </w:trPr>
        <w:tc>
          <w:tcPr>
            <w:tcW w:w="951" w:type="dxa"/>
            <w:tcBorders>
              <w:top w:val="single" w:color="auto" w:sz="4" w:space="0"/>
              <w:left w:val="single" w:color="auto" w:sz="4" w:space="0"/>
              <w:bottom w:val="single" w:color="auto" w:sz="4" w:space="0"/>
              <w:right w:val="single" w:color="auto" w:sz="4" w:space="0"/>
            </w:tcBorders>
            <w:vAlign w:val="center"/>
          </w:tcPr>
          <w:p w14:paraId="492EC6A9">
            <w:pPr>
              <w:jc w:val="center"/>
              <w:rPr>
                <w:rFonts w:ascii="仿宋_GB2312" w:hAnsi="仿宋_GB2312" w:eastAsia="仿宋_GB2312" w:cs="仿宋_GB2312"/>
                <w:sz w:val="24"/>
              </w:rPr>
            </w:pPr>
            <w:r>
              <w:rPr>
                <w:rFonts w:hint="eastAsia" w:ascii="仿宋_GB2312" w:hAnsi="仿宋_GB2312" w:eastAsia="仿宋_GB2312" w:cs="仿宋_GB2312"/>
                <w:sz w:val="24"/>
              </w:rPr>
              <w:t>9</w:t>
            </w:r>
          </w:p>
        </w:tc>
        <w:tc>
          <w:tcPr>
            <w:tcW w:w="1286" w:type="dxa"/>
            <w:tcBorders>
              <w:top w:val="single" w:color="auto" w:sz="4" w:space="0"/>
              <w:left w:val="single" w:color="auto" w:sz="4" w:space="0"/>
              <w:bottom w:val="single" w:color="auto" w:sz="4" w:space="0"/>
              <w:right w:val="single" w:color="auto" w:sz="4" w:space="0"/>
            </w:tcBorders>
            <w:vAlign w:val="center"/>
          </w:tcPr>
          <w:p w14:paraId="56DB6344">
            <w:pPr>
              <w:jc w:val="center"/>
              <w:rPr>
                <w:rFonts w:ascii="仿宋_GB2312" w:hAnsi="仿宋_GB2312" w:eastAsia="仿宋_GB2312" w:cs="仿宋_GB2312"/>
                <w:sz w:val="24"/>
              </w:rPr>
            </w:pPr>
            <w:r>
              <w:rPr>
                <w:rFonts w:hint="eastAsia" w:ascii="仿宋_GB2312" w:hAnsi="仿宋_GB2312" w:eastAsia="仿宋_GB2312" w:cs="仿宋_GB2312"/>
                <w:sz w:val="24"/>
              </w:rPr>
              <w:t>草坪</w:t>
            </w:r>
          </w:p>
        </w:tc>
        <w:tc>
          <w:tcPr>
            <w:tcW w:w="1118" w:type="dxa"/>
            <w:tcBorders>
              <w:top w:val="single" w:color="auto" w:sz="4" w:space="0"/>
              <w:left w:val="nil"/>
              <w:bottom w:val="single" w:color="auto" w:sz="4" w:space="0"/>
              <w:right w:val="single" w:color="auto" w:sz="4" w:space="0"/>
            </w:tcBorders>
            <w:vAlign w:val="center"/>
          </w:tcPr>
          <w:p w14:paraId="2D772344">
            <w:pPr>
              <w:jc w:val="center"/>
              <w:rPr>
                <w:rFonts w:ascii="仿宋_GB2312" w:hAnsi="仿宋_GB2312" w:eastAsia="仿宋_GB2312" w:cs="仿宋_GB2312"/>
                <w:color w:val="000000"/>
                <w:kern w:val="0"/>
                <w:sz w:val="24"/>
              </w:rPr>
            </w:pPr>
          </w:p>
        </w:tc>
        <w:tc>
          <w:tcPr>
            <w:tcW w:w="1120" w:type="dxa"/>
            <w:tcBorders>
              <w:top w:val="single" w:color="auto" w:sz="4" w:space="0"/>
              <w:left w:val="nil"/>
              <w:bottom w:val="single" w:color="auto" w:sz="4" w:space="0"/>
              <w:right w:val="single" w:color="auto" w:sz="4" w:space="0"/>
            </w:tcBorders>
            <w:vAlign w:val="center"/>
          </w:tcPr>
          <w:p w14:paraId="261A944F">
            <w:pPr>
              <w:jc w:val="center"/>
              <w:rPr>
                <w:rFonts w:ascii="仿宋_GB2312" w:hAnsi="仿宋_GB2312" w:eastAsia="仿宋_GB2312" w:cs="仿宋_GB2312"/>
                <w:color w:val="000000"/>
                <w:kern w:val="0"/>
                <w:sz w:val="24"/>
              </w:rPr>
            </w:pPr>
          </w:p>
        </w:tc>
        <w:tc>
          <w:tcPr>
            <w:tcW w:w="1118" w:type="dxa"/>
            <w:tcBorders>
              <w:top w:val="single" w:color="auto" w:sz="4" w:space="0"/>
              <w:left w:val="nil"/>
              <w:bottom w:val="single" w:color="auto" w:sz="4" w:space="0"/>
              <w:right w:val="single" w:color="auto" w:sz="4" w:space="0"/>
            </w:tcBorders>
            <w:vAlign w:val="center"/>
          </w:tcPr>
          <w:p w14:paraId="7F31EFE6">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平方米</w:t>
            </w:r>
          </w:p>
        </w:tc>
        <w:tc>
          <w:tcPr>
            <w:tcW w:w="1118" w:type="dxa"/>
            <w:tcBorders>
              <w:top w:val="single" w:color="auto" w:sz="4" w:space="0"/>
              <w:left w:val="nil"/>
              <w:bottom w:val="single" w:color="auto" w:sz="4" w:space="0"/>
              <w:right w:val="single" w:color="auto" w:sz="4" w:space="0"/>
            </w:tcBorders>
            <w:vAlign w:val="center"/>
          </w:tcPr>
          <w:p w14:paraId="5932600B">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20</w:t>
            </w:r>
          </w:p>
        </w:tc>
        <w:tc>
          <w:tcPr>
            <w:tcW w:w="2465" w:type="dxa"/>
            <w:tcBorders>
              <w:top w:val="single" w:color="auto" w:sz="4" w:space="0"/>
              <w:left w:val="single" w:color="auto" w:sz="4" w:space="0"/>
              <w:bottom w:val="single" w:color="auto" w:sz="4" w:space="0"/>
              <w:right w:val="single" w:color="auto" w:sz="4" w:space="0"/>
            </w:tcBorders>
            <w:vAlign w:val="center"/>
          </w:tcPr>
          <w:p w14:paraId="3BD39A8C">
            <w:pPr>
              <w:rPr>
                <w:rFonts w:ascii="仿宋_GB2312" w:hAnsi="仿宋_GB2312" w:eastAsia="仿宋_GB2312" w:cs="仿宋_GB2312"/>
                <w:sz w:val="24"/>
              </w:rPr>
            </w:pPr>
          </w:p>
        </w:tc>
      </w:tr>
    </w:tbl>
    <w:p w14:paraId="0DD76A69">
      <w:pP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注：1.表中未列的零星苗木、花卉，视其生长状况，参照以上标准补偿。</w:t>
      </w:r>
    </w:p>
    <w:p w14:paraId="7F7AA84E">
      <w:pPr>
        <w:widowControl/>
        <w:ind w:left="480"/>
        <w:textAlignment w:val="baseline"/>
        <w:rPr>
          <w:rFonts w:ascii="仿宋_GB2312" w:hAnsi="仿宋_GB2312" w:eastAsia="仿宋_GB2312" w:cs="仿宋_GB2312"/>
          <w:color w:val="000000"/>
          <w:sz w:val="24"/>
        </w:rPr>
      </w:pPr>
      <w:r>
        <w:rPr>
          <w:rFonts w:hint="eastAsia" w:ascii="仿宋_GB2312" w:hAnsi="仿宋_GB2312" w:eastAsia="仿宋_GB2312" w:cs="仿宋_GB2312"/>
          <w:color w:val="000000"/>
          <w:sz w:val="24"/>
        </w:rPr>
        <w:t>2.盆栽苗木花卉不予补偿。</w:t>
      </w:r>
    </w:p>
    <w:p w14:paraId="6DD65BA1">
      <w:pPr>
        <w:rPr>
          <w:rFonts w:ascii="仿宋_GB2312" w:hAnsi="仿宋_GB2312" w:eastAsia="仿宋_GB2312" w:cs="仿宋_GB2312"/>
          <w:color w:val="000000"/>
          <w:sz w:val="24"/>
        </w:rPr>
      </w:pPr>
    </w:p>
    <w:p w14:paraId="03A72AFF">
      <w:pPr>
        <w:spacing w:line="560" w:lineRule="exact"/>
        <w:rPr>
          <w:rFonts w:ascii="Times New Roman" w:hAnsi="Times New Roman" w:eastAsia="黑体" w:cs="Times New Roman"/>
          <w:bCs/>
          <w:color w:val="000000"/>
          <w:sz w:val="32"/>
          <w:szCs w:val="32"/>
        </w:rPr>
      </w:pPr>
      <w:r>
        <w:rPr>
          <w:rFonts w:hint="eastAsia" w:ascii="仿宋_GB2312" w:hAnsi="仿宋_GB2312" w:eastAsia="仿宋_GB2312" w:cs="仿宋_GB2312"/>
          <w:color w:val="000000"/>
          <w:sz w:val="24"/>
        </w:rPr>
        <w:br w:type="page"/>
      </w:r>
      <w:r>
        <w:rPr>
          <w:rFonts w:hint="eastAsia" w:ascii="黑体" w:hAnsi="黑体" w:eastAsia="黑体" w:cs="仿宋_GB2312"/>
          <w:bCs/>
          <w:color w:val="000000"/>
          <w:sz w:val="32"/>
          <w:szCs w:val="32"/>
        </w:rPr>
        <w:t>附</w:t>
      </w:r>
      <w:r>
        <w:rPr>
          <w:rFonts w:ascii="Times New Roman" w:hAnsi="黑体" w:eastAsia="黑体" w:cs="Times New Roman"/>
          <w:bCs/>
          <w:color w:val="000000"/>
          <w:sz w:val="32"/>
          <w:szCs w:val="32"/>
        </w:rPr>
        <w:t>件</w:t>
      </w:r>
      <w:r>
        <w:rPr>
          <w:rFonts w:ascii="Times New Roman" w:hAnsi="Times New Roman" w:eastAsia="黑体" w:cs="Times New Roman"/>
          <w:bCs/>
          <w:color w:val="000000"/>
          <w:sz w:val="32"/>
          <w:szCs w:val="32"/>
        </w:rPr>
        <w:t>6</w:t>
      </w:r>
    </w:p>
    <w:p w14:paraId="033104BB">
      <w:pPr>
        <w:spacing w:line="560" w:lineRule="exact"/>
        <w:rPr>
          <w:rFonts w:ascii="Times New Roman" w:hAnsi="Times New Roman" w:eastAsia="仿宋_GB2312" w:cs="Times New Roman"/>
          <w:bCs/>
          <w:color w:val="000000"/>
          <w:sz w:val="32"/>
          <w:szCs w:val="32"/>
        </w:rPr>
      </w:pPr>
    </w:p>
    <w:p w14:paraId="07B8DF09">
      <w:pPr>
        <w:spacing w:line="560" w:lineRule="exact"/>
        <w:ind w:firstLine="440" w:firstLineChars="100"/>
        <w:jc w:val="center"/>
        <w:rPr>
          <w:rFonts w:hint="eastAsia" w:ascii="Times New Roman" w:hAnsi="方正小标宋简体" w:eastAsia="方正小标宋简体" w:cs="Times New Roman"/>
          <w:bCs/>
          <w:color w:val="000000"/>
          <w:sz w:val="44"/>
          <w:szCs w:val="44"/>
        </w:rPr>
      </w:pPr>
      <w:r>
        <w:rPr>
          <w:rFonts w:ascii="Times New Roman" w:hAnsi="方正小标宋简体" w:eastAsia="方正小标宋简体" w:cs="Times New Roman"/>
          <w:bCs/>
          <w:color w:val="000000"/>
          <w:sz w:val="44"/>
          <w:szCs w:val="44"/>
        </w:rPr>
        <w:t>新晃侗族自治县集体土地上房屋征收</w:t>
      </w:r>
    </w:p>
    <w:p w14:paraId="3AA13590">
      <w:pPr>
        <w:spacing w:line="560" w:lineRule="exact"/>
        <w:ind w:firstLine="440" w:firstLineChars="100"/>
        <w:jc w:val="center"/>
        <w:rPr>
          <w:rFonts w:ascii="Times New Roman" w:hAnsi="Times New Roman" w:eastAsia="方正小标宋简体" w:cs="Times New Roman"/>
          <w:bCs/>
          <w:color w:val="000000"/>
          <w:sz w:val="44"/>
          <w:szCs w:val="44"/>
        </w:rPr>
      </w:pPr>
      <w:r>
        <w:rPr>
          <w:rFonts w:ascii="Times New Roman" w:hAnsi="方正小标宋简体" w:eastAsia="方正小标宋简体" w:cs="Times New Roman"/>
          <w:bCs/>
          <w:color w:val="000000"/>
          <w:sz w:val="44"/>
          <w:szCs w:val="44"/>
        </w:rPr>
        <w:t>补偿标准说明</w:t>
      </w:r>
    </w:p>
    <w:p w14:paraId="34513388">
      <w:pPr>
        <w:spacing w:line="560" w:lineRule="exact"/>
        <w:ind w:firstLine="640" w:firstLineChars="200"/>
        <w:rPr>
          <w:rFonts w:ascii="Times New Roman" w:hAnsi="Times New Roman" w:eastAsia="仿宋_GB2312" w:cs="Times New Roman"/>
          <w:color w:val="000000"/>
          <w:sz w:val="32"/>
          <w:szCs w:val="32"/>
        </w:rPr>
      </w:pPr>
    </w:p>
    <w:p w14:paraId="2582FB46">
      <w:pPr>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1.</w:t>
      </w:r>
      <w:r>
        <w:rPr>
          <w:rFonts w:ascii="Times New Roman" w:hAnsi="仿宋_GB2312" w:eastAsia="仿宋_GB2312" w:cs="Times New Roman"/>
          <w:color w:val="000000"/>
          <w:sz w:val="32"/>
          <w:szCs w:val="32"/>
        </w:rPr>
        <w:t>房屋层高的划分和测定方法：房屋的层高是指从底层地面到楼层板面的垂直高度，平房以室内地面到檐口滴水高度为准，前后有高低者取平均高度计算；楼房平屋面以室内地面至屋顶天沟地面檐口高度除以层数计算。坡屋面以檐口滴水高度除以层数计算。</w:t>
      </w:r>
    </w:p>
    <w:p w14:paraId="4687A61B">
      <w:pPr>
        <w:spacing w:line="560" w:lineRule="exact"/>
        <w:ind w:firstLine="640" w:firstLineChars="200"/>
        <w:rPr>
          <w:rFonts w:ascii="Times New Roman" w:hAnsi="Times New Roman" w:eastAsia="仿宋_GB2312" w:cs="Times New Roman"/>
          <w:color w:val="000000"/>
          <w:sz w:val="32"/>
          <w:szCs w:val="32"/>
        </w:rPr>
      </w:pPr>
      <w:r>
        <w:rPr>
          <w:rFonts w:ascii="Times New Roman" w:hAnsi="仿宋_GB2312" w:eastAsia="仿宋_GB2312" w:cs="Times New Roman"/>
          <w:color w:val="000000"/>
          <w:sz w:val="32"/>
          <w:szCs w:val="32"/>
        </w:rPr>
        <w:t>（</w:t>
      </w:r>
      <w:r>
        <w:rPr>
          <w:rFonts w:ascii="Times New Roman" w:hAnsi="Times New Roman" w:eastAsia="仿宋_GB2312" w:cs="Times New Roman"/>
          <w:color w:val="000000"/>
          <w:sz w:val="32"/>
          <w:szCs w:val="32"/>
        </w:rPr>
        <w:t>1</w:t>
      </w:r>
      <w:r>
        <w:rPr>
          <w:rFonts w:ascii="Times New Roman" w:hAnsi="仿宋_GB2312" w:eastAsia="仿宋_GB2312" w:cs="Times New Roman"/>
          <w:color w:val="000000"/>
          <w:sz w:val="32"/>
          <w:szCs w:val="32"/>
        </w:rPr>
        <w:t>）钢筋砼框架结构、排架结构层高的规定：底层的基本高度</w:t>
      </w:r>
      <w:r>
        <w:rPr>
          <w:rFonts w:ascii="Times New Roman" w:hAnsi="Times New Roman" w:eastAsia="仿宋_GB2312" w:cs="Times New Roman"/>
          <w:color w:val="000000"/>
          <w:sz w:val="32"/>
          <w:szCs w:val="32"/>
        </w:rPr>
        <w:t>3.3m</w:t>
      </w:r>
      <w:r>
        <w:rPr>
          <w:rFonts w:ascii="Times New Roman" w:hAnsi="仿宋_GB2312" w:eastAsia="仿宋_GB2312" w:cs="Times New Roman"/>
          <w:color w:val="000000"/>
          <w:sz w:val="32"/>
          <w:szCs w:val="32"/>
        </w:rPr>
        <w:t>，楼层高度</w:t>
      </w:r>
      <w:r>
        <w:rPr>
          <w:rFonts w:ascii="Times New Roman" w:hAnsi="Times New Roman" w:eastAsia="仿宋_GB2312" w:cs="Times New Roman"/>
          <w:color w:val="000000"/>
          <w:sz w:val="32"/>
          <w:szCs w:val="32"/>
        </w:rPr>
        <w:t>3m</w:t>
      </w:r>
      <w:r>
        <w:rPr>
          <w:rFonts w:ascii="Times New Roman" w:hAnsi="仿宋_GB2312" w:eastAsia="仿宋_GB2312" w:cs="Times New Roman"/>
          <w:color w:val="000000"/>
          <w:sz w:val="32"/>
          <w:szCs w:val="32"/>
        </w:rPr>
        <w:t>。</w:t>
      </w:r>
    </w:p>
    <w:p w14:paraId="1A157B30">
      <w:pPr>
        <w:spacing w:line="560" w:lineRule="exact"/>
        <w:ind w:firstLine="640" w:firstLineChars="200"/>
        <w:rPr>
          <w:rFonts w:ascii="Times New Roman" w:hAnsi="Times New Roman" w:eastAsia="仿宋_GB2312" w:cs="Times New Roman"/>
          <w:color w:val="000000"/>
          <w:sz w:val="32"/>
          <w:szCs w:val="32"/>
        </w:rPr>
      </w:pPr>
      <w:r>
        <w:rPr>
          <w:rFonts w:ascii="Times New Roman" w:hAnsi="仿宋_GB2312" w:eastAsia="仿宋_GB2312" w:cs="Times New Roman"/>
          <w:color w:val="000000"/>
          <w:sz w:val="32"/>
          <w:szCs w:val="32"/>
        </w:rPr>
        <w:t>（</w:t>
      </w:r>
      <w:r>
        <w:rPr>
          <w:rFonts w:ascii="Times New Roman" w:hAnsi="Times New Roman" w:eastAsia="仿宋_GB2312" w:cs="Times New Roman"/>
          <w:color w:val="000000"/>
          <w:sz w:val="32"/>
          <w:szCs w:val="32"/>
        </w:rPr>
        <w:t>2</w:t>
      </w:r>
      <w:r>
        <w:rPr>
          <w:rFonts w:ascii="Times New Roman" w:hAnsi="仿宋_GB2312" w:eastAsia="仿宋_GB2312" w:cs="Times New Roman"/>
          <w:color w:val="000000"/>
          <w:sz w:val="32"/>
          <w:szCs w:val="32"/>
        </w:rPr>
        <w:t>）砖混、砖木结构平房的基本高度为不低于</w:t>
      </w:r>
      <w:r>
        <w:rPr>
          <w:rFonts w:ascii="Times New Roman" w:hAnsi="Times New Roman" w:eastAsia="仿宋_GB2312" w:cs="Times New Roman"/>
          <w:color w:val="000000"/>
          <w:sz w:val="32"/>
          <w:szCs w:val="32"/>
        </w:rPr>
        <w:t>2.7m</w:t>
      </w:r>
      <w:r>
        <w:rPr>
          <w:rFonts w:ascii="Times New Roman" w:hAnsi="仿宋_GB2312" w:eastAsia="仿宋_GB2312" w:cs="Times New Roman"/>
          <w:color w:val="000000"/>
          <w:sz w:val="32"/>
          <w:szCs w:val="32"/>
        </w:rPr>
        <w:t>。</w:t>
      </w:r>
    </w:p>
    <w:p w14:paraId="3A0939DB">
      <w:pPr>
        <w:spacing w:line="560" w:lineRule="exact"/>
        <w:ind w:firstLine="640" w:firstLineChars="200"/>
        <w:rPr>
          <w:rFonts w:hint="eastAsia" w:ascii="Times New Roman" w:hAnsi="仿宋_GB2312" w:eastAsia="仿宋_GB2312" w:cs="Times New Roman"/>
          <w:color w:val="000000"/>
          <w:sz w:val="32"/>
          <w:szCs w:val="32"/>
          <w:lang w:eastAsia="zh-CN"/>
        </w:rPr>
      </w:pPr>
      <w:r>
        <w:rPr>
          <w:rFonts w:ascii="Times New Roman" w:hAnsi="仿宋_GB2312" w:eastAsia="仿宋_GB2312" w:cs="Times New Roman"/>
          <w:color w:val="000000"/>
          <w:sz w:val="32"/>
          <w:szCs w:val="32"/>
        </w:rPr>
        <w:t>（</w:t>
      </w:r>
      <w:r>
        <w:rPr>
          <w:rFonts w:ascii="Times New Roman" w:hAnsi="Times New Roman" w:eastAsia="仿宋_GB2312" w:cs="Times New Roman"/>
          <w:color w:val="000000"/>
          <w:sz w:val="32"/>
          <w:szCs w:val="32"/>
        </w:rPr>
        <w:t>3</w:t>
      </w:r>
      <w:r>
        <w:rPr>
          <w:rFonts w:ascii="Times New Roman" w:hAnsi="仿宋_GB2312" w:eastAsia="仿宋_GB2312" w:cs="Times New Roman"/>
          <w:color w:val="000000"/>
          <w:sz w:val="32"/>
          <w:szCs w:val="32"/>
        </w:rPr>
        <w:t>）简易结构的房屋、构筑物基本层高为</w:t>
      </w:r>
      <w:r>
        <w:rPr>
          <w:rFonts w:ascii="Times New Roman" w:hAnsi="Times New Roman" w:eastAsia="仿宋_GB2312" w:cs="Times New Roman"/>
          <w:color w:val="000000"/>
          <w:sz w:val="32"/>
          <w:szCs w:val="32"/>
        </w:rPr>
        <w:t>2.2m</w:t>
      </w:r>
      <w:r>
        <w:rPr>
          <w:rFonts w:hint="eastAsia" w:ascii="Times New Roman" w:hAnsi="Times New Roman" w:eastAsia="仿宋_GB2312" w:cs="Times New Roman"/>
          <w:color w:val="000000"/>
          <w:sz w:val="32"/>
          <w:szCs w:val="32"/>
          <w:lang w:val="en-US" w:eastAsia="zh-CN"/>
        </w:rPr>
        <w:t>及</w:t>
      </w:r>
      <w:r>
        <w:rPr>
          <w:rFonts w:ascii="Times New Roman" w:hAnsi="仿宋_GB2312" w:eastAsia="仿宋_GB2312" w:cs="Times New Roman"/>
          <w:color w:val="000000"/>
          <w:sz w:val="32"/>
          <w:szCs w:val="32"/>
        </w:rPr>
        <w:t>以上</w:t>
      </w:r>
      <w:r>
        <w:rPr>
          <w:rFonts w:hint="eastAsia" w:ascii="Times New Roman" w:hAnsi="仿宋_GB2312" w:eastAsia="仿宋_GB2312" w:cs="Times New Roman"/>
          <w:color w:val="000000"/>
          <w:sz w:val="32"/>
          <w:szCs w:val="32"/>
          <w:lang w:eastAsia="zh-CN"/>
        </w:rPr>
        <w:t>。</w:t>
      </w:r>
    </w:p>
    <w:p w14:paraId="02A0477B">
      <w:pPr>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2.</w:t>
      </w:r>
      <w:r>
        <w:rPr>
          <w:rFonts w:ascii="Times New Roman" w:hAnsi="仿宋_GB2312" w:eastAsia="仿宋_GB2312" w:cs="Times New Roman"/>
          <w:color w:val="000000"/>
          <w:sz w:val="32"/>
          <w:szCs w:val="32"/>
        </w:rPr>
        <w:t>房屋结构类型的划分：主要以基础类型、主体结构（包括墙体、梁柱、楼板、屋面等）为划分依据，不同的结构类型分别套用不同的补偿标准。</w:t>
      </w:r>
    </w:p>
    <w:p w14:paraId="06C118F5">
      <w:pPr>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3.</w:t>
      </w:r>
      <w:r>
        <w:rPr>
          <w:rFonts w:ascii="Times New Roman" w:hAnsi="仿宋_GB2312" w:eastAsia="仿宋_GB2312" w:cs="Times New Roman"/>
          <w:color w:val="000000"/>
          <w:sz w:val="32"/>
          <w:szCs w:val="32"/>
        </w:rPr>
        <w:t>房屋面积计算：建筑物的建筑面积以有效合法证件为依据，按各层建筑面积之和计算。首层建筑面积按外墙勒脚以上结构的外围水平面积计算，二层及二层以上按外墙结构水平面积计算；突出房屋高度在</w:t>
      </w:r>
      <w:r>
        <w:rPr>
          <w:rFonts w:ascii="Times New Roman" w:hAnsi="Times New Roman" w:eastAsia="仿宋_GB2312" w:cs="Times New Roman"/>
          <w:color w:val="000000"/>
          <w:sz w:val="32"/>
          <w:szCs w:val="32"/>
        </w:rPr>
        <w:t>2.2m</w:t>
      </w:r>
      <w:r>
        <w:rPr>
          <w:rFonts w:ascii="Times New Roman" w:hAnsi="仿宋_GB2312" w:eastAsia="仿宋_GB2312" w:cs="Times New Roman"/>
          <w:color w:val="000000"/>
          <w:sz w:val="32"/>
          <w:szCs w:val="32"/>
        </w:rPr>
        <w:t>以上的楼梯间、屋顶水箱分别计算建筑面积。无围护结构阳台，挑走廊按其水平面积的一半计算。山墙出檐、悬挑雨篷不计算建筑面积。建筑物层高低于</w:t>
      </w:r>
      <w:r>
        <w:rPr>
          <w:rFonts w:ascii="Times New Roman" w:hAnsi="Times New Roman" w:eastAsia="仿宋_GB2312" w:cs="Times New Roman"/>
          <w:color w:val="000000"/>
          <w:sz w:val="32"/>
          <w:szCs w:val="32"/>
        </w:rPr>
        <w:t>2.2m</w:t>
      </w:r>
      <w:r>
        <w:rPr>
          <w:rFonts w:ascii="Times New Roman" w:hAnsi="仿宋_GB2312" w:eastAsia="仿宋_GB2312" w:cs="Times New Roman"/>
          <w:color w:val="000000"/>
          <w:sz w:val="32"/>
          <w:szCs w:val="32"/>
        </w:rPr>
        <w:t>（不含</w:t>
      </w:r>
      <w:r>
        <w:rPr>
          <w:rFonts w:ascii="Times New Roman" w:hAnsi="Times New Roman" w:eastAsia="仿宋_GB2312" w:cs="Times New Roman"/>
          <w:color w:val="000000"/>
          <w:sz w:val="32"/>
          <w:szCs w:val="32"/>
        </w:rPr>
        <w:t>2.2m</w:t>
      </w:r>
      <w:r>
        <w:rPr>
          <w:rFonts w:ascii="Times New Roman" w:hAnsi="仿宋_GB2312" w:eastAsia="仿宋_GB2312" w:cs="Times New Roman"/>
          <w:color w:val="000000"/>
          <w:sz w:val="32"/>
          <w:szCs w:val="32"/>
        </w:rPr>
        <w:t>）的不计算建筑面积，适当予以补偿。</w:t>
      </w:r>
    </w:p>
    <w:p w14:paraId="40C28E49">
      <w:pPr>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4.</w:t>
      </w:r>
      <w:r>
        <w:rPr>
          <w:rFonts w:ascii="Times New Roman" w:hAnsi="仿宋_GB2312" w:eastAsia="仿宋_GB2312" w:cs="Times New Roman"/>
          <w:color w:val="000000"/>
          <w:sz w:val="32"/>
          <w:szCs w:val="32"/>
        </w:rPr>
        <w:t>集中联建安置、分散迁建安置补偿包括房屋主体建（构）筑物补偿和房屋拆除、旧料堆码、材料运输、房屋四周排水明暗沟、散水、天沟、雨篷、踏步、室内水电及基础的补偿，不包括</w:t>
      </w:r>
      <w:r>
        <w:rPr>
          <w:rFonts w:ascii="Times New Roman" w:hAnsi="Times New Roman" w:eastAsia="仿宋_GB2312" w:cs="Times New Roman"/>
          <w:color w:val="000000"/>
          <w:sz w:val="32"/>
          <w:szCs w:val="32"/>
        </w:rPr>
        <w:t>“</w:t>
      </w:r>
      <w:r>
        <w:rPr>
          <w:rFonts w:ascii="Times New Roman" w:hAnsi="仿宋_GB2312" w:eastAsia="仿宋_GB2312" w:cs="Times New Roman"/>
          <w:color w:val="000000"/>
          <w:sz w:val="32"/>
          <w:szCs w:val="32"/>
        </w:rPr>
        <w:t>三通一平</w:t>
      </w:r>
      <w:r>
        <w:rPr>
          <w:rFonts w:ascii="Times New Roman" w:hAnsi="Times New Roman" w:eastAsia="仿宋_GB2312" w:cs="Times New Roman"/>
          <w:color w:val="000000"/>
          <w:sz w:val="32"/>
          <w:szCs w:val="32"/>
        </w:rPr>
        <w:t>”</w:t>
      </w:r>
      <w:r>
        <w:rPr>
          <w:rFonts w:ascii="Times New Roman" w:hAnsi="仿宋_GB2312" w:eastAsia="仿宋_GB2312" w:cs="Times New Roman"/>
          <w:color w:val="000000"/>
          <w:sz w:val="32"/>
          <w:szCs w:val="32"/>
        </w:rPr>
        <w:t>和被征收的宅基地补偿。</w:t>
      </w:r>
    </w:p>
    <w:p w14:paraId="6B1C6659">
      <w:pPr>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5.</w:t>
      </w:r>
      <w:r>
        <w:rPr>
          <w:rFonts w:ascii="Times New Roman" w:hAnsi="仿宋_GB2312" w:eastAsia="仿宋_GB2312" w:cs="Times New Roman"/>
          <w:color w:val="000000"/>
          <w:sz w:val="32"/>
          <w:szCs w:val="32"/>
        </w:rPr>
        <w:t>砖混结构的屋顶隔热层、架空层按平均高度计算，</w:t>
      </w:r>
      <w:r>
        <w:rPr>
          <w:rFonts w:ascii="Times New Roman" w:hAnsi="Times New Roman" w:eastAsia="仿宋_GB2312" w:cs="Times New Roman"/>
          <w:color w:val="000000"/>
          <w:sz w:val="32"/>
          <w:szCs w:val="32"/>
        </w:rPr>
        <w:t>0.5m</w:t>
      </w:r>
      <w:r>
        <w:rPr>
          <w:rFonts w:hint="eastAsia" w:ascii="Times New Roman" w:hAnsi="Times New Roman" w:eastAsia="仿宋_GB2312" w:cs="Times New Roman"/>
          <w:color w:val="000000"/>
          <w:sz w:val="32"/>
          <w:szCs w:val="32"/>
          <w:lang w:val="en-US" w:eastAsia="zh-CN"/>
        </w:rPr>
        <w:t>及</w:t>
      </w:r>
      <w:r>
        <w:rPr>
          <w:rFonts w:ascii="Times New Roman" w:hAnsi="仿宋_GB2312" w:eastAsia="仿宋_GB2312" w:cs="Times New Roman"/>
          <w:color w:val="000000"/>
          <w:sz w:val="32"/>
          <w:szCs w:val="32"/>
        </w:rPr>
        <w:t>以下的不计算补偿，高度超过</w:t>
      </w:r>
      <w:r>
        <w:rPr>
          <w:rFonts w:ascii="Times New Roman" w:hAnsi="Times New Roman" w:eastAsia="仿宋_GB2312" w:cs="Times New Roman"/>
          <w:color w:val="000000"/>
          <w:sz w:val="32"/>
          <w:szCs w:val="32"/>
        </w:rPr>
        <w:t>0.5m</w:t>
      </w:r>
      <w:r>
        <w:rPr>
          <w:rFonts w:ascii="Times New Roman" w:hAnsi="仿宋_GB2312" w:eastAsia="仿宋_GB2312" w:cs="Times New Roman"/>
          <w:color w:val="000000"/>
          <w:sz w:val="32"/>
          <w:szCs w:val="32"/>
        </w:rPr>
        <w:t>的，每超过</w:t>
      </w:r>
      <w:r>
        <w:rPr>
          <w:rFonts w:ascii="Times New Roman" w:hAnsi="Times New Roman" w:eastAsia="仿宋_GB2312" w:cs="Times New Roman"/>
          <w:color w:val="000000"/>
          <w:sz w:val="32"/>
          <w:szCs w:val="32"/>
        </w:rPr>
        <w:t>0.1m</w:t>
      </w:r>
      <w:r>
        <w:rPr>
          <w:rFonts w:ascii="Times New Roman" w:hAnsi="仿宋_GB2312" w:eastAsia="仿宋_GB2312" w:cs="Times New Roman"/>
          <w:color w:val="000000"/>
          <w:sz w:val="32"/>
          <w:szCs w:val="32"/>
        </w:rPr>
        <w:t>按面积每平方米补助</w:t>
      </w:r>
      <w:r>
        <w:rPr>
          <w:rFonts w:ascii="Times New Roman" w:hAnsi="Times New Roman" w:eastAsia="仿宋_GB2312" w:cs="Times New Roman"/>
          <w:color w:val="000000"/>
          <w:sz w:val="32"/>
          <w:szCs w:val="32"/>
        </w:rPr>
        <w:t>10</w:t>
      </w:r>
      <w:r>
        <w:rPr>
          <w:rFonts w:ascii="Times New Roman" w:hAnsi="仿宋_GB2312" w:eastAsia="仿宋_GB2312" w:cs="Times New Roman"/>
          <w:color w:val="000000"/>
          <w:sz w:val="32"/>
          <w:szCs w:val="32"/>
        </w:rPr>
        <w:t>元，补偿高度最高不超过</w:t>
      </w:r>
      <w:r>
        <w:rPr>
          <w:rFonts w:ascii="Times New Roman" w:hAnsi="Times New Roman" w:eastAsia="仿宋_GB2312" w:cs="Times New Roman"/>
          <w:color w:val="000000"/>
          <w:sz w:val="32"/>
          <w:szCs w:val="32"/>
        </w:rPr>
        <w:t>1.5m</w:t>
      </w:r>
      <w:r>
        <w:rPr>
          <w:rFonts w:ascii="Times New Roman" w:hAnsi="仿宋_GB2312" w:eastAsia="仿宋_GB2312" w:cs="Times New Roman"/>
          <w:color w:val="000000"/>
          <w:sz w:val="32"/>
          <w:szCs w:val="32"/>
        </w:rPr>
        <w:t>，超过</w:t>
      </w:r>
      <w:r>
        <w:rPr>
          <w:rFonts w:ascii="Times New Roman" w:hAnsi="Times New Roman" w:eastAsia="仿宋_GB2312" w:cs="Times New Roman"/>
          <w:color w:val="000000"/>
          <w:sz w:val="32"/>
          <w:szCs w:val="32"/>
        </w:rPr>
        <w:t>1.5m</w:t>
      </w:r>
      <w:r>
        <w:rPr>
          <w:rFonts w:ascii="Times New Roman" w:hAnsi="仿宋_GB2312" w:eastAsia="仿宋_GB2312" w:cs="Times New Roman"/>
          <w:color w:val="000000"/>
          <w:sz w:val="32"/>
          <w:szCs w:val="32"/>
        </w:rPr>
        <w:t>的按</w:t>
      </w:r>
      <w:r>
        <w:rPr>
          <w:rFonts w:ascii="Times New Roman" w:hAnsi="Times New Roman" w:eastAsia="仿宋_GB2312" w:cs="Times New Roman"/>
          <w:color w:val="000000"/>
          <w:sz w:val="32"/>
          <w:szCs w:val="32"/>
        </w:rPr>
        <w:t>1.5m</w:t>
      </w:r>
      <w:r>
        <w:rPr>
          <w:rFonts w:ascii="Times New Roman" w:hAnsi="仿宋_GB2312" w:eastAsia="仿宋_GB2312" w:cs="Times New Roman"/>
          <w:color w:val="000000"/>
          <w:sz w:val="32"/>
          <w:szCs w:val="32"/>
        </w:rPr>
        <w:t>计算。</w:t>
      </w:r>
    </w:p>
    <w:p w14:paraId="50E79529">
      <w:pPr>
        <w:spacing w:line="560" w:lineRule="exact"/>
        <w:ind w:firstLine="640" w:firstLineChars="200"/>
        <w:rPr>
          <w:rFonts w:ascii="仿宋_GB2312" w:hAnsi="仿宋_GB2312" w:eastAsia="仿宋_GB2312" w:cs="仿宋_GB2312"/>
          <w:color w:val="000000"/>
          <w:sz w:val="32"/>
          <w:szCs w:val="32"/>
        </w:rPr>
      </w:pPr>
      <w:r>
        <w:rPr>
          <w:rFonts w:ascii="Times New Roman" w:hAnsi="Times New Roman" w:eastAsia="仿宋_GB2312" w:cs="Times New Roman"/>
          <w:color w:val="000000"/>
          <w:sz w:val="32"/>
          <w:szCs w:val="32"/>
        </w:rPr>
        <w:t>6.</w:t>
      </w:r>
      <w:r>
        <w:rPr>
          <w:rFonts w:ascii="Times New Roman" w:hAnsi="仿宋_GB2312" w:eastAsia="仿宋_GB2312" w:cs="Times New Roman"/>
          <w:color w:val="000000"/>
          <w:sz w:val="32"/>
          <w:szCs w:val="32"/>
        </w:rPr>
        <w:t>各类别房屋所确定的补偿标准，以建成的房屋成品为计算标准，不包括</w:t>
      </w:r>
      <w:r>
        <w:rPr>
          <w:rFonts w:ascii="Times New Roman" w:hAnsi="仿宋_GB2312" w:eastAsia="仿宋_GB2312" w:cs="Times New Roman"/>
          <w:sz w:val="32"/>
          <w:szCs w:val="32"/>
        </w:rPr>
        <w:t>室内</w:t>
      </w:r>
      <w:r>
        <w:rPr>
          <w:rFonts w:ascii="Times New Roman" w:hAnsi="仿宋_GB2312" w:eastAsia="仿宋_GB2312" w:cs="Times New Roman"/>
          <w:color w:val="000000"/>
          <w:sz w:val="32"/>
          <w:szCs w:val="32"/>
        </w:rPr>
        <w:t>装</w:t>
      </w:r>
      <w:r>
        <w:rPr>
          <w:rFonts w:ascii="Times New Roman" w:hAnsi="仿宋_GB2312" w:eastAsia="仿宋_GB2312" w:cs="Times New Roman"/>
          <w:spacing w:val="-4"/>
          <w:sz w:val="32"/>
          <w:szCs w:val="32"/>
        </w:rPr>
        <w:t>修（饰）</w:t>
      </w:r>
      <w:r>
        <w:rPr>
          <w:rFonts w:ascii="Times New Roman" w:hAnsi="仿宋_GB2312" w:eastAsia="仿宋_GB2312" w:cs="Times New Roman"/>
          <w:color w:val="000000"/>
          <w:sz w:val="32"/>
          <w:szCs w:val="32"/>
        </w:rPr>
        <w:t>补偿标准</w:t>
      </w:r>
      <w:r>
        <w:rPr>
          <w:rFonts w:hint="eastAsia" w:ascii="仿宋_GB2312" w:hAnsi="仿宋_GB2312" w:eastAsia="仿宋_GB2312" w:cs="仿宋_GB2312"/>
          <w:color w:val="000000"/>
          <w:sz w:val="32"/>
          <w:szCs w:val="32"/>
        </w:rPr>
        <w:t>。</w:t>
      </w:r>
    </w:p>
    <w:p w14:paraId="7946E204">
      <w:pPr>
        <w:ind w:firstLine="640" w:firstLineChars="200"/>
        <w:rPr>
          <w:rFonts w:ascii="仿宋_GB2312" w:hAnsi="仿宋_GB2312" w:eastAsia="仿宋_GB2312" w:cs="仿宋_GB2312"/>
          <w:strike/>
          <w:color w:val="C00000"/>
          <w:sz w:val="32"/>
          <w:szCs w:val="32"/>
        </w:rPr>
      </w:pPr>
    </w:p>
    <w:p w14:paraId="16E0B8AD">
      <w:pPr>
        <w:spacing w:line="560" w:lineRule="exact"/>
        <w:rPr>
          <w:rFonts w:ascii="黑体" w:hAnsi="黑体" w:eastAsia="黑体" w:cs="仿宋_GB2312"/>
          <w:bCs/>
          <w:color w:val="000000"/>
          <w:sz w:val="32"/>
          <w:szCs w:val="32"/>
        </w:rPr>
      </w:pPr>
      <w:r>
        <w:rPr>
          <w:color w:val="000000"/>
          <w:sz w:val="24"/>
        </w:rPr>
        <w:br w:type="page"/>
      </w:r>
      <w:r>
        <w:rPr>
          <w:rFonts w:hint="eastAsia" w:ascii="黑体" w:hAnsi="黑体" w:eastAsia="黑体" w:cs="仿宋_GB2312"/>
          <w:bCs/>
          <w:color w:val="000000"/>
          <w:sz w:val="32"/>
          <w:szCs w:val="32"/>
        </w:rPr>
        <w:t>附件7</w:t>
      </w:r>
    </w:p>
    <w:p w14:paraId="27BB386E">
      <w:pPr>
        <w:spacing w:line="560" w:lineRule="exact"/>
        <w:rPr>
          <w:rFonts w:ascii="仿宋_GB2312" w:hAnsi="仿宋_GB2312" w:eastAsia="仿宋_GB2312" w:cs="仿宋_GB2312"/>
          <w:bCs/>
          <w:color w:val="000000"/>
          <w:sz w:val="32"/>
          <w:szCs w:val="32"/>
        </w:rPr>
      </w:pPr>
    </w:p>
    <w:p w14:paraId="46C50DB0">
      <w:pPr>
        <w:spacing w:line="560" w:lineRule="exact"/>
        <w:jc w:val="center"/>
        <w:rPr>
          <w:rFonts w:ascii="方正小标宋简体" w:hAnsi="方正小标宋简体" w:eastAsia="方正小标宋简体" w:cs="方正小标宋简体"/>
          <w:bCs/>
          <w:color w:val="000000"/>
          <w:kern w:val="0"/>
          <w:sz w:val="44"/>
          <w:szCs w:val="44"/>
        </w:rPr>
      </w:pPr>
      <w:r>
        <w:rPr>
          <w:rFonts w:hint="eastAsia" w:ascii="方正小标宋简体" w:hAnsi="方正小标宋简体" w:eastAsia="方正小标宋简体" w:cs="方正小标宋简体"/>
          <w:bCs/>
          <w:color w:val="000000"/>
          <w:kern w:val="0"/>
          <w:sz w:val="44"/>
          <w:szCs w:val="44"/>
        </w:rPr>
        <w:t>新晃侗族自治县集体土地上房屋征收补偿标准</w:t>
      </w:r>
    </w:p>
    <w:p w14:paraId="11C9FFFA">
      <w:pPr>
        <w:jc w:val="right"/>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（单位：元/m</w:t>
      </w:r>
      <w:r>
        <w:rPr>
          <w:rFonts w:hint="eastAsia" w:ascii="仿宋_GB2312" w:hAnsi="仿宋_GB2312" w:eastAsia="仿宋_GB2312" w:cs="仿宋_GB2312"/>
          <w:color w:val="000000"/>
          <w:kern w:val="0"/>
          <w:szCs w:val="21"/>
          <w:vertAlign w:val="superscript"/>
        </w:rPr>
        <w:t>2</w:t>
      </w:r>
      <w:r>
        <w:rPr>
          <w:rFonts w:hint="eastAsia" w:ascii="仿宋_GB2312" w:hAnsi="仿宋_GB2312" w:eastAsia="仿宋_GB2312" w:cs="仿宋_GB2312"/>
          <w:color w:val="000000"/>
          <w:kern w:val="0"/>
          <w:szCs w:val="21"/>
        </w:rPr>
        <w:t>）</w:t>
      </w:r>
    </w:p>
    <w:tbl>
      <w:tblPr>
        <w:tblStyle w:val="18"/>
        <w:tblW w:w="9178" w:type="dxa"/>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108" w:type="dxa"/>
          <w:bottom w:w="0" w:type="dxa"/>
          <w:right w:w="108" w:type="dxa"/>
        </w:tblCellMar>
      </w:tblPr>
      <w:tblGrid>
        <w:gridCol w:w="698"/>
        <w:gridCol w:w="684"/>
        <w:gridCol w:w="786"/>
        <w:gridCol w:w="715"/>
        <w:gridCol w:w="712"/>
        <w:gridCol w:w="5583"/>
      </w:tblGrid>
      <w:tr w14:paraId="43DB0B5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trHeight w:val="405" w:hRule="atLeast"/>
          <w:jc w:val="center"/>
        </w:trPr>
        <w:tc>
          <w:tcPr>
            <w:tcW w:w="1382" w:type="dxa"/>
            <w:gridSpan w:val="2"/>
            <w:vMerge w:val="restart"/>
            <w:tcBorders>
              <w:top w:val="single" w:color="auto" w:sz="4" w:space="0"/>
              <w:left w:val="single" w:color="auto" w:sz="4" w:space="0"/>
              <w:right w:val="single" w:color="auto" w:sz="4" w:space="0"/>
            </w:tcBorders>
            <w:vAlign w:val="center"/>
          </w:tcPr>
          <w:p w14:paraId="2A4F5210">
            <w:pPr>
              <w:spacing w:line="260" w:lineRule="exact"/>
              <w:jc w:val="center"/>
              <w:rPr>
                <w:rFonts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房屋类别</w:t>
            </w:r>
          </w:p>
        </w:tc>
        <w:tc>
          <w:tcPr>
            <w:tcW w:w="786" w:type="dxa"/>
            <w:vMerge w:val="restart"/>
            <w:tcBorders>
              <w:top w:val="single" w:color="auto" w:sz="4" w:space="0"/>
              <w:left w:val="nil"/>
              <w:right w:val="single" w:color="auto" w:sz="4" w:space="0"/>
            </w:tcBorders>
            <w:vAlign w:val="center"/>
          </w:tcPr>
          <w:p w14:paraId="2BB0F3DC">
            <w:pPr>
              <w:spacing w:line="260" w:lineRule="exact"/>
              <w:rPr>
                <w:rFonts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征收</w:t>
            </w:r>
          </w:p>
          <w:p w14:paraId="3DC2FB88">
            <w:pPr>
              <w:spacing w:line="260" w:lineRule="exact"/>
              <w:rPr>
                <w:rFonts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补偿价</w:t>
            </w:r>
          </w:p>
        </w:tc>
        <w:tc>
          <w:tcPr>
            <w:tcW w:w="1427" w:type="dxa"/>
            <w:gridSpan w:val="2"/>
            <w:tcBorders>
              <w:top w:val="single" w:color="auto" w:sz="4" w:space="0"/>
              <w:left w:val="single" w:color="auto" w:sz="4" w:space="0"/>
              <w:bottom w:val="single" w:color="auto" w:sz="4" w:space="0"/>
              <w:right w:val="single" w:color="auto" w:sz="4" w:space="0"/>
            </w:tcBorders>
            <w:vAlign w:val="center"/>
          </w:tcPr>
          <w:p w14:paraId="11DC197E">
            <w:pPr>
              <w:spacing w:line="260" w:lineRule="exact"/>
              <w:rPr>
                <w:rFonts w:ascii="仿宋_GB2312" w:hAnsi="仿宋_GB2312" w:eastAsia="仿宋_GB2312" w:cs="仿宋_GB2312"/>
                <w:color w:val="000000"/>
                <w:kern w:val="0"/>
                <w:sz w:val="20"/>
                <w:szCs w:val="20"/>
              </w:rPr>
            </w:pPr>
            <w:r>
              <w:rPr>
                <w:rFonts w:hint="eastAsia" w:ascii="仿宋_GB2312" w:hAnsi="仿宋_GB2312" w:eastAsia="仿宋_GB2312" w:cs="仿宋_GB2312"/>
              </w:rPr>
              <w:t>成新折算（年）</w:t>
            </w:r>
          </w:p>
        </w:tc>
        <w:tc>
          <w:tcPr>
            <w:tcW w:w="5583" w:type="dxa"/>
            <w:vMerge w:val="restart"/>
            <w:tcBorders>
              <w:top w:val="single" w:color="auto" w:sz="4" w:space="0"/>
              <w:left w:val="nil"/>
              <w:right w:val="single" w:color="auto" w:sz="4" w:space="0"/>
            </w:tcBorders>
            <w:vAlign w:val="center"/>
          </w:tcPr>
          <w:p w14:paraId="56303B3B">
            <w:pPr>
              <w:spacing w:line="260" w:lineRule="exact"/>
              <w:jc w:val="center"/>
              <w:rPr>
                <w:rFonts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主要特征</w:t>
            </w:r>
          </w:p>
        </w:tc>
      </w:tr>
      <w:tr w14:paraId="6C892A7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trHeight w:val="253" w:hRule="atLeast"/>
          <w:jc w:val="center"/>
        </w:trPr>
        <w:tc>
          <w:tcPr>
            <w:tcW w:w="1382" w:type="dxa"/>
            <w:gridSpan w:val="2"/>
            <w:vMerge w:val="continue"/>
            <w:tcBorders>
              <w:left w:val="single" w:color="auto" w:sz="4" w:space="0"/>
              <w:bottom w:val="single" w:color="auto" w:sz="4" w:space="0"/>
              <w:right w:val="single" w:color="auto" w:sz="4" w:space="0"/>
            </w:tcBorders>
            <w:vAlign w:val="center"/>
          </w:tcPr>
          <w:p w14:paraId="0E2E5C5E">
            <w:pPr>
              <w:rPr>
                <w:rFonts w:ascii="仿宋_GB2312" w:hAnsi="仿宋_GB2312" w:eastAsia="仿宋_GB2312" w:cs="仿宋_GB2312"/>
              </w:rPr>
            </w:pPr>
          </w:p>
        </w:tc>
        <w:tc>
          <w:tcPr>
            <w:tcW w:w="786" w:type="dxa"/>
            <w:vMerge w:val="continue"/>
            <w:tcBorders>
              <w:left w:val="nil"/>
              <w:bottom w:val="single" w:color="auto" w:sz="4" w:space="0"/>
              <w:right w:val="single" w:color="auto" w:sz="4" w:space="0"/>
            </w:tcBorders>
            <w:vAlign w:val="center"/>
          </w:tcPr>
          <w:p w14:paraId="2B93F68F">
            <w:pPr>
              <w:rPr>
                <w:rFonts w:ascii="仿宋_GB2312" w:hAnsi="仿宋_GB2312" w:eastAsia="仿宋_GB2312" w:cs="仿宋_GB2312"/>
              </w:rPr>
            </w:pPr>
          </w:p>
        </w:tc>
        <w:tc>
          <w:tcPr>
            <w:tcW w:w="715" w:type="dxa"/>
            <w:tcBorders>
              <w:top w:val="single" w:color="auto" w:sz="4" w:space="0"/>
              <w:left w:val="single" w:color="auto" w:sz="4" w:space="0"/>
              <w:bottom w:val="single" w:color="auto" w:sz="4" w:space="0"/>
              <w:right w:val="single" w:color="auto" w:sz="4" w:space="0"/>
            </w:tcBorders>
            <w:vAlign w:val="center"/>
          </w:tcPr>
          <w:p w14:paraId="7EFD6B26">
            <w:pPr>
              <w:spacing w:line="240" w:lineRule="exact"/>
              <w:rPr>
                <w:rFonts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2"/>
              </w:rPr>
              <w:t>﹤5</w:t>
            </w:r>
          </w:p>
        </w:tc>
        <w:tc>
          <w:tcPr>
            <w:tcW w:w="712" w:type="dxa"/>
            <w:tcBorders>
              <w:top w:val="single" w:color="auto" w:sz="4" w:space="0"/>
              <w:left w:val="single" w:color="auto" w:sz="4" w:space="0"/>
              <w:bottom w:val="single" w:color="auto" w:sz="4" w:space="0"/>
              <w:right w:val="single" w:color="auto" w:sz="4" w:space="0"/>
            </w:tcBorders>
            <w:vAlign w:val="center"/>
          </w:tcPr>
          <w:p w14:paraId="61737D26">
            <w:pPr>
              <w:spacing w:line="240" w:lineRule="exact"/>
              <w:rPr>
                <w:rFonts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2"/>
              </w:rPr>
              <w:t>﹥5</w:t>
            </w:r>
          </w:p>
        </w:tc>
        <w:tc>
          <w:tcPr>
            <w:tcW w:w="5583" w:type="dxa"/>
            <w:vMerge w:val="continue"/>
            <w:tcBorders>
              <w:left w:val="nil"/>
              <w:bottom w:val="single" w:color="auto" w:sz="4" w:space="0"/>
              <w:right w:val="single" w:color="auto" w:sz="4" w:space="0"/>
            </w:tcBorders>
            <w:vAlign w:val="center"/>
          </w:tcPr>
          <w:p w14:paraId="182B400E">
            <w:pPr>
              <w:rPr>
                <w:rFonts w:ascii="仿宋_GB2312" w:hAnsi="仿宋_GB2312" w:eastAsia="仿宋_GB2312" w:cs="仿宋_GB2312"/>
              </w:rPr>
            </w:pPr>
          </w:p>
        </w:tc>
      </w:tr>
      <w:tr w14:paraId="44D6BEB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trHeight w:val="1566" w:hRule="atLeast"/>
          <w:jc w:val="center"/>
        </w:trPr>
        <w:tc>
          <w:tcPr>
            <w:tcW w:w="1382" w:type="dxa"/>
            <w:gridSpan w:val="2"/>
            <w:tcBorders>
              <w:top w:val="single" w:color="auto" w:sz="4" w:space="0"/>
              <w:left w:val="single" w:color="auto" w:sz="4" w:space="0"/>
              <w:bottom w:val="single" w:color="auto" w:sz="4" w:space="0"/>
              <w:right w:val="single" w:color="auto" w:sz="4" w:space="0"/>
            </w:tcBorders>
            <w:vAlign w:val="center"/>
          </w:tcPr>
          <w:p w14:paraId="15609536">
            <w:pPr>
              <w:spacing w:line="240" w:lineRule="exact"/>
              <w:jc w:val="center"/>
              <w:rPr>
                <w:rFonts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钢筋砼框架</w:t>
            </w:r>
          </w:p>
          <w:p w14:paraId="0C01D0BD">
            <w:pPr>
              <w:spacing w:line="240" w:lineRule="exact"/>
              <w:jc w:val="center"/>
              <w:rPr>
                <w:rFonts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结构</w:t>
            </w:r>
          </w:p>
        </w:tc>
        <w:tc>
          <w:tcPr>
            <w:tcW w:w="786" w:type="dxa"/>
            <w:tcBorders>
              <w:top w:val="nil"/>
              <w:left w:val="nil"/>
              <w:bottom w:val="single" w:color="auto" w:sz="4" w:space="0"/>
              <w:right w:val="single" w:color="auto" w:sz="4" w:space="0"/>
            </w:tcBorders>
            <w:vAlign w:val="center"/>
          </w:tcPr>
          <w:p w14:paraId="639CEB1C">
            <w:pPr>
              <w:spacing w:line="240" w:lineRule="exact"/>
              <w:rPr>
                <w:rFonts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1100</w:t>
            </w:r>
          </w:p>
        </w:tc>
        <w:tc>
          <w:tcPr>
            <w:tcW w:w="715" w:type="dxa"/>
            <w:vMerge w:val="restart"/>
            <w:tcBorders>
              <w:top w:val="nil"/>
              <w:left w:val="single" w:color="auto" w:sz="4" w:space="0"/>
              <w:right w:val="single" w:color="auto" w:sz="4" w:space="0"/>
            </w:tcBorders>
            <w:vAlign w:val="center"/>
          </w:tcPr>
          <w:p w14:paraId="6060C5BC">
            <w:pPr>
              <w:spacing w:line="240" w:lineRule="exact"/>
              <w:rPr>
                <w:rFonts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100%</w:t>
            </w:r>
          </w:p>
        </w:tc>
        <w:tc>
          <w:tcPr>
            <w:tcW w:w="712" w:type="dxa"/>
            <w:vMerge w:val="restart"/>
            <w:tcBorders>
              <w:top w:val="nil"/>
              <w:left w:val="single" w:color="auto" w:sz="4" w:space="0"/>
              <w:right w:val="single" w:color="auto" w:sz="4" w:space="0"/>
            </w:tcBorders>
            <w:vAlign w:val="center"/>
          </w:tcPr>
          <w:p w14:paraId="32F20E41">
            <w:pPr>
              <w:spacing w:line="240" w:lineRule="exact"/>
              <w:rPr>
                <w:rFonts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95%</w:t>
            </w:r>
          </w:p>
        </w:tc>
        <w:tc>
          <w:tcPr>
            <w:tcW w:w="5583" w:type="dxa"/>
            <w:tcBorders>
              <w:top w:val="nil"/>
              <w:left w:val="nil"/>
              <w:bottom w:val="single" w:color="auto" w:sz="4" w:space="0"/>
              <w:right w:val="single" w:color="auto" w:sz="4" w:space="0"/>
            </w:tcBorders>
            <w:vAlign w:val="center"/>
          </w:tcPr>
          <w:p w14:paraId="6209CD3A">
            <w:pPr>
              <w:spacing w:line="240" w:lineRule="exact"/>
              <w:ind w:firstLine="400" w:firstLineChars="200"/>
              <w:rPr>
                <w:rFonts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桩基础或整板基础，主体结构为全钢筋混凝土框架结构，现浇楼面、层面、楼梯、天沟，层高3m，屋面上部应有架空隔热层或平瓦坡屋面、24cm眠墙，地面砖或水磨石地面，外墙面钢砖，内墙水泥抹光且刷仿瓷涂料罩面，铝合金门窗、纱窗，油漆木制门及纱门，水、电、卫生设施和厨房设施配套齐全，封闭阳台，入户防盗门。</w:t>
            </w:r>
          </w:p>
        </w:tc>
      </w:tr>
      <w:tr w14:paraId="3DF4EE9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1695" w:hRule="atLeast"/>
          <w:jc w:val="center"/>
        </w:trPr>
        <w:tc>
          <w:tcPr>
            <w:tcW w:w="698" w:type="dxa"/>
            <w:vMerge w:val="restart"/>
            <w:tcBorders>
              <w:top w:val="nil"/>
              <w:left w:val="single" w:color="auto" w:sz="4" w:space="0"/>
              <w:bottom w:val="single" w:color="auto" w:sz="4" w:space="0"/>
              <w:right w:val="single" w:color="auto" w:sz="4" w:space="0"/>
            </w:tcBorders>
            <w:vAlign w:val="center"/>
          </w:tcPr>
          <w:p w14:paraId="1CD00432">
            <w:pPr>
              <w:spacing w:line="240" w:lineRule="exact"/>
              <w:jc w:val="center"/>
              <w:rPr>
                <w:rFonts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砖混</w:t>
            </w:r>
          </w:p>
        </w:tc>
        <w:tc>
          <w:tcPr>
            <w:tcW w:w="684" w:type="dxa"/>
            <w:tcBorders>
              <w:top w:val="nil"/>
              <w:left w:val="nil"/>
              <w:bottom w:val="single" w:color="auto" w:sz="4" w:space="0"/>
              <w:right w:val="single" w:color="auto" w:sz="4" w:space="0"/>
            </w:tcBorders>
            <w:vAlign w:val="center"/>
          </w:tcPr>
          <w:p w14:paraId="283FB556">
            <w:pPr>
              <w:spacing w:line="240" w:lineRule="exact"/>
              <w:jc w:val="center"/>
              <w:rPr>
                <w:rFonts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一类</w:t>
            </w:r>
          </w:p>
        </w:tc>
        <w:tc>
          <w:tcPr>
            <w:tcW w:w="786" w:type="dxa"/>
            <w:tcBorders>
              <w:top w:val="nil"/>
              <w:left w:val="nil"/>
              <w:bottom w:val="single" w:color="auto" w:sz="4" w:space="0"/>
              <w:right w:val="single" w:color="auto" w:sz="4" w:space="0"/>
            </w:tcBorders>
            <w:vAlign w:val="center"/>
          </w:tcPr>
          <w:p w14:paraId="27D5711B">
            <w:pPr>
              <w:spacing w:line="240" w:lineRule="exact"/>
              <w:rPr>
                <w:rFonts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900</w:t>
            </w:r>
          </w:p>
        </w:tc>
        <w:tc>
          <w:tcPr>
            <w:tcW w:w="715" w:type="dxa"/>
            <w:vMerge w:val="continue"/>
            <w:tcBorders>
              <w:left w:val="single" w:color="auto" w:sz="4" w:space="0"/>
              <w:right w:val="single" w:color="auto" w:sz="4" w:space="0"/>
            </w:tcBorders>
            <w:vAlign w:val="center"/>
          </w:tcPr>
          <w:p w14:paraId="72376A42">
            <w:pPr>
              <w:rPr>
                <w:rFonts w:ascii="仿宋_GB2312" w:hAnsi="仿宋_GB2312" w:eastAsia="仿宋_GB2312" w:cs="仿宋_GB2312"/>
              </w:rPr>
            </w:pPr>
          </w:p>
        </w:tc>
        <w:tc>
          <w:tcPr>
            <w:tcW w:w="712" w:type="dxa"/>
            <w:vMerge w:val="continue"/>
            <w:tcBorders>
              <w:left w:val="single" w:color="auto" w:sz="4" w:space="0"/>
              <w:right w:val="single" w:color="auto" w:sz="4" w:space="0"/>
            </w:tcBorders>
            <w:vAlign w:val="center"/>
          </w:tcPr>
          <w:p w14:paraId="22ECCD3E">
            <w:pPr>
              <w:rPr>
                <w:rFonts w:ascii="仿宋_GB2312" w:hAnsi="仿宋_GB2312" w:eastAsia="仿宋_GB2312" w:cs="仿宋_GB2312"/>
              </w:rPr>
            </w:pPr>
          </w:p>
        </w:tc>
        <w:tc>
          <w:tcPr>
            <w:tcW w:w="5583" w:type="dxa"/>
            <w:tcBorders>
              <w:top w:val="nil"/>
              <w:left w:val="nil"/>
              <w:bottom w:val="single" w:color="auto" w:sz="4" w:space="0"/>
              <w:right w:val="single" w:color="auto" w:sz="4" w:space="0"/>
            </w:tcBorders>
            <w:vAlign w:val="center"/>
          </w:tcPr>
          <w:p w14:paraId="1CDF5DB4">
            <w:pPr>
              <w:spacing w:line="240" w:lineRule="exact"/>
              <w:rPr>
                <w:rFonts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　　标准砖石基础或桩基础，基础深度1.2m以上，钢筋砼地梁，层层有串梁，规定的构造柱，钢筋砼楼面、屋面、楼梯、天沟，屋面上部应有架空隔热层或者平瓦坡屋面，层高3m，24cm眠墙，外墙水刷石，内墙水泥抹光刷仿瓷涂料罩面，油漆木制门及纱门，铝合金窗、纱窗、亮玻璃，室内水泥地面、独立厨房、无烟灶台、水冲厕所、水电进户（含室内管线）。</w:t>
            </w:r>
          </w:p>
        </w:tc>
      </w:tr>
      <w:tr w14:paraId="3D085DF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1353" w:hRule="atLeast"/>
          <w:jc w:val="center"/>
        </w:trPr>
        <w:tc>
          <w:tcPr>
            <w:tcW w:w="698" w:type="dxa"/>
            <w:vMerge w:val="continue"/>
            <w:tcBorders>
              <w:top w:val="nil"/>
              <w:left w:val="single" w:color="auto" w:sz="4" w:space="0"/>
              <w:bottom w:val="single" w:color="auto" w:sz="4" w:space="0"/>
              <w:right w:val="single" w:color="auto" w:sz="4" w:space="0"/>
            </w:tcBorders>
            <w:vAlign w:val="center"/>
          </w:tcPr>
          <w:p w14:paraId="1D151044">
            <w:pPr>
              <w:rPr>
                <w:rFonts w:ascii="仿宋_GB2312" w:hAnsi="仿宋_GB2312" w:eastAsia="仿宋_GB2312" w:cs="仿宋_GB2312"/>
              </w:rPr>
            </w:pPr>
          </w:p>
        </w:tc>
        <w:tc>
          <w:tcPr>
            <w:tcW w:w="684" w:type="dxa"/>
            <w:tcBorders>
              <w:top w:val="nil"/>
              <w:left w:val="nil"/>
              <w:bottom w:val="single" w:color="auto" w:sz="4" w:space="0"/>
              <w:right w:val="single" w:color="auto" w:sz="4" w:space="0"/>
            </w:tcBorders>
            <w:vAlign w:val="center"/>
          </w:tcPr>
          <w:p w14:paraId="729D949E">
            <w:pPr>
              <w:spacing w:line="240" w:lineRule="exact"/>
              <w:jc w:val="center"/>
              <w:rPr>
                <w:rFonts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二类</w:t>
            </w:r>
          </w:p>
        </w:tc>
        <w:tc>
          <w:tcPr>
            <w:tcW w:w="786" w:type="dxa"/>
            <w:tcBorders>
              <w:top w:val="nil"/>
              <w:left w:val="nil"/>
              <w:bottom w:val="single" w:color="auto" w:sz="4" w:space="0"/>
              <w:right w:val="single" w:color="auto" w:sz="4" w:space="0"/>
            </w:tcBorders>
            <w:vAlign w:val="center"/>
          </w:tcPr>
          <w:p w14:paraId="31BA9A1D">
            <w:pPr>
              <w:spacing w:line="240" w:lineRule="exact"/>
              <w:rPr>
                <w:rFonts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830</w:t>
            </w:r>
          </w:p>
        </w:tc>
        <w:tc>
          <w:tcPr>
            <w:tcW w:w="715" w:type="dxa"/>
            <w:vMerge w:val="continue"/>
            <w:tcBorders>
              <w:left w:val="single" w:color="auto" w:sz="4" w:space="0"/>
              <w:bottom w:val="single" w:color="auto" w:sz="4" w:space="0"/>
              <w:right w:val="single" w:color="auto" w:sz="4" w:space="0"/>
            </w:tcBorders>
            <w:vAlign w:val="center"/>
          </w:tcPr>
          <w:p w14:paraId="5407B77D">
            <w:pPr>
              <w:rPr>
                <w:rFonts w:ascii="仿宋_GB2312" w:hAnsi="仿宋_GB2312" w:eastAsia="仿宋_GB2312" w:cs="仿宋_GB2312"/>
              </w:rPr>
            </w:pPr>
          </w:p>
        </w:tc>
        <w:tc>
          <w:tcPr>
            <w:tcW w:w="712" w:type="dxa"/>
            <w:vMerge w:val="continue"/>
            <w:tcBorders>
              <w:left w:val="single" w:color="auto" w:sz="4" w:space="0"/>
              <w:bottom w:val="single" w:color="auto" w:sz="4" w:space="0"/>
              <w:right w:val="single" w:color="auto" w:sz="4" w:space="0"/>
            </w:tcBorders>
            <w:vAlign w:val="center"/>
          </w:tcPr>
          <w:p w14:paraId="6DDAFFFF">
            <w:pPr>
              <w:rPr>
                <w:rFonts w:ascii="仿宋_GB2312" w:hAnsi="仿宋_GB2312" w:eastAsia="仿宋_GB2312" w:cs="仿宋_GB2312"/>
              </w:rPr>
            </w:pPr>
          </w:p>
        </w:tc>
        <w:tc>
          <w:tcPr>
            <w:tcW w:w="5583" w:type="dxa"/>
            <w:tcBorders>
              <w:top w:val="nil"/>
              <w:left w:val="nil"/>
              <w:bottom w:val="single" w:color="auto" w:sz="4" w:space="0"/>
              <w:right w:val="single" w:color="auto" w:sz="4" w:space="0"/>
            </w:tcBorders>
            <w:vAlign w:val="center"/>
          </w:tcPr>
          <w:p w14:paraId="1C95E663">
            <w:pPr>
              <w:spacing w:line="240" w:lineRule="exact"/>
              <w:rPr>
                <w:rFonts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　　标准砖石基础，基础深度1.2m以上，钢筋砼地梁，钢筋砼预制楼面、层面、楼梯、天沟，屋面上部有架空隔热或者平瓦坡屋面、层高3m，24cm斗墙，外墙粗砂灰，内墙粉纸筋且“106”涂料罩面、油漆木制门窗、纱门窗、亮玻璃，室内水泥地面、独立厨房，水冲厕所、水电进户（含室内管线）。</w:t>
            </w:r>
          </w:p>
        </w:tc>
      </w:tr>
      <w:tr w14:paraId="0B16F00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trHeight w:val="676" w:hRule="atLeast"/>
          <w:jc w:val="center"/>
        </w:trPr>
        <w:tc>
          <w:tcPr>
            <w:tcW w:w="1382" w:type="dxa"/>
            <w:gridSpan w:val="2"/>
            <w:tcBorders>
              <w:top w:val="single" w:color="auto" w:sz="4" w:space="0"/>
              <w:left w:val="single" w:color="auto" w:sz="4" w:space="0"/>
              <w:bottom w:val="single" w:color="auto" w:sz="4" w:space="0"/>
              <w:right w:val="single" w:color="auto" w:sz="4" w:space="0"/>
            </w:tcBorders>
            <w:vAlign w:val="center"/>
          </w:tcPr>
          <w:p w14:paraId="3FF1EC92">
            <w:pPr>
              <w:spacing w:line="240" w:lineRule="exact"/>
              <w:jc w:val="center"/>
              <w:rPr>
                <w:rFonts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砖木</w:t>
            </w:r>
          </w:p>
        </w:tc>
        <w:tc>
          <w:tcPr>
            <w:tcW w:w="786" w:type="dxa"/>
            <w:tcBorders>
              <w:top w:val="nil"/>
              <w:left w:val="nil"/>
              <w:bottom w:val="single" w:color="auto" w:sz="4" w:space="0"/>
              <w:right w:val="single" w:color="auto" w:sz="4" w:space="0"/>
            </w:tcBorders>
            <w:vAlign w:val="center"/>
          </w:tcPr>
          <w:p w14:paraId="3D27443A">
            <w:pPr>
              <w:spacing w:line="240" w:lineRule="exact"/>
              <w:rPr>
                <w:rFonts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650</w:t>
            </w:r>
          </w:p>
        </w:tc>
        <w:tc>
          <w:tcPr>
            <w:tcW w:w="1427" w:type="dxa"/>
            <w:gridSpan w:val="2"/>
            <w:vMerge w:val="restart"/>
            <w:tcBorders>
              <w:top w:val="nil"/>
              <w:left w:val="single" w:color="auto" w:sz="4" w:space="0"/>
              <w:right w:val="single" w:color="auto" w:sz="4" w:space="0"/>
            </w:tcBorders>
            <w:vAlign w:val="center"/>
          </w:tcPr>
          <w:p w14:paraId="798E0594">
            <w:pPr>
              <w:spacing w:line="240" w:lineRule="exact"/>
              <w:ind w:firstLine="400" w:firstLineChars="200"/>
              <w:rPr>
                <w:rFonts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100%</w:t>
            </w:r>
          </w:p>
        </w:tc>
        <w:tc>
          <w:tcPr>
            <w:tcW w:w="5583" w:type="dxa"/>
            <w:tcBorders>
              <w:top w:val="nil"/>
              <w:left w:val="nil"/>
              <w:bottom w:val="single" w:color="auto" w:sz="4" w:space="0"/>
              <w:right w:val="single" w:color="auto" w:sz="4" w:space="0"/>
            </w:tcBorders>
            <w:vAlign w:val="center"/>
          </w:tcPr>
          <w:p w14:paraId="2BAF2141">
            <w:pPr>
              <w:spacing w:line="240" w:lineRule="exact"/>
              <w:ind w:firstLine="400" w:firstLineChars="200"/>
              <w:rPr>
                <w:rFonts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砖石基础，基础深度0.5m，24cm眠墙，瓦屋面，前后檐口高度不低于3m，外墙清水，内墙粉灰或涂料罩面。</w:t>
            </w:r>
          </w:p>
        </w:tc>
      </w:tr>
      <w:tr w14:paraId="44DE9F7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trHeight w:val="861" w:hRule="atLeast"/>
          <w:jc w:val="center"/>
        </w:trPr>
        <w:tc>
          <w:tcPr>
            <w:tcW w:w="1382" w:type="dxa"/>
            <w:gridSpan w:val="2"/>
            <w:tcBorders>
              <w:top w:val="single" w:color="auto" w:sz="4" w:space="0"/>
              <w:left w:val="single" w:color="auto" w:sz="4" w:space="0"/>
              <w:bottom w:val="single" w:color="auto" w:sz="4" w:space="0"/>
              <w:right w:val="single" w:color="auto" w:sz="4" w:space="0"/>
            </w:tcBorders>
            <w:vAlign w:val="center"/>
          </w:tcPr>
          <w:p w14:paraId="2826BC0A">
            <w:pPr>
              <w:spacing w:line="240" w:lineRule="exact"/>
              <w:jc w:val="center"/>
              <w:rPr>
                <w:rFonts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砖木偏房</w:t>
            </w:r>
          </w:p>
        </w:tc>
        <w:tc>
          <w:tcPr>
            <w:tcW w:w="786" w:type="dxa"/>
            <w:tcBorders>
              <w:top w:val="nil"/>
              <w:left w:val="nil"/>
              <w:bottom w:val="single" w:color="auto" w:sz="4" w:space="0"/>
              <w:right w:val="single" w:color="auto" w:sz="4" w:space="0"/>
            </w:tcBorders>
            <w:vAlign w:val="center"/>
          </w:tcPr>
          <w:p w14:paraId="56C75597">
            <w:pPr>
              <w:spacing w:line="240" w:lineRule="exact"/>
              <w:rPr>
                <w:rFonts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380</w:t>
            </w:r>
          </w:p>
        </w:tc>
        <w:tc>
          <w:tcPr>
            <w:tcW w:w="1427" w:type="dxa"/>
            <w:gridSpan w:val="2"/>
            <w:vMerge w:val="continue"/>
            <w:tcBorders>
              <w:left w:val="single" w:color="auto" w:sz="4" w:space="0"/>
              <w:right w:val="single" w:color="auto" w:sz="4" w:space="0"/>
            </w:tcBorders>
            <w:vAlign w:val="center"/>
          </w:tcPr>
          <w:p w14:paraId="6802C9CE">
            <w:pPr>
              <w:rPr>
                <w:rFonts w:ascii="仿宋_GB2312" w:hAnsi="仿宋_GB2312" w:eastAsia="仿宋_GB2312" w:cs="仿宋_GB2312"/>
              </w:rPr>
            </w:pPr>
          </w:p>
        </w:tc>
        <w:tc>
          <w:tcPr>
            <w:tcW w:w="5583" w:type="dxa"/>
            <w:tcBorders>
              <w:top w:val="nil"/>
              <w:left w:val="nil"/>
              <w:bottom w:val="single" w:color="auto" w:sz="4" w:space="0"/>
              <w:right w:val="single" w:color="auto" w:sz="4" w:space="0"/>
            </w:tcBorders>
            <w:vAlign w:val="center"/>
          </w:tcPr>
          <w:p w14:paraId="319DC531">
            <w:pPr>
              <w:spacing w:line="240" w:lineRule="exact"/>
              <w:ind w:firstLine="400" w:firstLineChars="200"/>
              <w:rPr>
                <w:rFonts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标准砖石基础，基础深度0.5m以上，杂砖和土筑混砌墙，木屋架，瓦屋面，前后檐口高度2.8m以上，水泥地面或三合土地面，普通门窗，水电进户（含室内管线）。</w:t>
            </w:r>
          </w:p>
        </w:tc>
      </w:tr>
      <w:tr w14:paraId="14A0193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trHeight w:val="803" w:hRule="atLeast"/>
          <w:jc w:val="center"/>
        </w:trPr>
        <w:tc>
          <w:tcPr>
            <w:tcW w:w="1382" w:type="dxa"/>
            <w:gridSpan w:val="2"/>
            <w:tcBorders>
              <w:top w:val="single" w:color="auto" w:sz="4" w:space="0"/>
              <w:left w:val="single" w:color="auto" w:sz="4" w:space="0"/>
              <w:bottom w:val="single" w:color="auto" w:sz="4" w:space="0"/>
              <w:right w:val="single" w:color="auto" w:sz="4" w:space="0"/>
            </w:tcBorders>
            <w:vAlign w:val="center"/>
          </w:tcPr>
          <w:p w14:paraId="47BE6D6D">
            <w:pPr>
              <w:spacing w:line="240" w:lineRule="exact"/>
              <w:jc w:val="center"/>
              <w:rPr>
                <w:rFonts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木结构类</w:t>
            </w:r>
          </w:p>
        </w:tc>
        <w:tc>
          <w:tcPr>
            <w:tcW w:w="786" w:type="dxa"/>
            <w:tcBorders>
              <w:top w:val="nil"/>
              <w:left w:val="nil"/>
              <w:bottom w:val="single" w:color="auto" w:sz="4" w:space="0"/>
              <w:right w:val="single" w:color="auto" w:sz="4" w:space="0"/>
            </w:tcBorders>
            <w:vAlign w:val="center"/>
          </w:tcPr>
          <w:p w14:paraId="0560B875">
            <w:pPr>
              <w:spacing w:line="240" w:lineRule="exact"/>
              <w:rPr>
                <w:rFonts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450</w:t>
            </w:r>
          </w:p>
        </w:tc>
        <w:tc>
          <w:tcPr>
            <w:tcW w:w="1427" w:type="dxa"/>
            <w:gridSpan w:val="2"/>
            <w:vMerge w:val="continue"/>
            <w:tcBorders>
              <w:left w:val="single" w:color="auto" w:sz="4" w:space="0"/>
              <w:right w:val="single" w:color="auto" w:sz="4" w:space="0"/>
            </w:tcBorders>
            <w:vAlign w:val="center"/>
          </w:tcPr>
          <w:p w14:paraId="3079D236">
            <w:pPr>
              <w:rPr>
                <w:rFonts w:ascii="仿宋_GB2312" w:hAnsi="仿宋_GB2312" w:eastAsia="仿宋_GB2312" w:cs="仿宋_GB2312"/>
              </w:rPr>
            </w:pPr>
          </w:p>
        </w:tc>
        <w:tc>
          <w:tcPr>
            <w:tcW w:w="5583" w:type="dxa"/>
            <w:tcBorders>
              <w:top w:val="nil"/>
              <w:left w:val="nil"/>
              <w:bottom w:val="single" w:color="auto" w:sz="4" w:space="0"/>
              <w:right w:val="single" w:color="auto" w:sz="4" w:space="0"/>
            </w:tcBorders>
            <w:vAlign w:val="center"/>
          </w:tcPr>
          <w:p w14:paraId="5B6B1591">
            <w:pPr>
              <w:spacing w:line="240" w:lineRule="exact"/>
              <w:rPr>
                <w:rFonts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　　标准砖石基础，基础深度0.5m以上，木桩屋梁，木板墙或卡砖墙，瓦屋面，前后檐口高度2.8m以上，油漆木制门窗，水电进户（含室内管线）。三合土地面或水泥地面。</w:t>
            </w:r>
          </w:p>
        </w:tc>
      </w:tr>
      <w:tr w14:paraId="64332F3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trHeight w:val="803" w:hRule="atLeast"/>
          <w:jc w:val="center"/>
        </w:trPr>
        <w:tc>
          <w:tcPr>
            <w:tcW w:w="1382" w:type="dxa"/>
            <w:gridSpan w:val="2"/>
            <w:tcBorders>
              <w:top w:val="single" w:color="auto" w:sz="4" w:space="0"/>
              <w:left w:val="single" w:color="auto" w:sz="4" w:space="0"/>
              <w:bottom w:val="single" w:color="auto" w:sz="4" w:space="0"/>
              <w:right w:val="single" w:color="auto" w:sz="4" w:space="0"/>
            </w:tcBorders>
            <w:vAlign w:val="center"/>
          </w:tcPr>
          <w:p w14:paraId="6C9F3EDD">
            <w:pPr>
              <w:spacing w:line="240" w:lineRule="exact"/>
              <w:jc w:val="center"/>
              <w:rPr>
                <w:rFonts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杂屋类</w:t>
            </w:r>
          </w:p>
        </w:tc>
        <w:tc>
          <w:tcPr>
            <w:tcW w:w="786" w:type="dxa"/>
            <w:tcBorders>
              <w:top w:val="nil"/>
              <w:left w:val="single" w:color="auto" w:sz="4" w:space="0"/>
              <w:bottom w:val="single" w:color="auto" w:sz="4" w:space="0"/>
              <w:right w:val="single" w:color="auto" w:sz="4" w:space="0"/>
            </w:tcBorders>
            <w:vAlign w:val="center"/>
          </w:tcPr>
          <w:p w14:paraId="1A4E6836">
            <w:pPr>
              <w:spacing w:line="240" w:lineRule="exact"/>
              <w:rPr>
                <w:rFonts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180</w:t>
            </w:r>
          </w:p>
        </w:tc>
        <w:tc>
          <w:tcPr>
            <w:tcW w:w="1427" w:type="dxa"/>
            <w:gridSpan w:val="2"/>
            <w:vMerge w:val="continue"/>
            <w:tcBorders>
              <w:left w:val="single" w:color="auto" w:sz="4" w:space="0"/>
              <w:right w:val="single" w:color="auto" w:sz="4" w:space="0"/>
            </w:tcBorders>
            <w:vAlign w:val="center"/>
          </w:tcPr>
          <w:p w14:paraId="22AD2C5C">
            <w:pPr>
              <w:rPr>
                <w:rFonts w:ascii="仿宋_GB2312" w:hAnsi="仿宋_GB2312" w:eastAsia="仿宋_GB2312" w:cs="仿宋_GB2312"/>
              </w:rPr>
            </w:pPr>
          </w:p>
        </w:tc>
        <w:tc>
          <w:tcPr>
            <w:tcW w:w="5583" w:type="dxa"/>
            <w:tcBorders>
              <w:top w:val="nil"/>
              <w:left w:val="nil"/>
              <w:bottom w:val="single" w:color="auto" w:sz="4" w:space="0"/>
              <w:right w:val="single" w:color="auto" w:sz="4" w:space="0"/>
            </w:tcBorders>
            <w:vAlign w:val="center"/>
          </w:tcPr>
          <w:p w14:paraId="42E20728">
            <w:pPr>
              <w:spacing w:line="240" w:lineRule="exact"/>
              <w:rPr>
                <w:rFonts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　　砖石基础，基础深度0.5m，杂砖墙，瓦屋面，檐口高度1.8m以上，三合土地面或水泥地面；厕所、猪牛栏、堆放杂物的房屋。</w:t>
            </w:r>
          </w:p>
        </w:tc>
      </w:tr>
      <w:tr w14:paraId="3CA90CC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trHeight w:val="551" w:hRule="atLeast"/>
          <w:jc w:val="center"/>
        </w:trPr>
        <w:tc>
          <w:tcPr>
            <w:tcW w:w="1382" w:type="dxa"/>
            <w:gridSpan w:val="2"/>
            <w:tcBorders>
              <w:top w:val="single" w:color="auto" w:sz="4" w:space="0"/>
              <w:left w:val="single" w:color="auto" w:sz="4" w:space="0"/>
              <w:bottom w:val="single" w:color="auto" w:sz="4" w:space="0"/>
              <w:right w:val="single" w:color="auto" w:sz="4" w:space="0"/>
            </w:tcBorders>
            <w:vAlign w:val="center"/>
          </w:tcPr>
          <w:p w14:paraId="6E5AFC44">
            <w:pPr>
              <w:spacing w:line="240" w:lineRule="exact"/>
              <w:jc w:val="center"/>
              <w:rPr>
                <w:rFonts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空心砖</w:t>
            </w:r>
          </w:p>
        </w:tc>
        <w:tc>
          <w:tcPr>
            <w:tcW w:w="786" w:type="dxa"/>
            <w:tcBorders>
              <w:top w:val="single" w:color="auto" w:sz="4" w:space="0"/>
              <w:left w:val="nil"/>
              <w:bottom w:val="single" w:color="auto" w:sz="4" w:space="0"/>
              <w:right w:val="single" w:color="auto" w:sz="4" w:space="0"/>
            </w:tcBorders>
            <w:vAlign w:val="center"/>
          </w:tcPr>
          <w:p w14:paraId="2833AF20">
            <w:pPr>
              <w:spacing w:line="240" w:lineRule="exact"/>
              <w:rPr>
                <w:rFonts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450</w:t>
            </w:r>
          </w:p>
        </w:tc>
        <w:tc>
          <w:tcPr>
            <w:tcW w:w="1427" w:type="dxa"/>
            <w:gridSpan w:val="2"/>
            <w:tcBorders>
              <w:left w:val="single" w:color="auto" w:sz="4" w:space="0"/>
              <w:bottom w:val="single" w:color="auto" w:sz="4" w:space="0"/>
              <w:right w:val="single" w:color="auto" w:sz="4" w:space="0"/>
            </w:tcBorders>
            <w:vAlign w:val="center"/>
          </w:tcPr>
          <w:p w14:paraId="4D8BA10F">
            <w:pPr>
              <w:spacing w:line="240" w:lineRule="exact"/>
              <w:ind w:firstLine="400" w:firstLineChars="200"/>
              <w:rPr>
                <w:rFonts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100%</w:t>
            </w:r>
          </w:p>
        </w:tc>
        <w:tc>
          <w:tcPr>
            <w:tcW w:w="5583" w:type="dxa"/>
            <w:tcBorders>
              <w:top w:val="single" w:color="auto" w:sz="4" w:space="0"/>
              <w:left w:val="single" w:color="auto" w:sz="4" w:space="0"/>
              <w:bottom w:val="single" w:color="auto" w:sz="4" w:space="0"/>
              <w:right w:val="single" w:color="auto" w:sz="4" w:space="0"/>
            </w:tcBorders>
            <w:vAlign w:val="center"/>
          </w:tcPr>
          <w:p w14:paraId="743E1A24">
            <w:pPr>
              <w:spacing w:line="240" w:lineRule="exact"/>
              <w:rPr>
                <w:rFonts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参照木结构类房屋补偿标准执行</w:t>
            </w:r>
          </w:p>
        </w:tc>
      </w:tr>
    </w:tbl>
    <w:p w14:paraId="695A4518">
      <w:pPr>
        <w:spacing w:line="240" w:lineRule="exact"/>
        <w:ind w:left="798" w:hanging="798" w:hangingChars="380"/>
        <w:rPr>
          <w:rFonts w:ascii="仿宋_GB2312" w:hAnsi="仿宋_GB2312" w:eastAsia="仿宋_GB2312" w:cs="仿宋_GB2312"/>
          <w:strike/>
          <w:color w:val="C00000"/>
          <w:szCs w:val="21"/>
        </w:rPr>
      </w:pPr>
      <w:r>
        <w:rPr>
          <w:rFonts w:hint="eastAsia" w:ascii="仿宋_GB2312" w:hAnsi="仿宋_GB2312" w:eastAsia="仿宋_GB2312" w:cs="仿宋_GB2312"/>
          <w:color w:val="000000"/>
          <w:szCs w:val="21"/>
        </w:rPr>
        <w:t>注：1.以上各类房屋的补偿标准系指集体土地上房屋的征收补偿单价。</w:t>
      </w:r>
    </w:p>
    <w:p w14:paraId="5A440199">
      <w:pPr>
        <w:spacing w:line="240" w:lineRule="exact"/>
        <w:ind w:left="640" w:leftChars="192" w:hanging="237" w:hangingChars="113"/>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2.上述房屋主要特征中的子项目，如有增减，按有关规定增减补偿；层高在上述标准规定的层高增减10cm以内的，不增加或减少补偿；层高增加或减少超过10cm以上的，每增减10cm，工业用房增减5%，其他房屋增减3%。</w:t>
      </w:r>
    </w:p>
    <w:p w14:paraId="69F54A61">
      <w:pPr>
        <w:spacing w:line="240" w:lineRule="exact"/>
        <w:ind w:left="640" w:leftChars="192" w:hanging="237" w:hangingChars="113"/>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3.房屋建筑面积的测量计算按GB/T50353—2013《建筑工程建筑面积计算规范》规定的标准执行。</w:t>
      </w:r>
    </w:p>
    <w:p w14:paraId="28BD8947">
      <w:pPr>
        <w:rPr>
          <w:rFonts w:ascii="黑体" w:hAnsi="黑体" w:eastAsia="黑体" w:cs="仿宋"/>
          <w:bCs/>
          <w:color w:val="000000"/>
          <w:sz w:val="32"/>
          <w:szCs w:val="32"/>
        </w:rPr>
      </w:pPr>
      <w:r>
        <w:rPr>
          <w:rFonts w:hint="eastAsia" w:ascii="仿宋_GB2312" w:hAnsi="仿宋_GB2312" w:eastAsia="仿宋_GB2312" w:cs="仿宋_GB2312"/>
          <w:bCs/>
          <w:color w:val="000000"/>
          <w:sz w:val="32"/>
          <w:szCs w:val="32"/>
        </w:rPr>
        <w:br w:type="page"/>
      </w:r>
      <w:r>
        <w:rPr>
          <w:rFonts w:hint="eastAsia" w:ascii="黑体" w:hAnsi="黑体" w:eastAsia="黑体" w:cs="仿宋_GB2312"/>
          <w:bCs/>
          <w:color w:val="000000"/>
          <w:sz w:val="32"/>
          <w:szCs w:val="32"/>
        </w:rPr>
        <w:t>附件8</w:t>
      </w:r>
    </w:p>
    <w:p w14:paraId="699A147E">
      <w:pPr>
        <w:jc w:val="center"/>
        <w:rPr>
          <w:rFonts w:ascii="方正小标宋简体" w:eastAsia="方正小标宋简体"/>
          <w:bCs/>
          <w:color w:val="000000"/>
          <w:sz w:val="44"/>
          <w:szCs w:val="44"/>
        </w:rPr>
      </w:pPr>
      <w:r>
        <w:rPr>
          <w:rFonts w:hint="eastAsia" w:ascii="方正小标宋简体" w:eastAsia="方正小标宋简体" w:cs="黑体"/>
          <w:bCs/>
          <w:color w:val="000000"/>
          <w:sz w:val="44"/>
          <w:szCs w:val="44"/>
        </w:rPr>
        <w:t>新晃侗族自治县房屋装</w:t>
      </w:r>
      <w:r>
        <w:rPr>
          <w:rFonts w:hint="eastAsia" w:ascii="方正小标宋简体" w:hAnsi="方正小标宋简体" w:eastAsia="方正小标宋简体" w:cs="方正小标宋简体"/>
          <w:bCs/>
          <w:color w:val="000000"/>
          <w:sz w:val="44"/>
          <w:szCs w:val="44"/>
        </w:rPr>
        <w:t>修（饰）补偿标准</w:t>
      </w:r>
    </w:p>
    <w:p w14:paraId="3B476CD0">
      <w:pPr>
        <w:jc w:val="right"/>
        <w:rPr>
          <w:rFonts w:ascii="仿宋_GB2312" w:hAnsi="仿宋_GB2312" w:eastAsia="仿宋_GB2312" w:cs="仿宋_GB2312"/>
          <w:bCs/>
          <w:color w:val="000000"/>
          <w:sz w:val="44"/>
          <w:szCs w:val="44"/>
        </w:rPr>
      </w:pPr>
      <w:r>
        <w:rPr>
          <w:rFonts w:hint="eastAsia" w:ascii="仿宋_GB2312" w:hAnsi="仿宋_GB2312" w:eastAsia="仿宋_GB2312" w:cs="仿宋_GB2312"/>
          <w:color w:val="000000"/>
          <w:kern w:val="0"/>
          <w:szCs w:val="21"/>
        </w:rPr>
        <w:t>（单位：元/m</w:t>
      </w:r>
      <w:r>
        <w:rPr>
          <w:rFonts w:hint="eastAsia" w:ascii="仿宋_GB2312" w:hAnsi="仿宋_GB2312" w:eastAsia="仿宋_GB2312" w:cs="仿宋_GB2312"/>
          <w:color w:val="000000"/>
          <w:kern w:val="0"/>
          <w:szCs w:val="21"/>
          <w:vertAlign w:val="superscript"/>
        </w:rPr>
        <w:t>2</w:t>
      </w:r>
      <w:r>
        <w:rPr>
          <w:rFonts w:hint="eastAsia" w:ascii="仿宋_GB2312" w:hAnsi="仿宋_GB2312" w:eastAsia="仿宋_GB2312" w:cs="仿宋_GB2312"/>
          <w:color w:val="000000"/>
          <w:kern w:val="0"/>
          <w:szCs w:val="21"/>
        </w:rPr>
        <w:t>）</w:t>
      </w:r>
    </w:p>
    <w:tbl>
      <w:tblPr>
        <w:tblStyle w:val="18"/>
        <w:tblW w:w="93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2"/>
        <w:gridCol w:w="668"/>
        <w:gridCol w:w="991"/>
        <w:gridCol w:w="3353"/>
        <w:gridCol w:w="3104"/>
      </w:tblGrid>
      <w:tr w14:paraId="33B97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02" w:type="dxa"/>
          </w:tcPr>
          <w:p w14:paraId="0B4F87EF">
            <w:pPr>
              <w:rPr>
                <w:rFonts w:ascii="仿宋_GB2312" w:hAnsi="仿宋_GB2312" w:eastAsia="仿宋_GB2312" w:cs="仿宋_GB2312"/>
              </w:rPr>
            </w:pPr>
            <w:r>
              <w:rPr>
                <w:rFonts w:hint="eastAsia" w:ascii="仿宋_GB2312" w:hAnsi="仿宋_GB2312" w:eastAsia="仿宋_GB2312" w:cs="仿宋_GB2312"/>
              </w:rPr>
              <w:t>房屋类别</w:t>
            </w:r>
          </w:p>
        </w:tc>
        <w:tc>
          <w:tcPr>
            <w:tcW w:w="1659" w:type="dxa"/>
            <w:gridSpan w:val="2"/>
          </w:tcPr>
          <w:p w14:paraId="2E6645F6">
            <w:pPr>
              <w:rPr>
                <w:rFonts w:ascii="仿宋_GB2312" w:hAnsi="仿宋_GB2312" w:eastAsia="仿宋_GB2312" w:cs="仿宋_GB2312"/>
              </w:rPr>
            </w:pPr>
            <w:r>
              <w:rPr>
                <w:rFonts w:hint="eastAsia" w:ascii="仿宋_GB2312" w:hAnsi="仿宋_GB2312" w:eastAsia="仿宋_GB2312" w:cs="仿宋_GB2312"/>
              </w:rPr>
              <w:t>最高补偿标准</w:t>
            </w:r>
          </w:p>
        </w:tc>
        <w:tc>
          <w:tcPr>
            <w:tcW w:w="3353" w:type="dxa"/>
          </w:tcPr>
          <w:p w14:paraId="3A1FD816">
            <w:pPr>
              <w:ind w:firstLine="840" w:firstLineChars="400"/>
              <w:rPr>
                <w:rFonts w:ascii="仿宋_GB2312" w:hAnsi="仿宋_GB2312" w:eastAsia="仿宋_GB2312" w:cs="仿宋_GB2312"/>
              </w:rPr>
            </w:pPr>
            <w:r>
              <w:rPr>
                <w:rFonts w:hint="eastAsia" w:ascii="仿宋_GB2312" w:hAnsi="仿宋_GB2312" w:eastAsia="仿宋_GB2312" w:cs="仿宋_GB2312"/>
              </w:rPr>
              <w:t>装修（饰）要求</w:t>
            </w:r>
          </w:p>
        </w:tc>
        <w:tc>
          <w:tcPr>
            <w:tcW w:w="3104" w:type="dxa"/>
          </w:tcPr>
          <w:p w14:paraId="2C8D1CCE">
            <w:pPr>
              <w:ind w:firstLine="1470" w:firstLineChars="700"/>
              <w:rPr>
                <w:rFonts w:ascii="仿宋_GB2312" w:hAnsi="仿宋_GB2312" w:eastAsia="仿宋_GB2312" w:cs="仿宋_GB2312"/>
              </w:rPr>
            </w:pPr>
            <w:r>
              <w:rPr>
                <w:rFonts w:hint="eastAsia" w:ascii="仿宋_GB2312" w:hAnsi="仿宋_GB2312" w:eastAsia="仿宋_GB2312" w:cs="仿宋_GB2312"/>
              </w:rPr>
              <w:t>说明</w:t>
            </w:r>
          </w:p>
        </w:tc>
      </w:tr>
      <w:tr w14:paraId="4F7FD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atLeast"/>
          <w:jc w:val="center"/>
        </w:trPr>
        <w:tc>
          <w:tcPr>
            <w:tcW w:w="1202" w:type="dxa"/>
            <w:vAlign w:val="center"/>
          </w:tcPr>
          <w:p w14:paraId="4A6DA2C4">
            <w:pPr>
              <w:jc w:val="center"/>
              <w:rPr>
                <w:rFonts w:ascii="仿宋_GB2312" w:hAnsi="仿宋_GB2312" w:eastAsia="仿宋_GB2312" w:cs="仿宋_GB2312"/>
              </w:rPr>
            </w:pPr>
            <w:r>
              <w:rPr>
                <w:rFonts w:hint="eastAsia" w:ascii="仿宋_GB2312" w:hAnsi="仿宋_GB2312" w:eastAsia="仿宋_GB2312" w:cs="仿宋_GB2312"/>
                <w:color w:val="000000"/>
                <w:kern w:val="0"/>
                <w:sz w:val="20"/>
                <w:szCs w:val="20"/>
              </w:rPr>
              <w:t>钢筋砼框架结构</w:t>
            </w:r>
          </w:p>
        </w:tc>
        <w:tc>
          <w:tcPr>
            <w:tcW w:w="1659" w:type="dxa"/>
            <w:gridSpan w:val="2"/>
            <w:vAlign w:val="center"/>
          </w:tcPr>
          <w:p w14:paraId="1EDA7869">
            <w:pPr>
              <w:ind w:firstLine="630" w:firstLineChars="300"/>
              <w:jc w:val="center"/>
              <w:rPr>
                <w:rFonts w:ascii="仿宋_GB2312" w:hAnsi="仿宋_GB2312" w:eastAsia="仿宋_GB2312" w:cs="仿宋_GB2312"/>
              </w:rPr>
            </w:pPr>
            <w:r>
              <w:rPr>
                <w:rFonts w:hint="eastAsia" w:ascii="仿宋_GB2312" w:hAnsi="仿宋_GB2312" w:eastAsia="仿宋_GB2312" w:cs="仿宋_GB2312"/>
              </w:rPr>
              <w:t>600</w:t>
            </w:r>
          </w:p>
        </w:tc>
        <w:tc>
          <w:tcPr>
            <w:tcW w:w="3353" w:type="dxa"/>
            <w:vMerge w:val="restart"/>
          </w:tcPr>
          <w:p w14:paraId="458F2E5B">
            <w:pPr>
              <w:pStyle w:val="51"/>
              <w:tabs>
                <w:tab w:val="left" w:pos="370"/>
              </w:tabs>
              <w:spacing w:line="300" w:lineRule="exact"/>
              <w:rPr>
                <w:rFonts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kern w:val="0"/>
                <w:sz w:val="20"/>
                <w:szCs w:val="20"/>
                <w:lang w:val="en-US" w:eastAsia="zh-CN" w:bidi="ar-SA"/>
              </w:rPr>
              <w:t>1.室内地面（含防潮层）：防滑地面砖、花岗岩、大理石或实木、仿实木地板；2.室内墙面：贴瓷、刮涂、各类木质板材质墙裙；3.室内</w:t>
            </w:r>
            <w:r>
              <w:rPr>
                <w:rFonts w:hint="eastAsia" w:ascii="仿宋_GB2312" w:hAnsi="仿宋_GB2312" w:eastAsia="仿宋_GB2312" w:cs="仿宋_GB2312"/>
                <w:color w:val="000000"/>
                <w:kern w:val="0"/>
                <w:sz w:val="20"/>
                <w:szCs w:val="20"/>
                <w:lang w:val="zh-CN" w:eastAsia="zh-CN" w:bidi="ar-SA"/>
              </w:rPr>
              <w:t>顶</w:t>
            </w:r>
            <w:r>
              <w:rPr>
                <w:rFonts w:hint="eastAsia" w:ascii="仿宋_GB2312" w:hAnsi="仿宋_GB2312" w:eastAsia="仿宋_GB2312" w:cs="仿宋_GB2312"/>
                <w:color w:val="000000"/>
                <w:kern w:val="0"/>
                <w:sz w:val="20"/>
                <w:szCs w:val="20"/>
                <w:lang w:val="en-US" w:eastAsia="zh-CN" w:bidi="ar-SA"/>
              </w:rPr>
              <w:t>面：一级吊顶以上标准；4.厨房、厕所、洗漱间：墙面</w:t>
            </w:r>
            <w:r>
              <w:rPr>
                <w:rFonts w:hint="eastAsia" w:ascii="仿宋_GB2312" w:hAnsi="仿宋_GB2312" w:eastAsia="仿宋_GB2312" w:cs="仿宋_GB2312"/>
                <w:color w:val="000000"/>
                <w:kern w:val="0"/>
                <w:sz w:val="20"/>
                <w:szCs w:val="20"/>
                <w:lang w:val="zh-CN" w:eastAsia="zh-CN" w:bidi="ar-SA"/>
              </w:rPr>
              <w:t>贴</w:t>
            </w:r>
            <w:r>
              <w:rPr>
                <w:rFonts w:hint="eastAsia" w:ascii="仿宋_GB2312" w:hAnsi="仿宋_GB2312" w:eastAsia="仿宋_GB2312" w:cs="仿宋_GB2312"/>
                <w:color w:val="000000"/>
                <w:kern w:val="0"/>
                <w:sz w:val="20"/>
                <w:szCs w:val="20"/>
                <w:lang w:val="en-US" w:eastAsia="zh-CN" w:bidi="ar-SA"/>
              </w:rPr>
              <w:t>瓷；室内设施齐全；5.外墙正面和两侧：贴面砖，其他为干粘石以上标准；6.门、窗、网蓬、门窗套：各类防盗门、各类材质装饰门；塑钢、铝合金玻璃窗；各类金属材质防盗网、雨篷；门窗套为水曲柳或仿榉木板以上标准；7.室内设施：室内壁柜等设施齐全。</w:t>
            </w:r>
          </w:p>
        </w:tc>
        <w:tc>
          <w:tcPr>
            <w:tcW w:w="3104" w:type="dxa"/>
            <w:vMerge w:val="restart"/>
            <w:vAlign w:val="center"/>
          </w:tcPr>
          <w:p w14:paraId="008926CE">
            <w:pPr>
              <w:pStyle w:val="51"/>
              <w:tabs>
                <w:tab w:val="left" w:pos="370"/>
              </w:tabs>
              <w:spacing w:line="300" w:lineRule="exact"/>
              <w:rPr>
                <w:rFonts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kern w:val="0"/>
                <w:sz w:val="20"/>
                <w:szCs w:val="20"/>
                <w:lang w:val="en-US" w:eastAsia="zh-CN" w:bidi="ar-SA"/>
              </w:rPr>
              <w:t>1.房屋主体部分每缺少一项扣减40元/㎡；2.以上补偿只限合法房屋或经认定后视同为合法房屋装（修）饰的补偿；3.以上补偿按房屋主体建筑面积计算；4.砖混一层平顶房按补偿标准增加10%的补偿。</w:t>
            </w:r>
          </w:p>
        </w:tc>
      </w:tr>
      <w:tr w14:paraId="458A0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6" w:hRule="atLeast"/>
          <w:jc w:val="center"/>
        </w:trPr>
        <w:tc>
          <w:tcPr>
            <w:tcW w:w="1202" w:type="dxa"/>
            <w:vMerge w:val="restart"/>
            <w:vAlign w:val="center"/>
          </w:tcPr>
          <w:p w14:paraId="051B8585">
            <w:pPr>
              <w:jc w:val="center"/>
              <w:rPr>
                <w:rFonts w:ascii="仿宋_GB2312" w:hAnsi="仿宋_GB2312" w:eastAsia="仿宋_GB2312" w:cs="仿宋_GB2312"/>
              </w:rPr>
            </w:pPr>
            <w:r>
              <w:rPr>
                <w:rFonts w:hint="eastAsia" w:ascii="仿宋_GB2312" w:hAnsi="仿宋_GB2312" w:eastAsia="仿宋_GB2312" w:cs="仿宋_GB2312"/>
              </w:rPr>
              <w:t>砖混</w:t>
            </w:r>
          </w:p>
        </w:tc>
        <w:tc>
          <w:tcPr>
            <w:tcW w:w="668" w:type="dxa"/>
            <w:vAlign w:val="center"/>
          </w:tcPr>
          <w:p w14:paraId="4F099275">
            <w:pPr>
              <w:jc w:val="center"/>
              <w:rPr>
                <w:rFonts w:ascii="仿宋_GB2312" w:hAnsi="仿宋_GB2312" w:eastAsia="仿宋_GB2312" w:cs="仿宋_GB2312"/>
              </w:rPr>
            </w:pPr>
            <w:r>
              <w:rPr>
                <w:rFonts w:hint="eastAsia" w:ascii="仿宋_GB2312" w:hAnsi="仿宋_GB2312" w:eastAsia="仿宋_GB2312" w:cs="仿宋_GB2312"/>
              </w:rPr>
              <w:t>一类</w:t>
            </w:r>
          </w:p>
        </w:tc>
        <w:tc>
          <w:tcPr>
            <w:tcW w:w="991" w:type="dxa"/>
            <w:vAlign w:val="center"/>
          </w:tcPr>
          <w:p w14:paraId="502FC1E0">
            <w:pPr>
              <w:jc w:val="center"/>
              <w:rPr>
                <w:rFonts w:ascii="仿宋_GB2312" w:hAnsi="仿宋_GB2312" w:eastAsia="仿宋_GB2312" w:cs="仿宋_GB2312"/>
              </w:rPr>
            </w:pPr>
            <w:r>
              <w:rPr>
                <w:rFonts w:hint="eastAsia" w:ascii="仿宋_GB2312" w:hAnsi="仿宋_GB2312" w:eastAsia="仿宋_GB2312" w:cs="仿宋_GB2312"/>
              </w:rPr>
              <w:t>500</w:t>
            </w:r>
          </w:p>
        </w:tc>
        <w:tc>
          <w:tcPr>
            <w:tcW w:w="3353" w:type="dxa"/>
            <w:vMerge w:val="continue"/>
          </w:tcPr>
          <w:p w14:paraId="30ADA6EB">
            <w:pPr>
              <w:spacing w:line="300" w:lineRule="exact"/>
              <w:rPr>
                <w:rFonts w:ascii="仿宋_GB2312" w:hAnsi="仿宋_GB2312" w:eastAsia="仿宋_GB2312" w:cs="仿宋_GB2312"/>
              </w:rPr>
            </w:pPr>
          </w:p>
        </w:tc>
        <w:tc>
          <w:tcPr>
            <w:tcW w:w="3104" w:type="dxa"/>
            <w:vMerge w:val="continue"/>
            <w:vAlign w:val="center"/>
          </w:tcPr>
          <w:p w14:paraId="07B95BC3">
            <w:pPr>
              <w:spacing w:line="300" w:lineRule="exact"/>
              <w:rPr>
                <w:rFonts w:ascii="仿宋_GB2312" w:hAnsi="仿宋_GB2312" w:eastAsia="仿宋_GB2312" w:cs="仿宋_GB2312"/>
              </w:rPr>
            </w:pPr>
          </w:p>
        </w:tc>
      </w:tr>
      <w:tr w14:paraId="5A07B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atLeast"/>
          <w:jc w:val="center"/>
        </w:trPr>
        <w:tc>
          <w:tcPr>
            <w:tcW w:w="1202" w:type="dxa"/>
            <w:vMerge w:val="continue"/>
            <w:vAlign w:val="center"/>
          </w:tcPr>
          <w:p w14:paraId="4D847D3F">
            <w:pPr>
              <w:jc w:val="center"/>
              <w:rPr>
                <w:rFonts w:ascii="仿宋_GB2312" w:hAnsi="仿宋_GB2312" w:eastAsia="仿宋_GB2312" w:cs="仿宋_GB2312"/>
              </w:rPr>
            </w:pPr>
          </w:p>
        </w:tc>
        <w:tc>
          <w:tcPr>
            <w:tcW w:w="668" w:type="dxa"/>
            <w:vAlign w:val="center"/>
          </w:tcPr>
          <w:p w14:paraId="453822F7">
            <w:pPr>
              <w:jc w:val="center"/>
              <w:rPr>
                <w:rFonts w:ascii="仿宋_GB2312" w:hAnsi="仿宋_GB2312" w:eastAsia="仿宋_GB2312" w:cs="仿宋_GB2312"/>
              </w:rPr>
            </w:pPr>
            <w:r>
              <w:rPr>
                <w:rFonts w:hint="eastAsia" w:ascii="仿宋_GB2312" w:hAnsi="仿宋_GB2312" w:eastAsia="仿宋_GB2312" w:cs="仿宋_GB2312"/>
              </w:rPr>
              <w:t>二类</w:t>
            </w:r>
          </w:p>
        </w:tc>
        <w:tc>
          <w:tcPr>
            <w:tcW w:w="991" w:type="dxa"/>
            <w:vAlign w:val="center"/>
          </w:tcPr>
          <w:p w14:paraId="31008A1B">
            <w:pPr>
              <w:jc w:val="center"/>
              <w:rPr>
                <w:rFonts w:ascii="仿宋_GB2312" w:hAnsi="仿宋_GB2312" w:eastAsia="仿宋_GB2312" w:cs="仿宋_GB2312"/>
              </w:rPr>
            </w:pPr>
            <w:r>
              <w:rPr>
                <w:rFonts w:hint="eastAsia" w:ascii="仿宋_GB2312" w:hAnsi="仿宋_GB2312" w:eastAsia="仿宋_GB2312" w:cs="仿宋_GB2312"/>
              </w:rPr>
              <w:t>450</w:t>
            </w:r>
          </w:p>
        </w:tc>
        <w:tc>
          <w:tcPr>
            <w:tcW w:w="3353" w:type="dxa"/>
            <w:vMerge w:val="continue"/>
          </w:tcPr>
          <w:p w14:paraId="05404C5A">
            <w:pPr>
              <w:spacing w:line="300" w:lineRule="exact"/>
              <w:rPr>
                <w:rFonts w:ascii="仿宋_GB2312" w:hAnsi="仿宋_GB2312" w:eastAsia="仿宋_GB2312" w:cs="仿宋_GB2312"/>
              </w:rPr>
            </w:pPr>
          </w:p>
        </w:tc>
        <w:tc>
          <w:tcPr>
            <w:tcW w:w="3104" w:type="dxa"/>
            <w:vMerge w:val="continue"/>
            <w:vAlign w:val="center"/>
          </w:tcPr>
          <w:p w14:paraId="585D3AC9">
            <w:pPr>
              <w:spacing w:line="300" w:lineRule="exact"/>
              <w:rPr>
                <w:rFonts w:ascii="仿宋_GB2312" w:hAnsi="仿宋_GB2312" w:eastAsia="仿宋_GB2312" w:cs="仿宋_GB2312"/>
              </w:rPr>
            </w:pPr>
          </w:p>
        </w:tc>
      </w:tr>
      <w:tr w14:paraId="78A1D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jc w:val="center"/>
        </w:trPr>
        <w:tc>
          <w:tcPr>
            <w:tcW w:w="1202" w:type="dxa"/>
            <w:vAlign w:val="center"/>
          </w:tcPr>
          <w:p w14:paraId="6FF1F570">
            <w:pPr>
              <w:jc w:val="center"/>
              <w:rPr>
                <w:rFonts w:ascii="仿宋_GB2312" w:hAnsi="仿宋_GB2312" w:eastAsia="仿宋_GB2312" w:cs="仿宋_GB2312"/>
              </w:rPr>
            </w:pPr>
            <w:r>
              <w:rPr>
                <w:rFonts w:hint="eastAsia" w:ascii="仿宋_GB2312" w:hAnsi="仿宋_GB2312" w:eastAsia="仿宋_GB2312" w:cs="仿宋_GB2312"/>
                <w:color w:val="000000"/>
                <w:kern w:val="0"/>
                <w:sz w:val="20"/>
                <w:szCs w:val="20"/>
              </w:rPr>
              <w:t>砖木</w:t>
            </w:r>
          </w:p>
        </w:tc>
        <w:tc>
          <w:tcPr>
            <w:tcW w:w="1659" w:type="dxa"/>
            <w:gridSpan w:val="2"/>
            <w:vAlign w:val="center"/>
          </w:tcPr>
          <w:p w14:paraId="183F3B78">
            <w:pPr>
              <w:jc w:val="center"/>
              <w:rPr>
                <w:rFonts w:ascii="仿宋_GB2312" w:hAnsi="仿宋_GB2312" w:eastAsia="仿宋_GB2312" w:cs="仿宋_GB2312"/>
              </w:rPr>
            </w:pPr>
            <w:r>
              <w:rPr>
                <w:rFonts w:hint="eastAsia" w:ascii="仿宋_GB2312" w:hAnsi="仿宋_GB2312" w:eastAsia="仿宋_GB2312" w:cs="仿宋_GB2312"/>
              </w:rPr>
              <w:t>400</w:t>
            </w:r>
          </w:p>
        </w:tc>
        <w:tc>
          <w:tcPr>
            <w:tcW w:w="3353" w:type="dxa"/>
            <w:vMerge w:val="restart"/>
          </w:tcPr>
          <w:p w14:paraId="2B5AB489">
            <w:pPr>
              <w:spacing w:line="300" w:lineRule="exact"/>
              <w:rPr>
                <w:rFonts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1.室内地面（含防潮层）</w:t>
            </w:r>
            <w:r>
              <w:rPr>
                <w:rFonts w:hint="eastAsia" w:ascii="仿宋_GB2312" w:hAnsi="仿宋_GB2312" w:eastAsia="仿宋_GB2312" w:cs="仿宋_GB2312"/>
                <w:color w:val="000000"/>
                <w:kern w:val="0"/>
                <w:sz w:val="20"/>
                <w:szCs w:val="20"/>
                <w:lang w:eastAsia="zh-CN"/>
              </w:rPr>
              <w:t>：</w:t>
            </w:r>
            <w:r>
              <w:rPr>
                <w:rFonts w:hint="eastAsia" w:ascii="仿宋_GB2312" w:hAnsi="仿宋_GB2312" w:eastAsia="仿宋_GB2312" w:cs="仿宋_GB2312"/>
                <w:color w:val="000000"/>
                <w:kern w:val="0"/>
                <w:sz w:val="20"/>
                <w:szCs w:val="20"/>
              </w:rPr>
              <w:t>防滑地面砖、实木或仿实木地板；2.室内墙面：刮涂、各类木质板材质墙面；3.室内顶面：一级吊顶以上标准；4.厨房、厕所、洗漱间：墙面贴瓷；室内水电、室内壁柜等设施齐全；5.外墙正面</w:t>
            </w:r>
            <w:r>
              <w:rPr>
                <w:rFonts w:hint="eastAsia" w:ascii="仿宋_GB2312" w:hAnsi="仿宋_GB2312" w:eastAsia="仿宋_GB2312" w:cs="仿宋_GB2312"/>
                <w:color w:val="000000"/>
                <w:kern w:val="0"/>
                <w:sz w:val="20"/>
                <w:szCs w:val="20"/>
                <w:lang w:val="zh-CN"/>
              </w:rPr>
              <w:t>和两侧：</w:t>
            </w:r>
            <w:r>
              <w:rPr>
                <w:rFonts w:hint="eastAsia" w:ascii="仿宋_GB2312" w:hAnsi="仿宋_GB2312" w:eastAsia="仿宋_GB2312" w:cs="仿宋_GB2312"/>
                <w:color w:val="000000"/>
                <w:kern w:val="0"/>
                <w:sz w:val="20"/>
                <w:szCs w:val="20"/>
              </w:rPr>
              <w:t>贴面</w:t>
            </w:r>
            <w:r>
              <w:rPr>
                <w:rFonts w:hint="eastAsia" w:ascii="仿宋_GB2312" w:hAnsi="仿宋_GB2312" w:eastAsia="仿宋_GB2312" w:cs="仿宋_GB2312"/>
                <w:color w:val="000000"/>
                <w:kern w:val="0"/>
                <w:sz w:val="20"/>
                <w:szCs w:val="20"/>
                <w:lang w:val="zh-CN"/>
              </w:rPr>
              <w:t>砖，</w:t>
            </w:r>
            <w:r>
              <w:rPr>
                <w:rFonts w:hint="eastAsia" w:ascii="仿宋_GB2312" w:hAnsi="仿宋_GB2312" w:eastAsia="仿宋_GB2312" w:cs="仿宋_GB2312"/>
                <w:color w:val="000000"/>
                <w:kern w:val="0"/>
                <w:sz w:val="20"/>
                <w:szCs w:val="20"/>
              </w:rPr>
              <w:t>其他为干粘石以上标准；6.门、窗、网蓬、门窗套：各类防盗门、各类材质装饰门；塑钢、铝合金玻璃窗；各类金属材质防盗网、雨篷；门窗套为水曲柳或仿榉木板以上标准。</w:t>
            </w:r>
          </w:p>
        </w:tc>
        <w:tc>
          <w:tcPr>
            <w:tcW w:w="3104" w:type="dxa"/>
            <w:vMerge w:val="restart"/>
            <w:vAlign w:val="center"/>
          </w:tcPr>
          <w:p w14:paraId="7111A3FE">
            <w:pPr>
              <w:spacing w:line="300" w:lineRule="exact"/>
              <w:rPr>
                <w:rFonts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1.房屋主体部分每缺少一项扣减20元/㎡；2.以上补偿只限合法房屋或经认定后视同为合法房屋装（修）饰的补偿；3.以上补偿按房屋主体建筑面积计算。</w:t>
            </w:r>
          </w:p>
        </w:tc>
      </w:tr>
      <w:tr w14:paraId="2E69C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8" w:hRule="atLeast"/>
          <w:jc w:val="center"/>
        </w:trPr>
        <w:tc>
          <w:tcPr>
            <w:tcW w:w="1202" w:type="dxa"/>
            <w:vAlign w:val="center"/>
          </w:tcPr>
          <w:p w14:paraId="2C9E9B48">
            <w:pPr>
              <w:jc w:val="center"/>
              <w:rPr>
                <w:rFonts w:ascii="仿宋_GB2312" w:hAnsi="仿宋_GB2312" w:eastAsia="仿宋_GB2312" w:cs="仿宋_GB2312"/>
              </w:rPr>
            </w:pPr>
            <w:r>
              <w:rPr>
                <w:rFonts w:hint="eastAsia" w:ascii="仿宋_GB2312" w:hAnsi="仿宋_GB2312" w:eastAsia="仿宋_GB2312" w:cs="仿宋_GB2312"/>
                <w:color w:val="000000"/>
                <w:kern w:val="0"/>
                <w:sz w:val="20"/>
                <w:szCs w:val="20"/>
              </w:rPr>
              <w:t>砖木偏房</w:t>
            </w:r>
          </w:p>
        </w:tc>
        <w:tc>
          <w:tcPr>
            <w:tcW w:w="1659" w:type="dxa"/>
            <w:gridSpan w:val="2"/>
            <w:vAlign w:val="center"/>
          </w:tcPr>
          <w:p w14:paraId="1C4DB1F2">
            <w:pPr>
              <w:jc w:val="center"/>
              <w:rPr>
                <w:rFonts w:ascii="仿宋_GB2312" w:hAnsi="仿宋_GB2312" w:eastAsia="仿宋_GB2312" w:cs="仿宋_GB2312"/>
              </w:rPr>
            </w:pPr>
            <w:r>
              <w:rPr>
                <w:rFonts w:hint="eastAsia" w:ascii="仿宋_GB2312" w:hAnsi="仿宋_GB2312" w:eastAsia="仿宋_GB2312" w:cs="仿宋_GB2312"/>
              </w:rPr>
              <w:t>300</w:t>
            </w:r>
          </w:p>
        </w:tc>
        <w:tc>
          <w:tcPr>
            <w:tcW w:w="3353" w:type="dxa"/>
            <w:vMerge w:val="continue"/>
          </w:tcPr>
          <w:p w14:paraId="0FA67D2B">
            <w:pPr>
              <w:spacing w:line="300" w:lineRule="exact"/>
              <w:rPr>
                <w:rFonts w:ascii="仿宋_GB2312" w:hAnsi="仿宋_GB2312" w:eastAsia="仿宋_GB2312" w:cs="仿宋_GB2312"/>
              </w:rPr>
            </w:pPr>
          </w:p>
        </w:tc>
        <w:tc>
          <w:tcPr>
            <w:tcW w:w="3104" w:type="dxa"/>
            <w:vMerge w:val="continue"/>
          </w:tcPr>
          <w:p w14:paraId="349A980F">
            <w:pPr>
              <w:spacing w:line="300" w:lineRule="exact"/>
              <w:rPr>
                <w:rFonts w:ascii="仿宋_GB2312" w:hAnsi="仿宋_GB2312" w:eastAsia="仿宋_GB2312" w:cs="仿宋_GB2312"/>
              </w:rPr>
            </w:pPr>
          </w:p>
        </w:tc>
      </w:tr>
      <w:tr w14:paraId="78437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8" w:hRule="atLeast"/>
          <w:jc w:val="center"/>
        </w:trPr>
        <w:tc>
          <w:tcPr>
            <w:tcW w:w="1202" w:type="dxa"/>
            <w:vAlign w:val="center"/>
          </w:tcPr>
          <w:p w14:paraId="68B96682">
            <w:pPr>
              <w:jc w:val="center"/>
              <w:rPr>
                <w:rFonts w:ascii="仿宋_GB2312" w:hAnsi="仿宋_GB2312" w:eastAsia="仿宋_GB2312" w:cs="仿宋_GB2312"/>
              </w:rPr>
            </w:pPr>
            <w:r>
              <w:rPr>
                <w:rFonts w:hint="eastAsia" w:ascii="仿宋_GB2312" w:hAnsi="仿宋_GB2312" w:eastAsia="仿宋_GB2312" w:cs="仿宋_GB2312"/>
                <w:color w:val="000000"/>
                <w:kern w:val="0"/>
                <w:sz w:val="20"/>
                <w:szCs w:val="20"/>
              </w:rPr>
              <w:t>木结构类</w:t>
            </w:r>
          </w:p>
        </w:tc>
        <w:tc>
          <w:tcPr>
            <w:tcW w:w="1659" w:type="dxa"/>
            <w:gridSpan w:val="2"/>
            <w:vAlign w:val="center"/>
          </w:tcPr>
          <w:p w14:paraId="7ADA7320">
            <w:pPr>
              <w:jc w:val="center"/>
              <w:rPr>
                <w:rFonts w:ascii="仿宋_GB2312" w:hAnsi="仿宋_GB2312" w:eastAsia="仿宋_GB2312" w:cs="仿宋_GB2312"/>
              </w:rPr>
            </w:pPr>
            <w:r>
              <w:rPr>
                <w:rFonts w:hint="eastAsia" w:ascii="仿宋_GB2312" w:hAnsi="仿宋_GB2312" w:eastAsia="仿宋_GB2312" w:cs="仿宋_GB2312"/>
              </w:rPr>
              <w:t>260</w:t>
            </w:r>
          </w:p>
        </w:tc>
        <w:tc>
          <w:tcPr>
            <w:tcW w:w="3353" w:type="dxa"/>
          </w:tcPr>
          <w:p w14:paraId="1BC50909">
            <w:pPr>
              <w:spacing w:line="300" w:lineRule="exact"/>
              <w:rPr>
                <w:rFonts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1.室内地面（含防潮层）：防滑地面砖、实木或仿实木地板；2.室内墙面：刮涂、各类木质板材质墙面；3.厨房、厕所、洗漱间：室内水电等设施齐全；4.门、窗、网蓬、门窗套；各类材质装饰门；塑钢玻璃窗；各类金属材质防盗网、雨篷。</w:t>
            </w:r>
          </w:p>
        </w:tc>
        <w:tc>
          <w:tcPr>
            <w:tcW w:w="3104" w:type="dxa"/>
            <w:vAlign w:val="center"/>
          </w:tcPr>
          <w:p w14:paraId="7683881F">
            <w:pPr>
              <w:spacing w:line="300" w:lineRule="exact"/>
              <w:rPr>
                <w:rFonts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1.房屋主体部分每缺少一项扣减30元/㎡；2.以上补偿只限合法房屋或经认定后视同为合法房屋装（修）饰的补偿；3.以上补偿按房屋主体建筑面积计算。</w:t>
            </w:r>
          </w:p>
        </w:tc>
      </w:tr>
    </w:tbl>
    <w:p w14:paraId="57012A66">
      <w:pPr>
        <w:rPr>
          <w:rFonts w:ascii="仿宋_GB2312" w:hAnsi="仿宋_GB2312" w:eastAsia="仿宋_GB2312" w:cs="仿宋_GB2312"/>
        </w:rPr>
      </w:pPr>
      <w:r>
        <w:rPr>
          <w:rFonts w:hint="eastAsia" w:ascii="仿宋_GB2312" w:hAnsi="仿宋_GB2312" w:eastAsia="仿宋_GB2312" w:cs="仿宋_GB2312"/>
        </w:rPr>
        <w:t>注：本补偿标准不包括本办法（附件7）里描述的各房屋类别的主要特征。</w:t>
      </w:r>
    </w:p>
    <w:p w14:paraId="7E8007F9">
      <w:pPr>
        <w:spacing w:line="560" w:lineRule="exact"/>
        <w:rPr>
          <w:rFonts w:ascii="仿宋_GB2312" w:hAnsi="仿宋_GB2312" w:eastAsia="仿宋_GB2312" w:cs="仿宋_GB2312"/>
          <w:bCs/>
          <w:color w:val="000000"/>
          <w:sz w:val="32"/>
          <w:szCs w:val="32"/>
        </w:rPr>
        <w:sectPr>
          <w:pgSz w:w="11906" w:h="16838"/>
          <w:pgMar w:top="1701" w:right="1304" w:bottom="1134" w:left="1531" w:header="851" w:footer="992" w:gutter="0"/>
          <w:cols w:space="425" w:num="1"/>
          <w:docGrid w:type="lines" w:linePitch="312" w:charSpace="0"/>
        </w:sectPr>
      </w:pPr>
    </w:p>
    <w:p w14:paraId="2D2C568C">
      <w:pPr>
        <w:spacing w:line="560" w:lineRule="exact"/>
        <w:rPr>
          <w:rFonts w:hint="eastAsia" w:ascii="黑体" w:hAnsi="黑体" w:eastAsia="黑体" w:cs="仿宋_GB2312"/>
          <w:bCs/>
          <w:color w:val="000000"/>
          <w:sz w:val="32"/>
          <w:szCs w:val="32"/>
        </w:rPr>
      </w:pPr>
      <w:r>
        <w:rPr>
          <w:rFonts w:hint="eastAsia" w:ascii="黑体" w:hAnsi="黑体" w:eastAsia="黑体" w:cs="仿宋_GB2312"/>
          <w:bCs/>
          <w:color w:val="000000"/>
          <w:sz w:val="32"/>
          <w:szCs w:val="32"/>
        </w:rPr>
        <w:t>附件9</w:t>
      </w:r>
    </w:p>
    <w:p w14:paraId="419F0CA8">
      <w:pPr>
        <w:spacing w:line="560" w:lineRule="exact"/>
        <w:rPr>
          <w:rFonts w:ascii="黑体" w:hAnsi="黑体" w:eastAsia="黑体" w:cs="仿宋_GB2312"/>
          <w:bCs/>
          <w:color w:val="000000"/>
          <w:sz w:val="32"/>
          <w:szCs w:val="32"/>
        </w:rPr>
      </w:pPr>
    </w:p>
    <w:p w14:paraId="11FC149B">
      <w:pPr>
        <w:spacing w:line="560" w:lineRule="exact"/>
        <w:jc w:val="center"/>
        <w:rPr>
          <w:rFonts w:hint="eastAsia" w:ascii="方正小标宋简体" w:hAnsi="方正小标宋简体" w:eastAsia="方正小标宋简体" w:cs="方正小标宋简体"/>
          <w:bCs/>
          <w:color w:val="000000"/>
          <w:sz w:val="44"/>
          <w:szCs w:val="44"/>
        </w:rPr>
      </w:pPr>
      <w:r>
        <w:rPr>
          <w:rFonts w:hint="eastAsia" w:ascii="方正小标宋简体" w:hAnsi="方正小标宋简体" w:eastAsia="方正小标宋简体" w:cs="方正小标宋简体"/>
          <w:bCs/>
          <w:color w:val="000000"/>
          <w:sz w:val="44"/>
          <w:szCs w:val="44"/>
        </w:rPr>
        <w:t>新晃侗族自治县集体土地上生产生活设施和</w:t>
      </w:r>
    </w:p>
    <w:p w14:paraId="1B5519AF">
      <w:pPr>
        <w:spacing w:line="560" w:lineRule="exact"/>
        <w:jc w:val="center"/>
        <w:rPr>
          <w:rFonts w:hint="eastAsia" w:ascii="方正小标宋简体" w:hAnsi="方正小标宋简体" w:eastAsia="方正小标宋简体" w:cs="方正小标宋简体"/>
          <w:bCs/>
          <w:color w:val="000000"/>
          <w:sz w:val="44"/>
          <w:szCs w:val="44"/>
        </w:rPr>
      </w:pPr>
      <w:r>
        <w:rPr>
          <w:rFonts w:hint="eastAsia" w:ascii="方正小标宋简体" w:hAnsi="方正小标宋简体" w:eastAsia="方正小标宋简体" w:cs="方正小标宋简体"/>
          <w:bCs/>
          <w:color w:val="000000"/>
          <w:sz w:val="44"/>
          <w:szCs w:val="44"/>
        </w:rPr>
        <w:t>地上建（构）筑物及附着物补偿标准</w:t>
      </w:r>
    </w:p>
    <w:p w14:paraId="6EC2BCFE">
      <w:pPr>
        <w:spacing w:line="560" w:lineRule="exact"/>
        <w:jc w:val="center"/>
        <w:rPr>
          <w:rFonts w:ascii="方正小标宋简体" w:hAnsi="方正小标宋简体" w:eastAsia="方正小标宋简体" w:cs="方正小标宋简体"/>
          <w:bCs/>
          <w:color w:val="000000"/>
          <w:sz w:val="44"/>
          <w:szCs w:val="44"/>
        </w:rPr>
      </w:pPr>
    </w:p>
    <w:tbl>
      <w:tblPr>
        <w:tblStyle w:val="18"/>
        <w:tblW w:w="9798" w:type="dxa"/>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108" w:type="dxa"/>
          <w:bottom w:w="0" w:type="dxa"/>
          <w:right w:w="108" w:type="dxa"/>
        </w:tblCellMar>
      </w:tblPr>
      <w:tblGrid>
        <w:gridCol w:w="637"/>
        <w:gridCol w:w="491"/>
        <w:gridCol w:w="1233"/>
        <w:gridCol w:w="856"/>
        <w:gridCol w:w="261"/>
        <w:gridCol w:w="588"/>
        <w:gridCol w:w="331"/>
        <w:gridCol w:w="1054"/>
        <w:gridCol w:w="3984"/>
        <w:gridCol w:w="363"/>
      </w:tblGrid>
      <w:tr w14:paraId="24092FA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gridAfter w:val="1"/>
          <w:wAfter w:w="363" w:type="dxa"/>
          <w:trHeight w:val="499" w:hRule="atLeast"/>
          <w:jc w:val="center"/>
        </w:trPr>
        <w:tc>
          <w:tcPr>
            <w:tcW w:w="1128" w:type="dxa"/>
            <w:gridSpan w:val="2"/>
            <w:tcBorders>
              <w:top w:val="single" w:color="auto" w:sz="4" w:space="0"/>
              <w:left w:val="single" w:color="auto" w:sz="4" w:space="0"/>
              <w:bottom w:val="single" w:color="auto" w:sz="4" w:space="0"/>
              <w:right w:val="single" w:color="auto" w:sz="4" w:space="0"/>
            </w:tcBorders>
            <w:vAlign w:val="center"/>
          </w:tcPr>
          <w:p w14:paraId="191FE81A">
            <w:pPr>
              <w:spacing w:line="240" w:lineRule="exact"/>
              <w:jc w:val="center"/>
              <w:rPr>
                <w:rFonts w:ascii="仿宋_GB2312" w:hAnsi="仿宋_GB2312" w:eastAsia="仿宋_GB2312" w:cs="仿宋_GB2312"/>
                <w:b/>
                <w:bCs/>
                <w:color w:val="000000"/>
                <w:kern w:val="0"/>
                <w:szCs w:val="21"/>
              </w:rPr>
            </w:pPr>
            <w:r>
              <w:rPr>
                <w:rFonts w:hint="eastAsia" w:ascii="仿宋_GB2312" w:hAnsi="仿宋_GB2312" w:eastAsia="仿宋_GB2312" w:cs="仿宋_GB2312"/>
                <w:b/>
                <w:bCs/>
                <w:color w:val="000000"/>
                <w:kern w:val="0"/>
                <w:szCs w:val="21"/>
              </w:rPr>
              <w:t>项目</w:t>
            </w:r>
          </w:p>
        </w:tc>
        <w:tc>
          <w:tcPr>
            <w:tcW w:w="2350" w:type="dxa"/>
            <w:gridSpan w:val="3"/>
            <w:tcBorders>
              <w:top w:val="single" w:color="auto" w:sz="4" w:space="0"/>
              <w:left w:val="nil"/>
              <w:bottom w:val="single" w:color="auto" w:sz="4" w:space="0"/>
              <w:right w:val="single" w:color="auto" w:sz="4" w:space="0"/>
            </w:tcBorders>
            <w:vAlign w:val="center"/>
          </w:tcPr>
          <w:p w14:paraId="77072FC2">
            <w:pPr>
              <w:spacing w:line="240" w:lineRule="exact"/>
              <w:jc w:val="center"/>
              <w:rPr>
                <w:rFonts w:ascii="仿宋_GB2312" w:hAnsi="仿宋_GB2312" w:eastAsia="仿宋_GB2312" w:cs="仿宋_GB2312"/>
                <w:b/>
                <w:bCs/>
                <w:color w:val="000000"/>
                <w:kern w:val="0"/>
                <w:szCs w:val="21"/>
              </w:rPr>
            </w:pPr>
            <w:r>
              <w:rPr>
                <w:rFonts w:hint="eastAsia" w:ascii="仿宋_GB2312" w:hAnsi="仿宋_GB2312" w:eastAsia="仿宋_GB2312" w:cs="仿宋_GB2312"/>
                <w:b/>
                <w:bCs/>
                <w:color w:val="000000"/>
                <w:kern w:val="0"/>
                <w:szCs w:val="21"/>
              </w:rPr>
              <w:t>名称</w:t>
            </w:r>
          </w:p>
        </w:tc>
        <w:tc>
          <w:tcPr>
            <w:tcW w:w="919" w:type="dxa"/>
            <w:gridSpan w:val="2"/>
            <w:tcBorders>
              <w:top w:val="single" w:color="auto" w:sz="4" w:space="0"/>
              <w:left w:val="nil"/>
              <w:bottom w:val="single" w:color="auto" w:sz="4" w:space="0"/>
              <w:right w:val="single" w:color="auto" w:sz="4" w:space="0"/>
            </w:tcBorders>
            <w:vAlign w:val="center"/>
          </w:tcPr>
          <w:p w14:paraId="1ADC5B9C">
            <w:pPr>
              <w:spacing w:line="240" w:lineRule="exact"/>
              <w:jc w:val="center"/>
              <w:rPr>
                <w:rFonts w:ascii="仿宋_GB2312" w:hAnsi="仿宋_GB2312" w:eastAsia="仿宋_GB2312" w:cs="仿宋_GB2312"/>
                <w:b/>
                <w:bCs/>
                <w:color w:val="000000"/>
                <w:kern w:val="0"/>
                <w:szCs w:val="21"/>
              </w:rPr>
            </w:pPr>
            <w:r>
              <w:rPr>
                <w:rFonts w:hint="eastAsia" w:ascii="仿宋_GB2312" w:hAnsi="仿宋_GB2312" w:eastAsia="仿宋_GB2312" w:cs="仿宋_GB2312"/>
                <w:b/>
                <w:bCs/>
                <w:color w:val="000000"/>
                <w:kern w:val="0"/>
                <w:szCs w:val="21"/>
              </w:rPr>
              <w:t>单位</w:t>
            </w:r>
          </w:p>
        </w:tc>
        <w:tc>
          <w:tcPr>
            <w:tcW w:w="1054" w:type="dxa"/>
            <w:tcBorders>
              <w:top w:val="single" w:color="auto" w:sz="4" w:space="0"/>
              <w:left w:val="nil"/>
              <w:bottom w:val="single" w:color="auto" w:sz="4" w:space="0"/>
              <w:right w:val="single" w:color="auto" w:sz="4" w:space="0"/>
            </w:tcBorders>
            <w:vAlign w:val="center"/>
          </w:tcPr>
          <w:p w14:paraId="6D0AF259">
            <w:pPr>
              <w:spacing w:line="240" w:lineRule="exact"/>
              <w:jc w:val="center"/>
              <w:rPr>
                <w:rFonts w:ascii="仿宋_GB2312" w:hAnsi="仿宋_GB2312" w:eastAsia="仿宋_GB2312" w:cs="仿宋_GB2312"/>
                <w:b/>
                <w:bCs/>
                <w:color w:val="000000"/>
                <w:kern w:val="0"/>
                <w:szCs w:val="21"/>
              </w:rPr>
            </w:pPr>
            <w:r>
              <w:rPr>
                <w:rFonts w:hint="eastAsia" w:ascii="仿宋_GB2312" w:hAnsi="仿宋_GB2312" w:eastAsia="仿宋_GB2312" w:cs="仿宋_GB2312"/>
                <w:b/>
                <w:bCs/>
                <w:color w:val="000000"/>
                <w:kern w:val="0"/>
                <w:szCs w:val="21"/>
              </w:rPr>
              <w:t>补偿金额（元）</w:t>
            </w:r>
          </w:p>
        </w:tc>
        <w:tc>
          <w:tcPr>
            <w:tcW w:w="3984" w:type="dxa"/>
            <w:tcBorders>
              <w:top w:val="single" w:color="auto" w:sz="4" w:space="0"/>
              <w:left w:val="nil"/>
              <w:bottom w:val="single" w:color="auto" w:sz="4" w:space="0"/>
              <w:right w:val="single" w:color="auto" w:sz="4" w:space="0"/>
            </w:tcBorders>
            <w:vAlign w:val="center"/>
          </w:tcPr>
          <w:p w14:paraId="406E88A5">
            <w:pPr>
              <w:spacing w:line="240" w:lineRule="exact"/>
              <w:jc w:val="center"/>
              <w:rPr>
                <w:rFonts w:ascii="仿宋_GB2312" w:hAnsi="仿宋_GB2312" w:eastAsia="仿宋_GB2312" w:cs="仿宋_GB2312"/>
                <w:b/>
                <w:bCs/>
                <w:color w:val="000000"/>
                <w:kern w:val="0"/>
                <w:szCs w:val="21"/>
              </w:rPr>
            </w:pPr>
            <w:r>
              <w:rPr>
                <w:rFonts w:hint="eastAsia" w:ascii="仿宋_GB2312" w:hAnsi="仿宋_GB2312" w:eastAsia="仿宋_GB2312" w:cs="仿宋_GB2312"/>
                <w:b/>
                <w:bCs/>
                <w:color w:val="000000"/>
                <w:kern w:val="0"/>
                <w:szCs w:val="21"/>
              </w:rPr>
              <w:t>说明</w:t>
            </w:r>
          </w:p>
        </w:tc>
      </w:tr>
      <w:tr w14:paraId="07E67C7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gridAfter w:val="1"/>
          <w:wAfter w:w="363" w:type="dxa"/>
          <w:cantSplit/>
          <w:trHeight w:val="499" w:hRule="atLeast"/>
          <w:jc w:val="center"/>
        </w:trPr>
        <w:tc>
          <w:tcPr>
            <w:tcW w:w="1128" w:type="dxa"/>
            <w:gridSpan w:val="2"/>
            <w:vMerge w:val="restart"/>
            <w:tcBorders>
              <w:top w:val="nil"/>
              <w:left w:val="single" w:color="auto" w:sz="4" w:space="0"/>
              <w:bottom w:val="single" w:color="auto" w:sz="4" w:space="0"/>
              <w:right w:val="single" w:color="auto" w:sz="4" w:space="0"/>
            </w:tcBorders>
            <w:vAlign w:val="center"/>
          </w:tcPr>
          <w:p w14:paraId="076A2754">
            <w:pPr>
              <w:spacing w:line="240" w:lineRule="exact"/>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晒坪类</w:t>
            </w:r>
          </w:p>
        </w:tc>
        <w:tc>
          <w:tcPr>
            <w:tcW w:w="2350" w:type="dxa"/>
            <w:gridSpan w:val="3"/>
            <w:tcBorders>
              <w:top w:val="nil"/>
              <w:left w:val="nil"/>
              <w:bottom w:val="single" w:color="auto" w:sz="4" w:space="0"/>
              <w:right w:val="single" w:color="auto" w:sz="4" w:space="0"/>
            </w:tcBorders>
            <w:vAlign w:val="center"/>
          </w:tcPr>
          <w:p w14:paraId="4E63324D">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岩板坪</w:t>
            </w:r>
          </w:p>
        </w:tc>
        <w:tc>
          <w:tcPr>
            <w:tcW w:w="919" w:type="dxa"/>
            <w:gridSpan w:val="2"/>
            <w:tcBorders>
              <w:top w:val="nil"/>
              <w:left w:val="nil"/>
              <w:bottom w:val="single" w:color="auto" w:sz="4" w:space="0"/>
              <w:right w:val="single" w:color="auto" w:sz="4" w:space="0"/>
            </w:tcBorders>
            <w:vAlign w:val="center"/>
          </w:tcPr>
          <w:p w14:paraId="080CB519">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平方米</w:t>
            </w:r>
          </w:p>
        </w:tc>
        <w:tc>
          <w:tcPr>
            <w:tcW w:w="1054" w:type="dxa"/>
            <w:tcBorders>
              <w:top w:val="nil"/>
              <w:left w:val="nil"/>
              <w:bottom w:val="single" w:color="auto" w:sz="4" w:space="0"/>
              <w:right w:val="single" w:color="auto" w:sz="4" w:space="0"/>
            </w:tcBorders>
            <w:vAlign w:val="center"/>
          </w:tcPr>
          <w:p w14:paraId="2708B933">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65</w:t>
            </w:r>
          </w:p>
        </w:tc>
        <w:tc>
          <w:tcPr>
            <w:tcW w:w="3984" w:type="dxa"/>
            <w:tcBorders>
              <w:top w:val="nil"/>
              <w:left w:val="nil"/>
              <w:bottom w:val="single" w:color="auto" w:sz="4" w:space="0"/>
              <w:right w:val="single" w:color="auto" w:sz="4" w:space="0"/>
            </w:tcBorders>
            <w:vAlign w:val="center"/>
          </w:tcPr>
          <w:p w14:paraId="565D4970">
            <w:pPr>
              <w:spacing w:line="240" w:lineRule="exact"/>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厚度不少于6cm，岩匠过钻，抹平安砌；未达此标准，按水泥坪标准补偿。</w:t>
            </w:r>
          </w:p>
        </w:tc>
      </w:tr>
      <w:tr w14:paraId="610E8D7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gridAfter w:val="1"/>
          <w:wAfter w:w="363" w:type="dxa"/>
          <w:cantSplit/>
          <w:trHeight w:val="499" w:hRule="atLeast"/>
          <w:jc w:val="center"/>
        </w:trPr>
        <w:tc>
          <w:tcPr>
            <w:tcW w:w="1128" w:type="dxa"/>
            <w:gridSpan w:val="2"/>
            <w:vMerge w:val="continue"/>
            <w:tcBorders>
              <w:top w:val="nil"/>
              <w:left w:val="single" w:color="auto" w:sz="4" w:space="0"/>
              <w:bottom w:val="single" w:color="auto" w:sz="4" w:space="0"/>
              <w:right w:val="single" w:color="auto" w:sz="4" w:space="0"/>
            </w:tcBorders>
            <w:vAlign w:val="center"/>
          </w:tcPr>
          <w:p w14:paraId="0676BE22">
            <w:pPr>
              <w:rPr>
                <w:rFonts w:ascii="仿宋_GB2312" w:hAnsi="仿宋_GB2312" w:eastAsia="仿宋_GB2312" w:cs="仿宋_GB2312"/>
              </w:rPr>
            </w:pPr>
          </w:p>
        </w:tc>
        <w:tc>
          <w:tcPr>
            <w:tcW w:w="2350" w:type="dxa"/>
            <w:gridSpan w:val="3"/>
            <w:tcBorders>
              <w:top w:val="nil"/>
              <w:left w:val="nil"/>
              <w:bottom w:val="single" w:color="auto" w:sz="4" w:space="0"/>
              <w:right w:val="single" w:color="auto" w:sz="4" w:space="0"/>
            </w:tcBorders>
            <w:vAlign w:val="center"/>
          </w:tcPr>
          <w:p w14:paraId="0EA5A5B9">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水泥坪</w:t>
            </w:r>
          </w:p>
        </w:tc>
        <w:tc>
          <w:tcPr>
            <w:tcW w:w="919" w:type="dxa"/>
            <w:gridSpan w:val="2"/>
            <w:tcBorders>
              <w:top w:val="nil"/>
              <w:left w:val="nil"/>
              <w:bottom w:val="single" w:color="auto" w:sz="4" w:space="0"/>
              <w:right w:val="single" w:color="auto" w:sz="4" w:space="0"/>
            </w:tcBorders>
            <w:vAlign w:val="center"/>
          </w:tcPr>
          <w:p w14:paraId="0DF17170">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平方米</w:t>
            </w:r>
          </w:p>
        </w:tc>
        <w:tc>
          <w:tcPr>
            <w:tcW w:w="1054" w:type="dxa"/>
            <w:tcBorders>
              <w:top w:val="nil"/>
              <w:left w:val="nil"/>
              <w:bottom w:val="single" w:color="auto" w:sz="4" w:space="0"/>
              <w:right w:val="single" w:color="auto" w:sz="4" w:space="0"/>
            </w:tcBorders>
            <w:vAlign w:val="center"/>
          </w:tcPr>
          <w:p w14:paraId="2200D50C">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60</w:t>
            </w:r>
          </w:p>
        </w:tc>
        <w:tc>
          <w:tcPr>
            <w:tcW w:w="3984" w:type="dxa"/>
            <w:tcBorders>
              <w:top w:val="nil"/>
              <w:left w:val="nil"/>
              <w:bottom w:val="single" w:color="auto" w:sz="4" w:space="0"/>
              <w:right w:val="single" w:color="auto" w:sz="4" w:space="0"/>
            </w:tcBorders>
            <w:vAlign w:val="center"/>
          </w:tcPr>
          <w:p w14:paraId="154EEF12">
            <w:pPr>
              <w:spacing w:line="240" w:lineRule="exact"/>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厚度不少于6cm，砖石垫层，水泥抹面。</w:t>
            </w:r>
          </w:p>
        </w:tc>
      </w:tr>
      <w:tr w14:paraId="0210602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gridAfter w:val="1"/>
          <w:wAfter w:w="363" w:type="dxa"/>
          <w:cantSplit/>
          <w:trHeight w:val="499" w:hRule="atLeast"/>
          <w:jc w:val="center"/>
        </w:trPr>
        <w:tc>
          <w:tcPr>
            <w:tcW w:w="1128" w:type="dxa"/>
            <w:gridSpan w:val="2"/>
            <w:vMerge w:val="continue"/>
            <w:tcBorders>
              <w:top w:val="nil"/>
              <w:left w:val="single" w:color="auto" w:sz="4" w:space="0"/>
              <w:bottom w:val="single" w:color="auto" w:sz="4" w:space="0"/>
              <w:right w:val="single" w:color="auto" w:sz="4" w:space="0"/>
            </w:tcBorders>
            <w:vAlign w:val="center"/>
          </w:tcPr>
          <w:p w14:paraId="1716B74A">
            <w:pPr>
              <w:rPr>
                <w:rFonts w:ascii="仿宋_GB2312" w:hAnsi="仿宋_GB2312" w:eastAsia="仿宋_GB2312" w:cs="仿宋_GB2312"/>
              </w:rPr>
            </w:pPr>
          </w:p>
        </w:tc>
        <w:tc>
          <w:tcPr>
            <w:tcW w:w="2350" w:type="dxa"/>
            <w:gridSpan w:val="3"/>
            <w:tcBorders>
              <w:top w:val="nil"/>
              <w:left w:val="nil"/>
              <w:bottom w:val="single" w:color="auto" w:sz="4" w:space="0"/>
              <w:right w:val="single" w:color="auto" w:sz="4" w:space="0"/>
            </w:tcBorders>
            <w:vAlign w:val="center"/>
          </w:tcPr>
          <w:p w14:paraId="5676A412">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三合土坪</w:t>
            </w:r>
          </w:p>
        </w:tc>
        <w:tc>
          <w:tcPr>
            <w:tcW w:w="919" w:type="dxa"/>
            <w:gridSpan w:val="2"/>
            <w:tcBorders>
              <w:top w:val="nil"/>
              <w:left w:val="nil"/>
              <w:bottom w:val="single" w:color="auto" w:sz="4" w:space="0"/>
              <w:right w:val="single" w:color="auto" w:sz="4" w:space="0"/>
            </w:tcBorders>
            <w:vAlign w:val="center"/>
          </w:tcPr>
          <w:p w14:paraId="69FED363">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平方米</w:t>
            </w:r>
          </w:p>
        </w:tc>
        <w:tc>
          <w:tcPr>
            <w:tcW w:w="1054" w:type="dxa"/>
            <w:tcBorders>
              <w:top w:val="nil"/>
              <w:left w:val="nil"/>
              <w:bottom w:val="single" w:color="auto" w:sz="4" w:space="0"/>
              <w:right w:val="single" w:color="auto" w:sz="4" w:space="0"/>
            </w:tcBorders>
            <w:vAlign w:val="center"/>
          </w:tcPr>
          <w:p w14:paraId="7AFC41F6">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40</w:t>
            </w:r>
          </w:p>
        </w:tc>
        <w:tc>
          <w:tcPr>
            <w:tcW w:w="3984" w:type="dxa"/>
            <w:tcBorders>
              <w:top w:val="nil"/>
              <w:left w:val="nil"/>
              <w:bottom w:val="single" w:color="auto" w:sz="4" w:space="0"/>
              <w:right w:val="single" w:color="auto" w:sz="4" w:space="0"/>
            </w:tcBorders>
            <w:vAlign w:val="center"/>
          </w:tcPr>
          <w:p w14:paraId="2B4248FD">
            <w:pPr>
              <w:spacing w:line="240" w:lineRule="exact"/>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厚度不少于6cm，三合灰捣制，表面抹光。</w:t>
            </w:r>
          </w:p>
        </w:tc>
      </w:tr>
      <w:tr w14:paraId="5568AF3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gridAfter w:val="1"/>
          <w:wAfter w:w="363" w:type="dxa"/>
          <w:cantSplit/>
          <w:trHeight w:val="499" w:hRule="atLeast"/>
          <w:jc w:val="center"/>
        </w:trPr>
        <w:tc>
          <w:tcPr>
            <w:tcW w:w="1128" w:type="dxa"/>
            <w:gridSpan w:val="2"/>
            <w:vMerge w:val="restart"/>
            <w:tcBorders>
              <w:top w:val="nil"/>
              <w:left w:val="single" w:color="auto" w:sz="4" w:space="0"/>
              <w:bottom w:val="single" w:color="auto" w:sz="4" w:space="0"/>
              <w:right w:val="single" w:color="auto" w:sz="4" w:space="0"/>
            </w:tcBorders>
            <w:vAlign w:val="center"/>
          </w:tcPr>
          <w:p w14:paraId="1B432A86">
            <w:pPr>
              <w:spacing w:line="240" w:lineRule="exact"/>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围墙类</w:t>
            </w:r>
          </w:p>
        </w:tc>
        <w:tc>
          <w:tcPr>
            <w:tcW w:w="2350" w:type="dxa"/>
            <w:gridSpan w:val="3"/>
            <w:tcBorders>
              <w:top w:val="nil"/>
              <w:left w:val="nil"/>
              <w:bottom w:val="single" w:color="auto" w:sz="4" w:space="0"/>
              <w:right w:val="single" w:color="auto" w:sz="4" w:space="0"/>
            </w:tcBorders>
            <w:vAlign w:val="center"/>
          </w:tcPr>
          <w:p w14:paraId="3D93B6B0">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24砖眠墙</w:t>
            </w:r>
          </w:p>
        </w:tc>
        <w:tc>
          <w:tcPr>
            <w:tcW w:w="919" w:type="dxa"/>
            <w:gridSpan w:val="2"/>
            <w:tcBorders>
              <w:top w:val="nil"/>
              <w:left w:val="nil"/>
              <w:bottom w:val="single" w:color="auto" w:sz="4" w:space="0"/>
              <w:right w:val="single" w:color="auto" w:sz="4" w:space="0"/>
            </w:tcBorders>
            <w:vAlign w:val="center"/>
          </w:tcPr>
          <w:p w14:paraId="04199B42">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立方米</w:t>
            </w:r>
          </w:p>
        </w:tc>
        <w:tc>
          <w:tcPr>
            <w:tcW w:w="1054" w:type="dxa"/>
            <w:tcBorders>
              <w:top w:val="nil"/>
              <w:left w:val="nil"/>
              <w:bottom w:val="single" w:color="auto" w:sz="4" w:space="0"/>
              <w:right w:val="single" w:color="auto" w:sz="4" w:space="0"/>
            </w:tcBorders>
            <w:vAlign w:val="center"/>
          </w:tcPr>
          <w:p w14:paraId="041505F7">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350</w:t>
            </w:r>
          </w:p>
        </w:tc>
        <w:tc>
          <w:tcPr>
            <w:tcW w:w="3984" w:type="dxa"/>
            <w:tcBorders>
              <w:top w:val="nil"/>
              <w:left w:val="nil"/>
              <w:bottom w:val="single" w:color="auto" w:sz="4" w:space="0"/>
              <w:right w:val="single" w:color="auto" w:sz="4" w:space="0"/>
            </w:tcBorders>
            <w:vAlign w:val="center"/>
          </w:tcPr>
          <w:p w14:paraId="38A642B6">
            <w:pPr>
              <w:spacing w:line="240" w:lineRule="exact"/>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包括基础，贴瓷砖的每平方米增加10元。</w:t>
            </w:r>
          </w:p>
        </w:tc>
      </w:tr>
      <w:tr w14:paraId="214F89D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gridAfter w:val="1"/>
          <w:wAfter w:w="363" w:type="dxa"/>
          <w:cantSplit/>
          <w:trHeight w:val="499" w:hRule="atLeast"/>
          <w:jc w:val="center"/>
        </w:trPr>
        <w:tc>
          <w:tcPr>
            <w:tcW w:w="1128" w:type="dxa"/>
            <w:gridSpan w:val="2"/>
            <w:vMerge w:val="continue"/>
            <w:tcBorders>
              <w:top w:val="nil"/>
              <w:left w:val="single" w:color="auto" w:sz="4" w:space="0"/>
              <w:bottom w:val="single" w:color="auto" w:sz="4" w:space="0"/>
              <w:right w:val="single" w:color="auto" w:sz="4" w:space="0"/>
            </w:tcBorders>
            <w:vAlign w:val="center"/>
          </w:tcPr>
          <w:p w14:paraId="3F8FAAF3">
            <w:pPr>
              <w:rPr>
                <w:rFonts w:ascii="仿宋_GB2312" w:hAnsi="仿宋_GB2312" w:eastAsia="仿宋_GB2312" w:cs="仿宋_GB2312"/>
              </w:rPr>
            </w:pPr>
          </w:p>
        </w:tc>
        <w:tc>
          <w:tcPr>
            <w:tcW w:w="2350" w:type="dxa"/>
            <w:gridSpan w:val="3"/>
            <w:tcBorders>
              <w:top w:val="nil"/>
              <w:left w:val="nil"/>
              <w:bottom w:val="single" w:color="auto" w:sz="4" w:space="0"/>
              <w:right w:val="single" w:color="auto" w:sz="4" w:space="0"/>
            </w:tcBorders>
            <w:vAlign w:val="center"/>
          </w:tcPr>
          <w:p w14:paraId="545390C3">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24砖斗墙</w:t>
            </w:r>
          </w:p>
        </w:tc>
        <w:tc>
          <w:tcPr>
            <w:tcW w:w="919" w:type="dxa"/>
            <w:gridSpan w:val="2"/>
            <w:tcBorders>
              <w:top w:val="nil"/>
              <w:left w:val="nil"/>
              <w:bottom w:val="single" w:color="auto" w:sz="4" w:space="0"/>
              <w:right w:val="single" w:color="auto" w:sz="4" w:space="0"/>
            </w:tcBorders>
            <w:vAlign w:val="center"/>
          </w:tcPr>
          <w:p w14:paraId="61381CB0">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立方米</w:t>
            </w:r>
          </w:p>
        </w:tc>
        <w:tc>
          <w:tcPr>
            <w:tcW w:w="1054" w:type="dxa"/>
            <w:tcBorders>
              <w:top w:val="nil"/>
              <w:left w:val="nil"/>
              <w:bottom w:val="single" w:color="auto" w:sz="4" w:space="0"/>
              <w:right w:val="single" w:color="auto" w:sz="4" w:space="0"/>
            </w:tcBorders>
            <w:vAlign w:val="center"/>
          </w:tcPr>
          <w:p w14:paraId="564FAE6B">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240</w:t>
            </w:r>
          </w:p>
        </w:tc>
        <w:tc>
          <w:tcPr>
            <w:tcW w:w="3984" w:type="dxa"/>
            <w:tcBorders>
              <w:top w:val="nil"/>
              <w:left w:val="nil"/>
              <w:bottom w:val="single" w:color="auto" w:sz="4" w:space="0"/>
              <w:right w:val="single" w:color="auto" w:sz="4" w:space="0"/>
            </w:tcBorders>
            <w:vAlign w:val="center"/>
          </w:tcPr>
          <w:p w14:paraId="4B4BF633">
            <w:pPr>
              <w:spacing w:line="240" w:lineRule="exact"/>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包括基础，贴瓷砖的每平方米增加10元。</w:t>
            </w:r>
          </w:p>
        </w:tc>
      </w:tr>
      <w:tr w14:paraId="03B26A3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gridAfter w:val="1"/>
          <w:wAfter w:w="363" w:type="dxa"/>
          <w:cantSplit/>
          <w:trHeight w:val="499" w:hRule="atLeast"/>
          <w:jc w:val="center"/>
        </w:trPr>
        <w:tc>
          <w:tcPr>
            <w:tcW w:w="1128" w:type="dxa"/>
            <w:gridSpan w:val="2"/>
            <w:vMerge w:val="continue"/>
            <w:tcBorders>
              <w:top w:val="nil"/>
              <w:left w:val="single" w:color="auto" w:sz="4" w:space="0"/>
              <w:bottom w:val="single" w:color="auto" w:sz="4" w:space="0"/>
              <w:right w:val="single" w:color="auto" w:sz="4" w:space="0"/>
            </w:tcBorders>
            <w:vAlign w:val="center"/>
          </w:tcPr>
          <w:p w14:paraId="0B5E289D">
            <w:pPr>
              <w:rPr>
                <w:rFonts w:ascii="仿宋_GB2312" w:hAnsi="仿宋_GB2312" w:eastAsia="仿宋_GB2312" w:cs="仿宋_GB2312"/>
              </w:rPr>
            </w:pPr>
          </w:p>
        </w:tc>
        <w:tc>
          <w:tcPr>
            <w:tcW w:w="2350" w:type="dxa"/>
            <w:gridSpan w:val="3"/>
            <w:tcBorders>
              <w:top w:val="nil"/>
              <w:left w:val="nil"/>
              <w:bottom w:val="single" w:color="auto" w:sz="4" w:space="0"/>
              <w:right w:val="single" w:color="auto" w:sz="4" w:space="0"/>
            </w:tcBorders>
            <w:vAlign w:val="center"/>
          </w:tcPr>
          <w:p w14:paraId="4830F177">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18砖墙</w:t>
            </w:r>
          </w:p>
        </w:tc>
        <w:tc>
          <w:tcPr>
            <w:tcW w:w="919" w:type="dxa"/>
            <w:gridSpan w:val="2"/>
            <w:tcBorders>
              <w:top w:val="nil"/>
              <w:left w:val="nil"/>
              <w:bottom w:val="single" w:color="auto" w:sz="4" w:space="0"/>
              <w:right w:val="single" w:color="auto" w:sz="4" w:space="0"/>
            </w:tcBorders>
            <w:vAlign w:val="center"/>
          </w:tcPr>
          <w:p w14:paraId="7E59E51F">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立方米</w:t>
            </w:r>
          </w:p>
        </w:tc>
        <w:tc>
          <w:tcPr>
            <w:tcW w:w="1054" w:type="dxa"/>
            <w:tcBorders>
              <w:top w:val="nil"/>
              <w:left w:val="nil"/>
              <w:bottom w:val="single" w:color="auto" w:sz="4" w:space="0"/>
              <w:right w:val="single" w:color="auto" w:sz="4" w:space="0"/>
            </w:tcBorders>
            <w:vAlign w:val="center"/>
          </w:tcPr>
          <w:p w14:paraId="367147F0">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200</w:t>
            </w:r>
          </w:p>
        </w:tc>
        <w:tc>
          <w:tcPr>
            <w:tcW w:w="3984" w:type="dxa"/>
            <w:tcBorders>
              <w:top w:val="nil"/>
              <w:left w:val="nil"/>
              <w:bottom w:val="single" w:color="auto" w:sz="4" w:space="0"/>
              <w:right w:val="single" w:color="auto" w:sz="4" w:space="0"/>
            </w:tcBorders>
            <w:vAlign w:val="center"/>
          </w:tcPr>
          <w:p w14:paraId="68F5C039">
            <w:pPr>
              <w:spacing w:line="240" w:lineRule="exact"/>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包括基础，贴瓷砖的每平方米增加10元。</w:t>
            </w:r>
          </w:p>
        </w:tc>
      </w:tr>
      <w:tr w14:paraId="7B2AF6D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gridAfter w:val="1"/>
          <w:wAfter w:w="363" w:type="dxa"/>
          <w:cantSplit/>
          <w:trHeight w:val="499" w:hRule="atLeast"/>
          <w:jc w:val="center"/>
        </w:trPr>
        <w:tc>
          <w:tcPr>
            <w:tcW w:w="1128" w:type="dxa"/>
            <w:gridSpan w:val="2"/>
            <w:vMerge w:val="continue"/>
            <w:tcBorders>
              <w:top w:val="nil"/>
              <w:left w:val="single" w:color="auto" w:sz="4" w:space="0"/>
              <w:bottom w:val="single" w:color="auto" w:sz="4" w:space="0"/>
              <w:right w:val="single" w:color="auto" w:sz="4" w:space="0"/>
            </w:tcBorders>
            <w:vAlign w:val="center"/>
          </w:tcPr>
          <w:p w14:paraId="6A41775C">
            <w:pPr>
              <w:rPr>
                <w:rFonts w:ascii="仿宋_GB2312" w:hAnsi="仿宋_GB2312" w:eastAsia="仿宋_GB2312" w:cs="仿宋_GB2312"/>
              </w:rPr>
            </w:pPr>
          </w:p>
        </w:tc>
        <w:tc>
          <w:tcPr>
            <w:tcW w:w="2350" w:type="dxa"/>
            <w:gridSpan w:val="3"/>
            <w:tcBorders>
              <w:top w:val="nil"/>
              <w:left w:val="nil"/>
              <w:bottom w:val="single" w:color="auto" w:sz="4" w:space="0"/>
              <w:right w:val="single" w:color="auto" w:sz="4" w:space="0"/>
            </w:tcBorders>
            <w:vAlign w:val="center"/>
          </w:tcPr>
          <w:p w14:paraId="202AFA79">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13砖附柱墙</w:t>
            </w:r>
          </w:p>
        </w:tc>
        <w:tc>
          <w:tcPr>
            <w:tcW w:w="919" w:type="dxa"/>
            <w:gridSpan w:val="2"/>
            <w:tcBorders>
              <w:top w:val="nil"/>
              <w:left w:val="nil"/>
              <w:bottom w:val="single" w:color="auto" w:sz="4" w:space="0"/>
              <w:right w:val="single" w:color="auto" w:sz="4" w:space="0"/>
            </w:tcBorders>
            <w:vAlign w:val="center"/>
          </w:tcPr>
          <w:p w14:paraId="0A16CDC0">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立方米</w:t>
            </w:r>
          </w:p>
        </w:tc>
        <w:tc>
          <w:tcPr>
            <w:tcW w:w="1054" w:type="dxa"/>
            <w:tcBorders>
              <w:top w:val="nil"/>
              <w:left w:val="nil"/>
              <w:bottom w:val="single" w:color="auto" w:sz="4" w:space="0"/>
              <w:right w:val="single" w:color="auto" w:sz="4" w:space="0"/>
            </w:tcBorders>
            <w:vAlign w:val="center"/>
          </w:tcPr>
          <w:p w14:paraId="59F315F4">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240</w:t>
            </w:r>
          </w:p>
        </w:tc>
        <w:tc>
          <w:tcPr>
            <w:tcW w:w="3984" w:type="dxa"/>
            <w:tcBorders>
              <w:top w:val="nil"/>
              <w:left w:val="nil"/>
              <w:bottom w:val="single" w:color="auto" w:sz="4" w:space="0"/>
              <w:right w:val="single" w:color="auto" w:sz="4" w:space="0"/>
            </w:tcBorders>
            <w:vAlign w:val="center"/>
          </w:tcPr>
          <w:p w14:paraId="73195354">
            <w:pPr>
              <w:spacing w:line="240" w:lineRule="exact"/>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包括基础，贴瓷砖的每平方米增加10元。</w:t>
            </w:r>
          </w:p>
        </w:tc>
      </w:tr>
      <w:tr w14:paraId="4D6ED63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gridAfter w:val="1"/>
          <w:wAfter w:w="363" w:type="dxa"/>
          <w:cantSplit/>
          <w:trHeight w:val="499" w:hRule="atLeast"/>
          <w:jc w:val="center"/>
        </w:trPr>
        <w:tc>
          <w:tcPr>
            <w:tcW w:w="1128" w:type="dxa"/>
            <w:gridSpan w:val="2"/>
            <w:vMerge w:val="continue"/>
            <w:tcBorders>
              <w:top w:val="nil"/>
              <w:left w:val="single" w:color="auto" w:sz="4" w:space="0"/>
              <w:bottom w:val="single" w:color="auto" w:sz="4" w:space="0"/>
              <w:right w:val="single" w:color="auto" w:sz="4" w:space="0"/>
            </w:tcBorders>
            <w:vAlign w:val="center"/>
          </w:tcPr>
          <w:p w14:paraId="63D20FC9">
            <w:pPr>
              <w:rPr>
                <w:rFonts w:ascii="仿宋_GB2312" w:hAnsi="仿宋_GB2312" w:eastAsia="仿宋_GB2312" w:cs="仿宋_GB2312"/>
              </w:rPr>
            </w:pPr>
          </w:p>
        </w:tc>
        <w:tc>
          <w:tcPr>
            <w:tcW w:w="2350" w:type="dxa"/>
            <w:gridSpan w:val="3"/>
            <w:tcBorders>
              <w:top w:val="nil"/>
              <w:left w:val="nil"/>
              <w:bottom w:val="single" w:color="auto" w:sz="4" w:space="0"/>
              <w:right w:val="single" w:color="auto" w:sz="4" w:space="0"/>
            </w:tcBorders>
            <w:vAlign w:val="center"/>
          </w:tcPr>
          <w:p w14:paraId="4F4EAFD0">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土筑、土砖墙</w:t>
            </w:r>
          </w:p>
        </w:tc>
        <w:tc>
          <w:tcPr>
            <w:tcW w:w="919" w:type="dxa"/>
            <w:gridSpan w:val="2"/>
            <w:tcBorders>
              <w:top w:val="nil"/>
              <w:left w:val="nil"/>
              <w:bottom w:val="single" w:color="auto" w:sz="4" w:space="0"/>
              <w:right w:val="single" w:color="auto" w:sz="4" w:space="0"/>
            </w:tcBorders>
            <w:vAlign w:val="center"/>
          </w:tcPr>
          <w:p w14:paraId="6FE52F26">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立方米</w:t>
            </w:r>
          </w:p>
        </w:tc>
        <w:tc>
          <w:tcPr>
            <w:tcW w:w="1054" w:type="dxa"/>
            <w:tcBorders>
              <w:top w:val="nil"/>
              <w:left w:val="nil"/>
              <w:bottom w:val="single" w:color="auto" w:sz="4" w:space="0"/>
              <w:right w:val="single" w:color="auto" w:sz="4" w:space="0"/>
            </w:tcBorders>
            <w:vAlign w:val="center"/>
          </w:tcPr>
          <w:p w14:paraId="11E1FBA8">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150</w:t>
            </w:r>
          </w:p>
        </w:tc>
        <w:tc>
          <w:tcPr>
            <w:tcW w:w="3984" w:type="dxa"/>
            <w:tcBorders>
              <w:top w:val="nil"/>
              <w:left w:val="nil"/>
              <w:bottom w:val="single" w:color="auto" w:sz="4" w:space="0"/>
              <w:right w:val="single" w:color="auto" w:sz="4" w:space="0"/>
            </w:tcBorders>
            <w:vAlign w:val="center"/>
          </w:tcPr>
          <w:p w14:paraId="1BD331EB">
            <w:pPr>
              <w:spacing w:line="240" w:lineRule="exact"/>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包括基础，贴瓷砖的每平方米增加10元。（包括三合灰砌筑墙）。</w:t>
            </w:r>
          </w:p>
        </w:tc>
      </w:tr>
      <w:tr w14:paraId="39C9EA3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gridAfter w:val="1"/>
          <w:wAfter w:w="363" w:type="dxa"/>
          <w:cantSplit/>
          <w:trHeight w:val="313" w:hRule="atLeast"/>
          <w:jc w:val="center"/>
        </w:trPr>
        <w:tc>
          <w:tcPr>
            <w:tcW w:w="1128" w:type="dxa"/>
            <w:gridSpan w:val="2"/>
            <w:vMerge w:val="restart"/>
            <w:tcBorders>
              <w:top w:val="nil"/>
              <w:left w:val="single" w:color="auto" w:sz="4" w:space="0"/>
              <w:bottom w:val="single" w:color="000000" w:sz="4" w:space="0"/>
              <w:right w:val="single" w:color="auto" w:sz="4" w:space="0"/>
            </w:tcBorders>
            <w:vAlign w:val="center"/>
          </w:tcPr>
          <w:p w14:paraId="1B9191A3">
            <w:pPr>
              <w:spacing w:line="240" w:lineRule="exact"/>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挡土墙护坡保坎类</w:t>
            </w:r>
          </w:p>
        </w:tc>
        <w:tc>
          <w:tcPr>
            <w:tcW w:w="2350" w:type="dxa"/>
            <w:gridSpan w:val="3"/>
            <w:tcBorders>
              <w:top w:val="nil"/>
              <w:left w:val="nil"/>
              <w:bottom w:val="single" w:color="auto" w:sz="4" w:space="0"/>
              <w:right w:val="single" w:color="auto" w:sz="4" w:space="0"/>
            </w:tcBorders>
            <w:vAlign w:val="center"/>
          </w:tcPr>
          <w:p w14:paraId="5C39B74C">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岩砌挡土墙护坡</w:t>
            </w:r>
          </w:p>
        </w:tc>
        <w:tc>
          <w:tcPr>
            <w:tcW w:w="919" w:type="dxa"/>
            <w:gridSpan w:val="2"/>
            <w:tcBorders>
              <w:top w:val="nil"/>
              <w:left w:val="nil"/>
              <w:bottom w:val="single" w:color="auto" w:sz="4" w:space="0"/>
              <w:right w:val="single" w:color="auto" w:sz="4" w:space="0"/>
            </w:tcBorders>
            <w:vAlign w:val="center"/>
          </w:tcPr>
          <w:p w14:paraId="6ABDEE58">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立方米</w:t>
            </w:r>
          </w:p>
        </w:tc>
        <w:tc>
          <w:tcPr>
            <w:tcW w:w="1054" w:type="dxa"/>
            <w:tcBorders>
              <w:top w:val="nil"/>
              <w:left w:val="nil"/>
              <w:bottom w:val="single" w:color="auto" w:sz="4" w:space="0"/>
              <w:right w:val="single" w:color="auto" w:sz="4" w:space="0"/>
            </w:tcBorders>
            <w:vAlign w:val="center"/>
          </w:tcPr>
          <w:p w14:paraId="5595943A">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320</w:t>
            </w:r>
          </w:p>
        </w:tc>
        <w:tc>
          <w:tcPr>
            <w:tcW w:w="3984" w:type="dxa"/>
            <w:tcBorders>
              <w:top w:val="nil"/>
              <w:left w:val="nil"/>
              <w:bottom w:val="single" w:color="auto" w:sz="4" w:space="0"/>
              <w:right w:val="single" w:color="auto" w:sz="4" w:space="0"/>
            </w:tcBorders>
            <w:vAlign w:val="center"/>
          </w:tcPr>
          <w:p w14:paraId="205EE2FE">
            <w:pPr>
              <w:spacing w:line="240" w:lineRule="exact"/>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按砌体体积计算。</w:t>
            </w:r>
          </w:p>
        </w:tc>
      </w:tr>
      <w:tr w14:paraId="09516B5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gridAfter w:val="1"/>
          <w:wAfter w:w="363" w:type="dxa"/>
          <w:cantSplit/>
          <w:trHeight w:val="489" w:hRule="atLeast"/>
          <w:jc w:val="center"/>
        </w:trPr>
        <w:tc>
          <w:tcPr>
            <w:tcW w:w="1128" w:type="dxa"/>
            <w:gridSpan w:val="2"/>
            <w:vMerge w:val="continue"/>
            <w:tcBorders>
              <w:top w:val="nil"/>
              <w:left w:val="single" w:color="auto" w:sz="4" w:space="0"/>
              <w:bottom w:val="single" w:color="000000" w:sz="4" w:space="0"/>
              <w:right w:val="single" w:color="auto" w:sz="4" w:space="0"/>
            </w:tcBorders>
            <w:vAlign w:val="center"/>
          </w:tcPr>
          <w:p w14:paraId="2603996C">
            <w:pPr>
              <w:rPr>
                <w:rFonts w:ascii="仿宋_GB2312" w:hAnsi="仿宋_GB2312" w:eastAsia="仿宋_GB2312" w:cs="仿宋_GB2312"/>
              </w:rPr>
            </w:pPr>
          </w:p>
        </w:tc>
        <w:tc>
          <w:tcPr>
            <w:tcW w:w="2350" w:type="dxa"/>
            <w:gridSpan w:val="3"/>
            <w:tcBorders>
              <w:top w:val="nil"/>
              <w:left w:val="nil"/>
              <w:bottom w:val="single" w:color="auto" w:sz="4" w:space="0"/>
              <w:right w:val="single" w:color="auto" w:sz="4" w:space="0"/>
            </w:tcBorders>
            <w:vAlign w:val="center"/>
          </w:tcPr>
          <w:p w14:paraId="5EFCD2AE">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砖、片石干砌挡土墙</w:t>
            </w:r>
          </w:p>
          <w:p w14:paraId="4E279105">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护坡</w:t>
            </w:r>
          </w:p>
        </w:tc>
        <w:tc>
          <w:tcPr>
            <w:tcW w:w="919" w:type="dxa"/>
            <w:gridSpan w:val="2"/>
            <w:tcBorders>
              <w:top w:val="nil"/>
              <w:left w:val="nil"/>
              <w:bottom w:val="single" w:color="auto" w:sz="4" w:space="0"/>
              <w:right w:val="single" w:color="auto" w:sz="4" w:space="0"/>
            </w:tcBorders>
            <w:vAlign w:val="center"/>
          </w:tcPr>
          <w:p w14:paraId="090D5076">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立方米</w:t>
            </w:r>
          </w:p>
        </w:tc>
        <w:tc>
          <w:tcPr>
            <w:tcW w:w="1054" w:type="dxa"/>
            <w:tcBorders>
              <w:top w:val="nil"/>
              <w:left w:val="nil"/>
              <w:bottom w:val="single" w:color="auto" w:sz="4" w:space="0"/>
              <w:right w:val="single" w:color="auto" w:sz="4" w:space="0"/>
            </w:tcBorders>
            <w:vAlign w:val="center"/>
          </w:tcPr>
          <w:p w14:paraId="10318DB7">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240</w:t>
            </w:r>
          </w:p>
        </w:tc>
        <w:tc>
          <w:tcPr>
            <w:tcW w:w="3984" w:type="dxa"/>
            <w:tcBorders>
              <w:top w:val="nil"/>
              <w:left w:val="nil"/>
              <w:bottom w:val="single" w:color="auto" w:sz="4" w:space="0"/>
              <w:right w:val="single" w:color="auto" w:sz="4" w:space="0"/>
            </w:tcBorders>
            <w:vAlign w:val="center"/>
          </w:tcPr>
          <w:p w14:paraId="379AAFD5">
            <w:pPr>
              <w:spacing w:line="240" w:lineRule="exact"/>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按砌体体积计算。</w:t>
            </w:r>
          </w:p>
        </w:tc>
      </w:tr>
      <w:tr w14:paraId="06202E2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gridAfter w:val="1"/>
          <w:wAfter w:w="363" w:type="dxa"/>
          <w:cantSplit/>
          <w:trHeight w:val="424" w:hRule="atLeast"/>
          <w:jc w:val="center"/>
        </w:trPr>
        <w:tc>
          <w:tcPr>
            <w:tcW w:w="1128" w:type="dxa"/>
            <w:gridSpan w:val="2"/>
            <w:vMerge w:val="continue"/>
            <w:tcBorders>
              <w:top w:val="nil"/>
              <w:left w:val="single" w:color="auto" w:sz="4" w:space="0"/>
              <w:bottom w:val="single" w:color="000000" w:sz="4" w:space="0"/>
              <w:right w:val="single" w:color="auto" w:sz="4" w:space="0"/>
            </w:tcBorders>
            <w:vAlign w:val="center"/>
          </w:tcPr>
          <w:p w14:paraId="26BC30ED">
            <w:pPr>
              <w:rPr>
                <w:rFonts w:ascii="仿宋_GB2312" w:hAnsi="仿宋_GB2312" w:eastAsia="仿宋_GB2312" w:cs="仿宋_GB2312"/>
              </w:rPr>
            </w:pPr>
          </w:p>
        </w:tc>
        <w:tc>
          <w:tcPr>
            <w:tcW w:w="2350" w:type="dxa"/>
            <w:gridSpan w:val="3"/>
            <w:tcBorders>
              <w:top w:val="nil"/>
              <w:left w:val="nil"/>
              <w:bottom w:val="single" w:color="auto" w:sz="4" w:space="0"/>
              <w:right w:val="single" w:color="auto" w:sz="4" w:space="0"/>
            </w:tcBorders>
            <w:vAlign w:val="center"/>
          </w:tcPr>
          <w:p w14:paraId="74C18BF0">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水泥浆砌</w:t>
            </w:r>
          </w:p>
        </w:tc>
        <w:tc>
          <w:tcPr>
            <w:tcW w:w="919" w:type="dxa"/>
            <w:gridSpan w:val="2"/>
            <w:tcBorders>
              <w:top w:val="nil"/>
              <w:left w:val="nil"/>
              <w:bottom w:val="single" w:color="auto" w:sz="4" w:space="0"/>
              <w:right w:val="single" w:color="auto" w:sz="4" w:space="0"/>
            </w:tcBorders>
            <w:vAlign w:val="center"/>
          </w:tcPr>
          <w:p w14:paraId="5AB1A54D">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立方米</w:t>
            </w:r>
          </w:p>
        </w:tc>
        <w:tc>
          <w:tcPr>
            <w:tcW w:w="1054" w:type="dxa"/>
            <w:tcBorders>
              <w:top w:val="nil"/>
              <w:left w:val="nil"/>
              <w:bottom w:val="single" w:color="auto" w:sz="4" w:space="0"/>
              <w:right w:val="single" w:color="auto" w:sz="4" w:space="0"/>
            </w:tcBorders>
            <w:vAlign w:val="center"/>
          </w:tcPr>
          <w:p w14:paraId="777068EB">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200</w:t>
            </w:r>
          </w:p>
        </w:tc>
        <w:tc>
          <w:tcPr>
            <w:tcW w:w="3984" w:type="dxa"/>
            <w:tcBorders>
              <w:top w:val="nil"/>
              <w:left w:val="nil"/>
              <w:bottom w:val="single" w:color="auto" w:sz="4" w:space="0"/>
              <w:right w:val="single" w:color="auto" w:sz="4" w:space="0"/>
            </w:tcBorders>
            <w:vAlign w:val="center"/>
          </w:tcPr>
          <w:p w14:paraId="4F570CFB">
            <w:pPr>
              <w:spacing w:line="240" w:lineRule="exact"/>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按砌体体积计算。</w:t>
            </w:r>
          </w:p>
        </w:tc>
      </w:tr>
      <w:tr w14:paraId="3EC80C8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gridAfter w:val="1"/>
          <w:wAfter w:w="363" w:type="dxa"/>
          <w:cantSplit/>
          <w:trHeight w:val="499" w:hRule="atLeast"/>
          <w:jc w:val="center"/>
        </w:trPr>
        <w:tc>
          <w:tcPr>
            <w:tcW w:w="1128" w:type="dxa"/>
            <w:gridSpan w:val="2"/>
            <w:vMerge w:val="continue"/>
            <w:tcBorders>
              <w:top w:val="nil"/>
              <w:left w:val="single" w:color="auto" w:sz="4" w:space="0"/>
              <w:bottom w:val="single" w:color="000000" w:sz="4" w:space="0"/>
              <w:right w:val="single" w:color="auto" w:sz="4" w:space="0"/>
            </w:tcBorders>
            <w:vAlign w:val="center"/>
          </w:tcPr>
          <w:p w14:paraId="38E7B814">
            <w:pPr>
              <w:rPr>
                <w:rFonts w:ascii="仿宋_GB2312" w:hAnsi="仿宋_GB2312" w:eastAsia="仿宋_GB2312" w:cs="仿宋_GB2312"/>
              </w:rPr>
            </w:pPr>
          </w:p>
        </w:tc>
        <w:tc>
          <w:tcPr>
            <w:tcW w:w="2350" w:type="dxa"/>
            <w:gridSpan w:val="3"/>
            <w:tcBorders>
              <w:top w:val="nil"/>
              <w:left w:val="nil"/>
              <w:bottom w:val="single" w:color="auto" w:sz="4" w:space="0"/>
              <w:right w:val="single" w:color="auto" w:sz="4" w:space="0"/>
            </w:tcBorders>
            <w:vAlign w:val="center"/>
          </w:tcPr>
          <w:p w14:paraId="5BA9E1A5">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空心砖、三合灰</w:t>
            </w:r>
          </w:p>
        </w:tc>
        <w:tc>
          <w:tcPr>
            <w:tcW w:w="919" w:type="dxa"/>
            <w:gridSpan w:val="2"/>
            <w:tcBorders>
              <w:top w:val="nil"/>
              <w:left w:val="nil"/>
              <w:bottom w:val="single" w:color="auto" w:sz="4" w:space="0"/>
              <w:right w:val="single" w:color="auto" w:sz="4" w:space="0"/>
            </w:tcBorders>
            <w:vAlign w:val="center"/>
          </w:tcPr>
          <w:p w14:paraId="12F1C84E">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立方米</w:t>
            </w:r>
          </w:p>
        </w:tc>
        <w:tc>
          <w:tcPr>
            <w:tcW w:w="1054" w:type="dxa"/>
            <w:tcBorders>
              <w:top w:val="nil"/>
              <w:left w:val="nil"/>
              <w:bottom w:val="single" w:color="auto" w:sz="4" w:space="0"/>
              <w:right w:val="single" w:color="auto" w:sz="4" w:space="0"/>
            </w:tcBorders>
            <w:vAlign w:val="center"/>
          </w:tcPr>
          <w:p w14:paraId="16D0042B">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150</w:t>
            </w:r>
          </w:p>
        </w:tc>
        <w:tc>
          <w:tcPr>
            <w:tcW w:w="3984" w:type="dxa"/>
            <w:tcBorders>
              <w:top w:val="nil"/>
              <w:left w:val="nil"/>
              <w:bottom w:val="single" w:color="auto" w:sz="4" w:space="0"/>
              <w:right w:val="single" w:color="auto" w:sz="4" w:space="0"/>
            </w:tcBorders>
            <w:vAlign w:val="center"/>
          </w:tcPr>
          <w:p w14:paraId="5AD732B9">
            <w:pPr>
              <w:spacing w:line="240" w:lineRule="exact"/>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按砌体体积计算。</w:t>
            </w:r>
          </w:p>
        </w:tc>
      </w:tr>
      <w:tr w14:paraId="614A3D0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gridAfter w:val="1"/>
          <w:wAfter w:w="363" w:type="dxa"/>
          <w:cantSplit/>
          <w:trHeight w:val="499" w:hRule="atLeast"/>
          <w:jc w:val="center"/>
        </w:trPr>
        <w:tc>
          <w:tcPr>
            <w:tcW w:w="1128" w:type="dxa"/>
            <w:gridSpan w:val="2"/>
            <w:vMerge w:val="continue"/>
            <w:tcBorders>
              <w:top w:val="nil"/>
              <w:left w:val="single" w:color="auto" w:sz="4" w:space="0"/>
              <w:bottom w:val="single" w:color="000000" w:sz="4" w:space="0"/>
              <w:right w:val="single" w:color="auto" w:sz="4" w:space="0"/>
            </w:tcBorders>
            <w:vAlign w:val="center"/>
          </w:tcPr>
          <w:p w14:paraId="3BF44C36">
            <w:pPr>
              <w:rPr>
                <w:rFonts w:ascii="仿宋_GB2312" w:hAnsi="仿宋_GB2312" w:eastAsia="仿宋_GB2312" w:cs="仿宋_GB2312"/>
              </w:rPr>
            </w:pPr>
          </w:p>
        </w:tc>
        <w:tc>
          <w:tcPr>
            <w:tcW w:w="2350" w:type="dxa"/>
            <w:gridSpan w:val="3"/>
            <w:tcBorders>
              <w:top w:val="nil"/>
              <w:left w:val="nil"/>
              <w:bottom w:val="single" w:color="auto" w:sz="4" w:space="0"/>
              <w:right w:val="single" w:color="auto" w:sz="4" w:space="0"/>
            </w:tcBorders>
            <w:vAlign w:val="center"/>
          </w:tcPr>
          <w:p w14:paraId="0A3A66CE">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岩石干砌</w:t>
            </w:r>
          </w:p>
        </w:tc>
        <w:tc>
          <w:tcPr>
            <w:tcW w:w="919" w:type="dxa"/>
            <w:gridSpan w:val="2"/>
            <w:tcBorders>
              <w:top w:val="nil"/>
              <w:left w:val="nil"/>
              <w:bottom w:val="single" w:color="auto" w:sz="4" w:space="0"/>
              <w:right w:val="single" w:color="auto" w:sz="4" w:space="0"/>
            </w:tcBorders>
            <w:vAlign w:val="center"/>
          </w:tcPr>
          <w:p w14:paraId="57E9F942">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立方米</w:t>
            </w:r>
          </w:p>
        </w:tc>
        <w:tc>
          <w:tcPr>
            <w:tcW w:w="1054" w:type="dxa"/>
            <w:tcBorders>
              <w:top w:val="nil"/>
              <w:left w:val="nil"/>
              <w:bottom w:val="single" w:color="auto" w:sz="4" w:space="0"/>
              <w:right w:val="single" w:color="auto" w:sz="4" w:space="0"/>
            </w:tcBorders>
            <w:vAlign w:val="center"/>
          </w:tcPr>
          <w:p w14:paraId="6C25BF3C">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180</w:t>
            </w:r>
          </w:p>
        </w:tc>
        <w:tc>
          <w:tcPr>
            <w:tcW w:w="3984" w:type="dxa"/>
            <w:tcBorders>
              <w:top w:val="nil"/>
              <w:left w:val="nil"/>
              <w:bottom w:val="single" w:color="auto" w:sz="4" w:space="0"/>
              <w:right w:val="single" w:color="auto" w:sz="4" w:space="0"/>
            </w:tcBorders>
            <w:vAlign w:val="center"/>
          </w:tcPr>
          <w:p w14:paraId="44773A5E">
            <w:pPr>
              <w:spacing w:line="240" w:lineRule="exact"/>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按砌体体积计算。</w:t>
            </w:r>
          </w:p>
        </w:tc>
      </w:tr>
      <w:tr w14:paraId="2246621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gridAfter w:val="1"/>
          <w:wAfter w:w="363" w:type="dxa"/>
          <w:cantSplit/>
          <w:trHeight w:val="253" w:hRule="atLeast"/>
          <w:jc w:val="center"/>
        </w:trPr>
        <w:tc>
          <w:tcPr>
            <w:tcW w:w="1128" w:type="dxa"/>
            <w:gridSpan w:val="2"/>
            <w:vMerge w:val="restart"/>
            <w:tcBorders>
              <w:top w:val="nil"/>
              <w:left w:val="single" w:color="auto" w:sz="4" w:space="0"/>
              <w:right w:val="single" w:color="auto" w:sz="4" w:space="0"/>
            </w:tcBorders>
            <w:vAlign w:val="center"/>
          </w:tcPr>
          <w:p w14:paraId="0A1A1B2C">
            <w:pPr>
              <w:spacing w:line="240" w:lineRule="exact"/>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道路类</w:t>
            </w:r>
          </w:p>
        </w:tc>
        <w:tc>
          <w:tcPr>
            <w:tcW w:w="2350" w:type="dxa"/>
            <w:gridSpan w:val="3"/>
            <w:vMerge w:val="restart"/>
            <w:tcBorders>
              <w:top w:val="nil"/>
              <w:left w:val="nil"/>
              <w:right w:val="single" w:color="auto" w:sz="4" w:space="0"/>
            </w:tcBorders>
            <w:vAlign w:val="center"/>
          </w:tcPr>
          <w:p w14:paraId="5B773A5F">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砼道路</w:t>
            </w:r>
          </w:p>
        </w:tc>
        <w:tc>
          <w:tcPr>
            <w:tcW w:w="919" w:type="dxa"/>
            <w:gridSpan w:val="2"/>
            <w:vMerge w:val="restart"/>
            <w:tcBorders>
              <w:top w:val="nil"/>
              <w:left w:val="nil"/>
              <w:right w:val="single" w:color="auto" w:sz="4" w:space="0"/>
            </w:tcBorders>
            <w:vAlign w:val="center"/>
          </w:tcPr>
          <w:p w14:paraId="2C97E78A">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平方米</w:t>
            </w:r>
          </w:p>
        </w:tc>
        <w:tc>
          <w:tcPr>
            <w:tcW w:w="1054" w:type="dxa"/>
            <w:tcBorders>
              <w:top w:val="nil"/>
              <w:left w:val="nil"/>
              <w:bottom w:val="single" w:color="auto" w:sz="4" w:space="0"/>
              <w:right w:val="single" w:color="auto" w:sz="4" w:space="0"/>
            </w:tcBorders>
            <w:vAlign w:val="center"/>
          </w:tcPr>
          <w:p w14:paraId="75988ED1">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60</w:t>
            </w:r>
          </w:p>
        </w:tc>
        <w:tc>
          <w:tcPr>
            <w:tcW w:w="3984" w:type="dxa"/>
            <w:tcBorders>
              <w:top w:val="nil"/>
              <w:left w:val="nil"/>
              <w:right w:val="single" w:color="auto" w:sz="4" w:space="0"/>
            </w:tcBorders>
            <w:vAlign w:val="center"/>
          </w:tcPr>
          <w:p w14:paraId="169A6106">
            <w:pPr>
              <w:spacing w:line="360" w:lineRule="exact"/>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厚度不少于6cm，水泥抹平。</w:t>
            </w:r>
          </w:p>
        </w:tc>
      </w:tr>
      <w:tr w14:paraId="05BE965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gridAfter w:val="1"/>
          <w:wAfter w:w="363" w:type="dxa"/>
          <w:cantSplit/>
          <w:trHeight w:val="253" w:hRule="atLeast"/>
          <w:jc w:val="center"/>
        </w:trPr>
        <w:tc>
          <w:tcPr>
            <w:tcW w:w="1128" w:type="dxa"/>
            <w:gridSpan w:val="2"/>
            <w:vMerge w:val="continue"/>
            <w:tcBorders>
              <w:left w:val="single" w:color="auto" w:sz="4" w:space="0"/>
              <w:right w:val="single" w:color="auto" w:sz="4" w:space="0"/>
            </w:tcBorders>
            <w:vAlign w:val="center"/>
          </w:tcPr>
          <w:p w14:paraId="7ABBEA6F">
            <w:pPr>
              <w:rPr>
                <w:rFonts w:ascii="仿宋_GB2312" w:hAnsi="仿宋_GB2312" w:eastAsia="仿宋_GB2312" w:cs="仿宋_GB2312"/>
              </w:rPr>
            </w:pPr>
          </w:p>
        </w:tc>
        <w:tc>
          <w:tcPr>
            <w:tcW w:w="2350" w:type="dxa"/>
            <w:gridSpan w:val="3"/>
            <w:vMerge w:val="continue"/>
            <w:tcBorders>
              <w:left w:val="nil"/>
              <w:bottom w:val="single" w:color="auto" w:sz="4" w:space="0"/>
              <w:right w:val="single" w:color="auto" w:sz="4" w:space="0"/>
            </w:tcBorders>
            <w:vAlign w:val="center"/>
          </w:tcPr>
          <w:p w14:paraId="531423DB">
            <w:pPr>
              <w:rPr>
                <w:rFonts w:ascii="仿宋_GB2312" w:hAnsi="仿宋_GB2312" w:eastAsia="仿宋_GB2312" w:cs="仿宋_GB2312"/>
              </w:rPr>
            </w:pPr>
          </w:p>
        </w:tc>
        <w:tc>
          <w:tcPr>
            <w:tcW w:w="919" w:type="dxa"/>
            <w:gridSpan w:val="2"/>
            <w:vMerge w:val="continue"/>
            <w:tcBorders>
              <w:left w:val="nil"/>
              <w:bottom w:val="single" w:color="auto" w:sz="4" w:space="0"/>
              <w:right w:val="single" w:color="auto" w:sz="4" w:space="0"/>
            </w:tcBorders>
            <w:vAlign w:val="center"/>
          </w:tcPr>
          <w:p w14:paraId="0D7C0F63">
            <w:pPr>
              <w:rPr>
                <w:rFonts w:ascii="仿宋_GB2312" w:hAnsi="仿宋_GB2312" w:eastAsia="仿宋_GB2312" w:cs="仿宋_GB2312"/>
              </w:rPr>
            </w:pPr>
          </w:p>
        </w:tc>
        <w:tc>
          <w:tcPr>
            <w:tcW w:w="1054" w:type="dxa"/>
            <w:tcBorders>
              <w:top w:val="nil"/>
              <w:left w:val="nil"/>
              <w:bottom w:val="single" w:color="auto" w:sz="4" w:space="0"/>
              <w:right w:val="single" w:color="auto" w:sz="4" w:space="0"/>
            </w:tcBorders>
            <w:vAlign w:val="center"/>
          </w:tcPr>
          <w:p w14:paraId="5E9E6EB2">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90</w:t>
            </w:r>
          </w:p>
        </w:tc>
        <w:tc>
          <w:tcPr>
            <w:tcW w:w="3984" w:type="dxa"/>
            <w:tcBorders>
              <w:left w:val="nil"/>
              <w:bottom w:val="single" w:color="auto" w:sz="4" w:space="0"/>
              <w:right w:val="single" w:color="auto" w:sz="4" w:space="0"/>
            </w:tcBorders>
            <w:vAlign w:val="center"/>
          </w:tcPr>
          <w:p w14:paraId="7D06F4BD">
            <w:pPr>
              <w:spacing w:line="360" w:lineRule="exact"/>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厚度达到15 cm以上。</w:t>
            </w:r>
          </w:p>
        </w:tc>
      </w:tr>
      <w:tr w14:paraId="25B4AB8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gridAfter w:val="1"/>
          <w:wAfter w:w="363" w:type="dxa"/>
          <w:cantSplit/>
          <w:trHeight w:val="499" w:hRule="atLeast"/>
          <w:jc w:val="center"/>
        </w:trPr>
        <w:tc>
          <w:tcPr>
            <w:tcW w:w="1128" w:type="dxa"/>
            <w:gridSpan w:val="2"/>
            <w:vMerge w:val="continue"/>
            <w:tcBorders>
              <w:left w:val="single" w:color="auto" w:sz="4" w:space="0"/>
              <w:bottom w:val="single" w:color="auto" w:sz="4" w:space="0"/>
              <w:right w:val="single" w:color="auto" w:sz="4" w:space="0"/>
            </w:tcBorders>
            <w:vAlign w:val="center"/>
          </w:tcPr>
          <w:p w14:paraId="402BE400">
            <w:pPr>
              <w:rPr>
                <w:rFonts w:ascii="仿宋_GB2312" w:hAnsi="仿宋_GB2312" w:eastAsia="仿宋_GB2312" w:cs="仿宋_GB2312"/>
              </w:rPr>
            </w:pPr>
          </w:p>
        </w:tc>
        <w:tc>
          <w:tcPr>
            <w:tcW w:w="2350" w:type="dxa"/>
            <w:gridSpan w:val="3"/>
            <w:tcBorders>
              <w:top w:val="nil"/>
              <w:left w:val="nil"/>
              <w:bottom w:val="single" w:color="auto" w:sz="4" w:space="0"/>
              <w:right w:val="single" w:color="auto" w:sz="4" w:space="0"/>
            </w:tcBorders>
            <w:vAlign w:val="center"/>
          </w:tcPr>
          <w:p w14:paraId="2621CBAD">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砂卵石、碴、碎石道路（三合土）面</w:t>
            </w:r>
          </w:p>
        </w:tc>
        <w:tc>
          <w:tcPr>
            <w:tcW w:w="919" w:type="dxa"/>
            <w:gridSpan w:val="2"/>
            <w:tcBorders>
              <w:top w:val="nil"/>
              <w:left w:val="nil"/>
              <w:bottom w:val="single" w:color="auto" w:sz="4" w:space="0"/>
              <w:right w:val="single" w:color="auto" w:sz="4" w:space="0"/>
            </w:tcBorders>
            <w:vAlign w:val="center"/>
          </w:tcPr>
          <w:p w14:paraId="09878024">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平方米</w:t>
            </w:r>
          </w:p>
        </w:tc>
        <w:tc>
          <w:tcPr>
            <w:tcW w:w="1054" w:type="dxa"/>
            <w:tcBorders>
              <w:top w:val="nil"/>
              <w:left w:val="nil"/>
              <w:bottom w:val="single" w:color="auto" w:sz="4" w:space="0"/>
              <w:right w:val="single" w:color="auto" w:sz="4" w:space="0"/>
            </w:tcBorders>
            <w:vAlign w:val="center"/>
          </w:tcPr>
          <w:p w14:paraId="6A89AEC1">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30</w:t>
            </w:r>
          </w:p>
        </w:tc>
        <w:tc>
          <w:tcPr>
            <w:tcW w:w="3984" w:type="dxa"/>
            <w:tcBorders>
              <w:top w:val="nil"/>
              <w:left w:val="nil"/>
              <w:bottom w:val="single" w:color="auto" w:sz="4" w:space="0"/>
              <w:right w:val="single" w:color="auto" w:sz="4" w:space="0"/>
            </w:tcBorders>
            <w:vAlign w:val="center"/>
          </w:tcPr>
          <w:p w14:paraId="4FEFB71C">
            <w:pPr>
              <w:spacing w:line="240" w:lineRule="exact"/>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表面平整。</w:t>
            </w:r>
          </w:p>
        </w:tc>
      </w:tr>
      <w:tr w14:paraId="1E38F20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gridAfter w:val="1"/>
          <w:wAfter w:w="363" w:type="dxa"/>
          <w:trHeight w:val="512" w:hRule="atLeast"/>
          <w:jc w:val="center"/>
        </w:trPr>
        <w:tc>
          <w:tcPr>
            <w:tcW w:w="3478" w:type="dxa"/>
            <w:gridSpan w:val="5"/>
            <w:tcBorders>
              <w:top w:val="single" w:color="auto" w:sz="4" w:space="0"/>
              <w:left w:val="single" w:color="auto" w:sz="4" w:space="0"/>
              <w:bottom w:val="single" w:color="auto" w:sz="4" w:space="0"/>
              <w:right w:val="single" w:color="000000" w:sz="4" w:space="0"/>
            </w:tcBorders>
            <w:vAlign w:val="center"/>
          </w:tcPr>
          <w:p w14:paraId="70C5198F">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水管类</w:t>
            </w:r>
          </w:p>
        </w:tc>
        <w:tc>
          <w:tcPr>
            <w:tcW w:w="919" w:type="dxa"/>
            <w:gridSpan w:val="2"/>
            <w:tcBorders>
              <w:top w:val="nil"/>
              <w:left w:val="nil"/>
              <w:bottom w:val="single" w:color="auto" w:sz="4" w:space="0"/>
              <w:right w:val="single" w:color="auto" w:sz="4" w:space="0"/>
            </w:tcBorders>
            <w:vAlign w:val="center"/>
          </w:tcPr>
          <w:p w14:paraId="25D7C839">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米</w:t>
            </w:r>
          </w:p>
        </w:tc>
        <w:tc>
          <w:tcPr>
            <w:tcW w:w="1054" w:type="dxa"/>
            <w:tcBorders>
              <w:top w:val="nil"/>
              <w:left w:val="nil"/>
              <w:bottom w:val="single" w:color="auto" w:sz="4" w:space="0"/>
              <w:right w:val="single" w:color="auto" w:sz="4" w:space="0"/>
            </w:tcBorders>
            <w:vAlign w:val="center"/>
          </w:tcPr>
          <w:p w14:paraId="0F6C02F4">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5</w:t>
            </w:r>
          </w:p>
        </w:tc>
        <w:tc>
          <w:tcPr>
            <w:tcW w:w="3984" w:type="dxa"/>
            <w:tcBorders>
              <w:top w:val="nil"/>
              <w:left w:val="nil"/>
              <w:bottom w:val="single" w:color="auto" w:sz="4" w:space="0"/>
              <w:right w:val="single" w:color="auto" w:sz="4" w:space="0"/>
            </w:tcBorders>
            <w:vAlign w:val="center"/>
          </w:tcPr>
          <w:p w14:paraId="4A4B589D">
            <w:pPr>
              <w:spacing w:line="240" w:lineRule="exact"/>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室内的不计算补偿。</w:t>
            </w:r>
          </w:p>
        </w:tc>
      </w:tr>
      <w:tr w14:paraId="5626B56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gridAfter w:val="1"/>
          <w:wAfter w:w="363" w:type="dxa"/>
          <w:cantSplit/>
          <w:trHeight w:val="499" w:hRule="atLeast"/>
          <w:jc w:val="center"/>
        </w:trPr>
        <w:tc>
          <w:tcPr>
            <w:tcW w:w="1128" w:type="dxa"/>
            <w:gridSpan w:val="2"/>
            <w:vMerge w:val="restart"/>
            <w:tcBorders>
              <w:top w:val="nil"/>
              <w:left w:val="single" w:color="auto" w:sz="4" w:space="0"/>
              <w:bottom w:val="single" w:color="000000" w:sz="4" w:space="0"/>
              <w:right w:val="single" w:color="auto" w:sz="4" w:space="0"/>
            </w:tcBorders>
            <w:vAlign w:val="center"/>
          </w:tcPr>
          <w:p w14:paraId="1695B1EE">
            <w:pPr>
              <w:spacing w:line="240" w:lineRule="exact"/>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电杆线类</w:t>
            </w:r>
          </w:p>
        </w:tc>
        <w:tc>
          <w:tcPr>
            <w:tcW w:w="2350" w:type="dxa"/>
            <w:gridSpan w:val="3"/>
            <w:tcBorders>
              <w:top w:val="nil"/>
              <w:left w:val="nil"/>
              <w:bottom w:val="single" w:color="auto" w:sz="4" w:space="0"/>
              <w:right w:val="single" w:color="auto" w:sz="4" w:space="0"/>
            </w:tcBorders>
            <w:vAlign w:val="center"/>
          </w:tcPr>
          <w:p w14:paraId="43F33528">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7米以下水泥电杆</w:t>
            </w:r>
          </w:p>
        </w:tc>
        <w:tc>
          <w:tcPr>
            <w:tcW w:w="919" w:type="dxa"/>
            <w:gridSpan w:val="2"/>
            <w:tcBorders>
              <w:top w:val="nil"/>
              <w:left w:val="nil"/>
              <w:bottom w:val="single" w:color="auto" w:sz="4" w:space="0"/>
              <w:right w:val="single" w:color="auto" w:sz="4" w:space="0"/>
            </w:tcBorders>
            <w:vAlign w:val="center"/>
          </w:tcPr>
          <w:p w14:paraId="13265CCA">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根</w:t>
            </w:r>
          </w:p>
        </w:tc>
        <w:tc>
          <w:tcPr>
            <w:tcW w:w="1054" w:type="dxa"/>
            <w:tcBorders>
              <w:top w:val="nil"/>
              <w:left w:val="nil"/>
              <w:bottom w:val="single" w:color="auto" w:sz="4" w:space="0"/>
              <w:right w:val="single" w:color="auto" w:sz="4" w:space="0"/>
            </w:tcBorders>
            <w:vAlign w:val="center"/>
          </w:tcPr>
          <w:p w14:paraId="1D733966">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300</w:t>
            </w:r>
          </w:p>
        </w:tc>
        <w:tc>
          <w:tcPr>
            <w:tcW w:w="3984" w:type="dxa"/>
            <w:tcBorders>
              <w:top w:val="nil"/>
              <w:left w:val="nil"/>
              <w:bottom w:val="single" w:color="auto" w:sz="4" w:space="0"/>
              <w:right w:val="single" w:color="auto" w:sz="4" w:space="0"/>
            </w:tcBorders>
            <w:vAlign w:val="center"/>
          </w:tcPr>
          <w:p w14:paraId="08ABA5DA">
            <w:pPr>
              <w:spacing w:line="240" w:lineRule="exact"/>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拆卸，包括杆上设备。</w:t>
            </w:r>
          </w:p>
        </w:tc>
      </w:tr>
      <w:tr w14:paraId="2EFB3C1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gridAfter w:val="1"/>
          <w:wAfter w:w="363" w:type="dxa"/>
          <w:cantSplit/>
          <w:trHeight w:val="499" w:hRule="atLeast"/>
          <w:jc w:val="center"/>
        </w:trPr>
        <w:tc>
          <w:tcPr>
            <w:tcW w:w="1128" w:type="dxa"/>
            <w:gridSpan w:val="2"/>
            <w:vMerge w:val="continue"/>
            <w:tcBorders>
              <w:top w:val="nil"/>
              <w:left w:val="single" w:color="auto" w:sz="4" w:space="0"/>
              <w:bottom w:val="single" w:color="000000" w:sz="4" w:space="0"/>
              <w:right w:val="single" w:color="auto" w:sz="4" w:space="0"/>
            </w:tcBorders>
            <w:vAlign w:val="center"/>
          </w:tcPr>
          <w:p w14:paraId="7B914A54">
            <w:pPr>
              <w:rPr>
                <w:rFonts w:ascii="仿宋_GB2312" w:hAnsi="仿宋_GB2312" w:eastAsia="仿宋_GB2312" w:cs="仿宋_GB2312"/>
              </w:rPr>
            </w:pPr>
          </w:p>
        </w:tc>
        <w:tc>
          <w:tcPr>
            <w:tcW w:w="2350" w:type="dxa"/>
            <w:gridSpan w:val="3"/>
            <w:tcBorders>
              <w:top w:val="nil"/>
              <w:left w:val="nil"/>
              <w:bottom w:val="single" w:color="auto" w:sz="4" w:space="0"/>
              <w:right w:val="single" w:color="auto" w:sz="4" w:space="0"/>
            </w:tcBorders>
            <w:vAlign w:val="center"/>
          </w:tcPr>
          <w:p w14:paraId="7108FF4B">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7米以上水泥电杆</w:t>
            </w:r>
          </w:p>
        </w:tc>
        <w:tc>
          <w:tcPr>
            <w:tcW w:w="919" w:type="dxa"/>
            <w:gridSpan w:val="2"/>
            <w:tcBorders>
              <w:top w:val="nil"/>
              <w:left w:val="nil"/>
              <w:bottom w:val="single" w:color="auto" w:sz="4" w:space="0"/>
              <w:right w:val="single" w:color="auto" w:sz="4" w:space="0"/>
            </w:tcBorders>
            <w:vAlign w:val="center"/>
          </w:tcPr>
          <w:p w14:paraId="4A9643D0">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根</w:t>
            </w:r>
          </w:p>
        </w:tc>
        <w:tc>
          <w:tcPr>
            <w:tcW w:w="1054" w:type="dxa"/>
            <w:tcBorders>
              <w:top w:val="nil"/>
              <w:left w:val="nil"/>
              <w:bottom w:val="single" w:color="auto" w:sz="4" w:space="0"/>
              <w:right w:val="single" w:color="auto" w:sz="4" w:space="0"/>
            </w:tcBorders>
            <w:vAlign w:val="center"/>
          </w:tcPr>
          <w:p w14:paraId="4992B30C">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400</w:t>
            </w:r>
          </w:p>
        </w:tc>
        <w:tc>
          <w:tcPr>
            <w:tcW w:w="3984" w:type="dxa"/>
            <w:tcBorders>
              <w:top w:val="nil"/>
              <w:left w:val="nil"/>
              <w:bottom w:val="single" w:color="auto" w:sz="4" w:space="0"/>
              <w:right w:val="single" w:color="auto" w:sz="4" w:space="0"/>
            </w:tcBorders>
            <w:vAlign w:val="center"/>
          </w:tcPr>
          <w:p w14:paraId="722F6608">
            <w:pPr>
              <w:spacing w:line="240" w:lineRule="exact"/>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拆卸，包括杆上设备。</w:t>
            </w:r>
          </w:p>
          <w:p w14:paraId="0A8EEA76">
            <w:pPr>
              <w:spacing w:line="240" w:lineRule="exact"/>
              <w:rPr>
                <w:rFonts w:ascii="仿宋_GB2312" w:hAnsi="仿宋_GB2312" w:eastAsia="仿宋_GB2312" w:cs="仿宋_GB2312"/>
                <w:color w:val="000000"/>
                <w:kern w:val="0"/>
                <w:szCs w:val="21"/>
              </w:rPr>
            </w:pPr>
          </w:p>
        </w:tc>
      </w:tr>
      <w:tr w14:paraId="7C856DE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gridAfter w:val="1"/>
          <w:wAfter w:w="363" w:type="dxa"/>
          <w:cantSplit/>
          <w:trHeight w:val="335" w:hRule="atLeast"/>
          <w:jc w:val="center"/>
        </w:trPr>
        <w:tc>
          <w:tcPr>
            <w:tcW w:w="1128" w:type="dxa"/>
            <w:gridSpan w:val="2"/>
            <w:vMerge w:val="continue"/>
            <w:tcBorders>
              <w:top w:val="nil"/>
              <w:left w:val="single" w:color="auto" w:sz="4" w:space="0"/>
              <w:bottom w:val="single" w:color="000000" w:sz="4" w:space="0"/>
              <w:right w:val="single" w:color="auto" w:sz="4" w:space="0"/>
            </w:tcBorders>
            <w:vAlign w:val="center"/>
          </w:tcPr>
          <w:p w14:paraId="5414D3ED">
            <w:pPr>
              <w:rPr>
                <w:rFonts w:ascii="仿宋_GB2312" w:hAnsi="仿宋_GB2312" w:eastAsia="仿宋_GB2312" w:cs="仿宋_GB2312"/>
              </w:rPr>
            </w:pPr>
          </w:p>
        </w:tc>
        <w:tc>
          <w:tcPr>
            <w:tcW w:w="2350" w:type="dxa"/>
            <w:gridSpan w:val="3"/>
            <w:tcBorders>
              <w:top w:val="nil"/>
              <w:left w:val="nil"/>
              <w:bottom w:val="single" w:color="auto" w:sz="4" w:space="0"/>
              <w:right w:val="single" w:color="auto" w:sz="4" w:space="0"/>
            </w:tcBorders>
            <w:vAlign w:val="center"/>
          </w:tcPr>
          <w:p w14:paraId="1A5A3215">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木电杆</w:t>
            </w:r>
          </w:p>
        </w:tc>
        <w:tc>
          <w:tcPr>
            <w:tcW w:w="919" w:type="dxa"/>
            <w:gridSpan w:val="2"/>
            <w:tcBorders>
              <w:top w:val="nil"/>
              <w:left w:val="nil"/>
              <w:bottom w:val="single" w:color="auto" w:sz="4" w:space="0"/>
              <w:right w:val="single" w:color="auto" w:sz="4" w:space="0"/>
            </w:tcBorders>
            <w:vAlign w:val="center"/>
          </w:tcPr>
          <w:p w14:paraId="133F52B1">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根</w:t>
            </w:r>
          </w:p>
        </w:tc>
        <w:tc>
          <w:tcPr>
            <w:tcW w:w="1054" w:type="dxa"/>
            <w:tcBorders>
              <w:top w:val="nil"/>
              <w:left w:val="nil"/>
              <w:bottom w:val="single" w:color="auto" w:sz="4" w:space="0"/>
              <w:right w:val="single" w:color="auto" w:sz="4" w:space="0"/>
            </w:tcBorders>
            <w:vAlign w:val="center"/>
          </w:tcPr>
          <w:p w14:paraId="40D3CD34">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100</w:t>
            </w:r>
          </w:p>
        </w:tc>
        <w:tc>
          <w:tcPr>
            <w:tcW w:w="3984" w:type="dxa"/>
            <w:tcBorders>
              <w:top w:val="nil"/>
              <w:left w:val="nil"/>
              <w:bottom w:val="single" w:color="auto" w:sz="4" w:space="0"/>
              <w:right w:val="single" w:color="auto" w:sz="4" w:space="0"/>
            </w:tcBorders>
            <w:vAlign w:val="center"/>
          </w:tcPr>
          <w:p w14:paraId="143D6F51">
            <w:pPr>
              <w:spacing w:line="240" w:lineRule="exact"/>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拆卸。</w:t>
            </w:r>
          </w:p>
        </w:tc>
      </w:tr>
      <w:tr w14:paraId="466187C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gridAfter w:val="1"/>
          <w:wAfter w:w="363" w:type="dxa"/>
          <w:cantSplit/>
          <w:trHeight w:val="403" w:hRule="atLeast"/>
          <w:jc w:val="center"/>
        </w:trPr>
        <w:tc>
          <w:tcPr>
            <w:tcW w:w="1128" w:type="dxa"/>
            <w:gridSpan w:val="2"/>
            <w:vMerge w:val="continue"/>
            <w:tcBorders>
              <w:top w:val="nil"/>
              <w:left w:val="single" w:color="auto" w:sz="4" w:space="0"/>
              <w:bottom w:val="single" w:color="000000" w:sz="4" w:space="0"/>
              <w:right w:val="single" w:color="auto" w:sz="4" w:space="0"/>
            </w:tcBorders>
            <w:vAlign w:val="center"/>
          </w:tcPr>
          <w:p w14:paraId="345F030C">
            <w:pPr>
              <w:rPr>
                <w:rFonts w:ascii="仿宋_GB2312" w:hAnsi="仿宋_GB2312" w:eastAsia="仿宋_GB2312" w:cs="仿宋_GB2312"/>
              </w:rPr>
            </w:pPr>
          </w:p>
        </w:tc>
        <w:tc>
          <w:tcPr>
            <w:tcW w:w="2350" w:type="dxa"/>
            <w:gridSpan w:val="3"/>
            <w:tcBorders>
              <w:top w:val="nil"/>
              <w:left w:val="nil"/>
              <w:bottom w:val="single" w:color="auto" w:sz="4" w:space="0"/>
              <w:right w:val="single" w:color="auto" w:sz="4" w:space="0"/>
            </w:tcBorders>
            <w:vAlign w:val="center"/>
          </w:tcPr>
          <w:p w14:paraId="08D2E311">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室外照明线</w:t>
            </w:r>
          </w:p>
        </w:tc>
        <w:tc>
          <w:tcPr>
            <w:tcW w:w="919" w:type="dxa"/>
            <w:gridSpan w:val="2"/>
            <w:tcBorders>
              <w:top w:val="nil"/>
              <w:left w:val="nil"/>
              <w:bottom w:val="single" w:color="auto" w:sz="4" w:space="0"/>
              <w:right w:val="single" w:color="auto" w:sz="4" w:space="0"/>
            </w:tcBorders>
            <w:vAlign w:val="center"/>
          </w:tcPr>
          <w:p w14:paraId="2D20980D">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米</w:t>
            </w:r>
          </w:p>
        </w:tc>
        <w:tc>
          <w:tcPr>
            <w:tcW w:w="1054" w:type="dxa"/>
            <w:tcBorders>
              <w:top w:val="nil"/>
              <w:left w:val="nil"/>
              <w:bottom w:val="single" w:color="auto" w:sz="4" w:space="0"/>
              <w:right w:val="single" w:color="auto" w:sz="4" w:space="0"/>
            </w:tcBorders>
            <w:vAlign w:val="center"/>
          </w:tcPr>
          <w:p w14:paraId="6A40FF76">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30</w:t>
            </w:r>
          </w:p>
        </w:tc>
        <w:tc>
          <w:tcPr>
            <w:tcW w:w="3984" w:type="dxa"/>
            <w:tcBorders>
              <w:top w:val="nil"/>
              <w:left w:val="nil"/>
              <w:bottom w:val="single" w:color="auto" w:sz="4" w:space="0"/>
              <w:right w:val="single" w:color="auto" w:sz="4" w:space="0"/>
            </w:tcBorders>
            <w:vAlign w:val="center"/>
          </w:tcPr>
          <w:p w14:paraId="480CC130">
            <w:pPr>
              <w:spacing w:line="240" w:lineRule="exact"/>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包括双线，动力四线的每米增加5元补偿。</w:t>
            </w:r>
          </w:p>
        </w:tc>
      </w:tr>
      <w:tr w14:paraId="55A1789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gridAfter w:val="1"/>
          <w:wAfter w:w="363" w:type="dxa"/>
          <w:cantSplit/>
          <w:trHeight w:val="507" w:hRule="atLeast"/>
          <w:jc w:val="center"/>
        </w:trPr>
        <w:tc>
          <w:tcPr>
            <w:tcW w:w="1128" w:type="dxa"/>
            <w:gridSpan w:val="2"/>
            <w:vMerge w:val="continue"/>
            <w:tcBorders>
              <w:top w:val="nil"/>
              <w:left w:val="single" w:color="auto" w:sz="4" w:space="0"/>
              <w:bottom w:val="single" w:color="000000" w:sz="4" w:space="0"/>
              <w:right w:val="single" w:color="auto" w:sz="4" w:space="0"/>
            </w:tcBorders>
            <w:vAlign w:val="center"/>
          </w:tcPr>
          <w:p w14:paraId="4B873B23">
            <w:pPr>
              <w:rPr>
                <w:rFonts w:ascii="仿宋_GB2312" w:hAnsi="仿宋_GB2312" w:eastAsia="仿宋_GB2312" w:cs="仿宋_GB2312"/>
              </w:rPr>
            </w:pPr>
          </w:p>
        </w:tc>
        <w:tc>
          <w:tcPr>
            <w:tcW w:w="2350" w:type="dxa"/>
            <w:gridSpan w:val="3"/>
            <w:tcBorders>
              <w:top w:val="nil"/>
              <w:left w:val="nil"/>
              <w:bottom w:val="single" w:color="auto" w:sz="4" w:space="0"/>
              <w:right w:val="single" w:color="auto" w:sz="4" w:space="0"/>
            </w:tcBorders>
            <w:vAlign w:val="center"/>
          </w:tcPr>
          <w:p w14:paraId="77F74A47">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变压器</w:t>
            </w:r>
          </w:p>
        </w:tc>
        <w:tc>
          <w:tcPr>
            <w:tcW w:w="919" w:type="dxa"/>
            <w:gridSpan w:val="2"/>
            <w:tcBorders>
              <w:top w:val="nil"/>
              <w:left w:val="nil"/>
              <w:bottom w:val="single" w:color="auto" w:sz="4" w:space="0"/>
              <w:right w:val="single" w:color="auto" w:sz="4" w:space="0"/>
            </w:tcBorders>
            <w:vAlign w:val="center"/>
          </w:tcPr>
          <w:p w14:paraId="2BB8C464">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个</w:t>
            </w:r>
          </w:p>
        </w:tc>
        <w:tc>
          <w:tcPr>
            <w:tcW w:w="1054" w:type="dxa"/>
            <w:tcBorders>
              <w:top w:val="nil"/>
              <w:left w:val="nil"/>
              <w:bottom w:val="single" w:color="auto" w:sz="4" w:space="0"/>
              <w:right w:val="single" w:color="auto" w:sz="4" w:space="0"/>
            </w:tcBorders>
            <w:vAlign w:val="center"/>
          </w:tcPr>
          <w:p w14:paraId="4F11E382">
            <w:pPr>
              <w:spacing w:line="240" w:lineRule="exact"/>
              <w:jc w:val="center"/>
              <w:rPr>
                <w:rFonts w:ascii="仿宋_GB2312" w:hAnsi="仿宋_GB2312" w:eastAsia="仿宋_GB2312" w:cs="仿宋_GB2312"/>
                <w:kern w:val="0"/>
                <w:szCs w:val="21"/>
              </w:rPr>
            </w:pPr>
          </w:p>
        </w:tc>
        <w:tc>
          <w:tcPr>
            <w:tcW w:w="3984" w:type="dxa"/>
            <w:tcBorders>
              <w:top w:val="nil"/>
              <w:left w:val="nil"/>
              <w:bottom w:val="single" w:color="auto" w:sz="4" w:space="0"/>
              <w:right w:val="single" w:color="auto" w:sz="4" w:space="0"/>
            </w:tcBorders>
            <w:vAlign w:val="center"/>
          </w:tcPr>
          <w:p w14:paraId="19E3710B">
            <w:pPr>
              <w:spacing w:line="240" w:lineRule="exact"/>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经电力部门评定用于生产生活的，经评估后给予拆卸、搬运、安装费用。</w:t>
            </w:r>
          </w:p>
        </w:tc>
      </w:tr>
      <w:tr w14:paraId="2BD9466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trHeight w:val="536" w:hRule="atLeast"/>
          <w:jc w:val="center"/>
        </w:trPr>
        <w:tc>
          <w:tcPr>
            <w:tcW w:w="637" w:type="dxa"/>
            <w:tcBorders>
              <w:top w:val="single" w:color="auto" w:sz="4" w:space="0"/>
              <w:left w:val="single" w:color="auto" w:sz="4" w:space="0"/>
              <w:bottom w:val="single" w:color="auto" w:sz="4" w:space="0"/>
              <w:right w:val="single" w:color="auto" w:sz="4" w:space="0"/>
            </w:tcBorders>
            <w:vAlign w:val="center"/>
          </w:tcPr>
          <w:p w14:paraId="25027280">
            <w:pPr>
              <w:jc w:val="center"/>
              <w:rPr>
                <w:rFonts w:ascii="仿宋_GB2312" w:hAnsi="仿宋_GB2312" w:eastAsia="仿宋_GB2312" w:cs="仿宋_GB2312"/>
                <w:b/>
                <w:bCs/>
                <w:color w:val="000000"/>
                <w:kern w:val="0"/>
                <w:szCs w:val="21"/>
              </w:rPr>
            </w:pPr>
            <w:r>
              <w:rPr>
                <w:rFonts w:hint="eastAsia" w:ascii="仿宋_GB2312" w:hAnsi="仿宋_GB2312" w:eastAsia="仿宋_GB2312" w:cs="仿宋_GB2312"/>
                <w:b/>
                <w:bCs/>
                <w:color w:val="000000"/>
                <w:kern w:val="0"/>
                <w:szCs w:val="21"/>
              </w:rPr>
              <w:t>项目</w:t>
            </w:r>
          </w:p>
        </w:tc>
        <w:tc>
          <w:tcPr>
            <w:tcW w:w="1724" w:type="dxa"/>
            <w:gridSpan w:val="2"/>
            <w:tcBorders>
              <w:top w:val="single" w:color="auto" w:sz="4" w:space="0"/>
              <w:left w:val="nil"/>
              <w:bottom w:val="single" w:color="auto" w:sz="4" w:space="0"/>
              <w:right w:val="single" w:color="auto" w:sz="4" w:space="0"/>
            </w:tcBorders>
            <w:vAlign w:val="center"/>
          </w:tcPr>
          <w:p w14:paraId="4FB532BC">
            <w:pPr>
              <w:jc w:val="center"/>
              <w:rPr>
                <w:rFonts w:ascii="仿宋_GB2312" w:hAnsi="仿宋_GB2312" w:eastAsia="仿宋_GB2312" w:cs="仿宋_GB2312"/>
                <w:b/>
                <w:bCs/>
                <w:color w:val="000000"/>
                <w:kern w:val="0"/>
                <w:szCs w:val="21"/>
              </w:rPr>
            </w:pPr>
            <w:r>
              <w:rPr>
                <w:rFonts w:hint="eastAsia" w:ascii="仿宋_GB2312" w:hAnsi="仿宋_GB2312" w:eastAsia="仿宋_GB2312" w:cs="仿宋_GB2312"/>
                <w:b/>
                <w:bCs/>
                <w:color w:val="000000"/>
                <w:kern w:val="0"/>
                <w:szCs w:val="21"/>
              </w:rPr>
              <w:t>名称</w:t>
            </w:r>
          </w:p>
        </w:tc>
        <w:tc>
          <w:tcPr>
            <w:tcW w:w="856" w:type="dxa"/>
            <w:tcBorders>
              <w:top w:val="single" w:color="auto" w:sz="4" w:space="0"/>
              <w:left w:val="nil"/>
              <w:bottom w:val="single" w:color="auto" w:sz="4" w:space="0"/>
              <w:right w:val="single" w:color="auto" w:sz="4" w:space="0"/>
            </w:tcBorders>
            <w:vAlign w:val="center"/>
          </w:tcPr>
          <w:p w14:paraId="5C354184">
            <w:pPr>
              <w:jc w:val="center"/>
              <w:rPr>
                <w:rFonts w:ascii="仿宋_GB2312" w:hAnsi="仿宋_GB2312" w:eastAsia="仿宋_GB2312" w:cs="仿宋_GB2312"/>
                <w:b/>
                <w:bCs/>
                <w:color w:val="000000"/>
                <w:kern w:val="0"/>
                <w:szCs w:val="21"/>
              </w:rPr>
            </w:pPr>
            <w:r>
              <w:rPr>
                <w:rFonts w:hint="eastAsia" w:ascii="仿宋_GB2312" w:hAnsi="仿宋_GB2312" w:eastAsia="仿宋_GB2312" w:cs="仿宋_GB2312"/>
                <w:b/>
                <w:bCs/>
                <w:color w:val="000000"/>
                <w:kern w:val="0"/>
                <w:szCs w:val="21"/>
              </w:rPr>
              <w:t>单位</w:t>
            </w:r>
          </w:p>
        </w:tc>
        <w:tc>
          <w:tcPr>
            <w:tcW w:w="849" w:type="dxa"/>
            <w:gridSpan w:val="2"/>
            <w:tcBorders>
              <w:top w:val="single" w:color="auto" w:sz="4" w:space="0"/>
              <w:left w:val="nil"/>
              <w:bottom w:val="single" w:color="auto" w:sz="4" w:space="0"/>
              <w:right w:val="single" w:color="auto" w:sz="4" w:space="0"/>
            </w:tcBorders>
            <w:vAlign w:val="center"/>
          </w:tcPr>
          <w:p w14:paraId="12A24570">
            <w:pPr>
              <w:jc w:val="center"/>
              <w:rPr>
                <w:rFonts w:ascii="仿宋_GB2312" w:hAnsi="仿宋_GB2312" w:eastAsia="仿宋_GB2312" w:cs="仿宋_GB2312"/>
                <w:b/>
                <w:bCs/>
                <w:color w:val="000000"/>
                <w:kern w:val="0"/>
                <w:szCs w:val="21"/>
              </w:rPr>
            </w:pPr>
            <w:r>
              <w:rPr>
                <w:rFonts w:hint="eastAsia" w:ascii="仿宋_GB2312" w:hAnsi="仿宋_GB2312" w:eastAsia="仿宋_GB2312" w:cs="仿宋_GB2312"/>
                <w:b/>
                <w:bCs/>
                <w:color w:val="000000"/>
                <w:kern w:val="0"/>
                <w:szCs w:val="21"/>
              </w:rPr>
              <w:t>补偿金额（元）</w:t>
            </w:r>
          </w:p>
        </w:tc>
        <w:tc>
          <w:tcPr>
            <w:tcW w:w="5732" w:type="dxa"/>
            <w:gridSpan w:val="4"/>
            <w:tcBorders>
              <w:top w:val="single" w:color="auto" w:sz="4" w:space="0"/>
              <w:left w:val="nil"/>
              <w:bottom w:val="single" w:color="auto" w:sz="4" w:space="0"/>
              <w:right w:val="single" w:color="auto" w:sz="4" w:space="0"/>
            </w:tcBorders>
            <w:vAlign w:val="center"/>
          </w:tcPr>
          <w:p w14:paraId="4FDA0C53">
            <w:pPr>
              <w:jc w:val="center"/>
              <w:rPr>
                <w:rFonts w:ascii="仿宋_GB2312" w:hAnsi="仿宋_GB2312" w:eastAsia="仿宋_GB2312" w:cs="仿宋_GB2312"/>
                <w:b/>
                <w:bCs/>
                <w:color w:val="000000"/>
                <w:kern w:val="0"/>
                <w:szCs w:val="21"/>
              </w:rPr>
            </w:pPr>
            <w:r>
              <w:rPr>
                <w:rFonts w:hint="eastAsia" w:ascii="仿宋_GB2312" w:hAnsi="仿宋_GB2312" w:eastAsia="仿宋_GB2312" w:cs="仿宋_GB2312"/>
                <w:b/>
                <w:bCs/>
                <w:color w:val="000000"/>
                <w:kern w:val="0"/>
                <w:szCs w:val="21"/>
              </w:rPr>
              <w:t>说   明</w:t>
            </w:r>
          </w:p>
        </w:tc>
      </w:tr>
      <w:tr w14:paraId="69D329D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530" w:hRule="atLeast"/>
          <w:jc w:val="center"/>
        </w:trPr>
        <w:tc>
          <w:tcPr>
            <w:tcW w:w="637" w:type="dxa"/>
            <w:vMerge w:val="restart"/>
            <w:tcBorders>
              <w:top w:val="nil"/>
              <w:left w:val="single" w:color="auto" w:sz="4" w:space="0"/>
              <w:bottom w:val="single" w:color="auto" w:sz="4" w:space="0"/>
              <w:right w:val="single" w:color="auto" w:sz="4" w:space="0"/>
            </w:tcBorders>
            <w:vAlign w:val="center"/>
          </w:tcPr>
          <w:p w14:paraId="228B946B">
            <w:pPr>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水池类</w:t>
            </w:r>
          </w:p>
        </w:tc>
        <w:tc>
          <w:tcPr>
            <w:tcW w:w="1724" w:type="dxa"/>
            <w:gridSpan w:val="2"/>
            <w:tcBorders>
              <w:top w:val="nil"/>
              <w:left w:val="nil"/>
              <w:bottom w:val="single" w:color="auto" w:sz="4" w:space="0"/>
              <w:right w:val="single" w:color="auto" w:sz="4" w:space="0"/>
            </w:tcBorders>
            <w:vAlign w:val="center"/>
          </w:tcPr>
          <w:p w14:paraId="7EA324D7">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砖粉生活用水池</w:t>
            </w:r>
          </w:p>
        </w:tc>
        <w:tc>
          <w:tcPr>
            <w:tcW w:w="856" w:type="dxa"/>
            <w:tcBorders>
              <w:top w:val="nil"/>
              <w:left w:val="nil"/>
              <w:bottom w:val="single" w:color="auto" w:sz="4" w:space="0"/>
              <w:right w:val="single" w:color="auto" w:sz="4" w:space="0"/>
            </w:tcBorders>
            <w:vAlign w:val="center"/>
          </w:tcPr>
          <w:p w14:paraId="7E2A9429">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立方米</w:t>
            </w:r>
          </w:p>
        </w:tc>
        <w:tc>
          <w:tcPr>
            <w:tcW w:w="849" w:type="dxa"/>
            <w:gridSpan w:val="2"/>
            <w:tcBorders>
              <w:top w:val="nil"/>
              <w:left w:val="nil"/>
              <w:bottom w:val="single" w:color="auto" w:sz="4" w:space="0"/>
              <w:right w:val="single" w:color="auto" w:sz="4" w:space="0"/>
            </w:tcBorders>
            <w:vAlign w:val="center"/>
          </w:tcPr>
          <w:p w14:paraId="405FA1C5">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350</w:t>
            </w:r>
          </w:p>
        </w:tc>
        <w:tc>
          <w:tcPr>
            <w:tcW w:w="5732" w:type="dxa"/>
            <w:gridSpan w:val="4"/>
            <w:tcBorders>
              <w:top w:val="nil"/>
              <w:left w:val="nil"/>
              <w:bottom w:val="single" w:color="auto" w:sz="4" w:space="0"/>
              <w:right w:val="single" w:color="auto" w:sz="4" w:space="0"/>
            </w:tcBorders>
            <w:vAlign w:val="center"/>
          </w:tcPr>
          <w:p w14:paraId="709F82BC">
            <w:pPr>
              <w:spacing w:line="240" w:lineRule="exact"/>
              <w:rPr>
                <w:rFonts w:ascii="仿宋_GB2312" w:hAnsi="仿宋_GB2312" w:eastAsia="仿宋_GB2312" w:cs="仿宋_GB2312"/>
                <w:kern w:val="0"/>
                <w:szCs w:val="21"/>
              </w:rPr>
            </w:pPr>
            <w:r>
              <w:rPr>
                <w:rFonts w:hint="eastAsia" w:ascii="仿宋_GB2312" w:hAnsi="仿宋_GB2312" w:eastAsia="仿宋_GB2312" w:cs="仿宋_GB2312"/>
                <w:kern w:val="0"/>
                <w:szCs w:val="21"/>
              </w:rPr>
              <w:t>砖砌粉水泥生活用水箱，有盖板，内、外贴瓷砖增加30%补偿。</w:t>
            </w:r>
          </w:p>
        </w:tc>
      </w:tr>
      <w:tr w14:paraId="72113C9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814" w:hRule="atLeast"/>
          <w:jc w:val="center"/>
        </w:trPr>
        <w:tc>
          <w:tcPr>
            <w:tcW w:w="637" w:type="dxa"/>
            <w:vMerge w:val="continue"/>
            <w:tcBorders>
              <w:top w:val="nil"/>
              <w:left w:val="single" w:color="auto" w:sz="4" w:space="0"/>
              <w:bottom w:val="single" w:color="auto" w:sz="4" w:space="0"/>
              <w:right w:val="single" w:color="auto" w:sz="4" w:space="0"/>
            </w:tcBorders>
            <w:vAlign w:val="center"/>
          </w:tcPr>
          <w:p w14:paraId="1E45658B">
            <w:pPr>
              <w:rPr>
                <w:rFonts w:ascii="仿宋_GB2312" w:hAnsi="仿宋_GB2312" w:eastAsia="仿宋_GB2312" w:cs="仿宋_GB2312"/>
              </w:rPr>
            </w:pPr>
          </w:p>
        </w:tc>
        <w:tc>
          <w:tcPr>
            <w:tcW w:w="1724" w:type="dxa"/>
            <w:gridSpan w:val="2"/>
            <w:tcBorders>
              <w:top w:val="nil"/>
              <w:left w:val="nil"/>
              <w:bottom w:val="single" w:color="auto" w:sz="4" w:space="0"/>
              <w:right w:val="single" w:color="auto" w:sz="4" w:space="0"/>
            </w:tcBorders>
            <w:vAlign w:val="center"/>
          </w:tcPr>
          <w:p w14:paraId="6FF55D01">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砖粉生产水（粪）池</w:t>
            </w:r>
          </w:p>
        </w:tc>
        <w:tc>
          <w:tcPr>
            <w:tcW w:w="856" w:type="dxa"/>
            <w:tcBorders>
              <w:top w:val="nil"/>
              <w:left w:val="nil"/>
              <w:bottom w:val="single" w:color="auto" w:sz="4" w:space="0"/>
              <w:right w:val="single" w:color="auto" w:sz="4" w:space="0"/>
            </w:tcBorders>
            <w:vAlign w:val="center"/>
          </w:tcPr>
          <w:p w14:paraId="450EECDB">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立方米</w:t>
            </w:r>
          </w:p>
        </w:tc>
        <w:tc>
          <w:tcPr>
            <w:tcW w:w="849" w:type="dxa"/>
            <w:gridSpan w:val="2"/>
            <w:tcBorders>
              <w:top w:val="nil"/>
              <w:left w:val="nil"/>
              <w:bottom w:val="single" w:color="auto" w:sz="4" w:space="0"/>
              <w:right w:val="single" w:color="auto" w:sz="4" w:space="0"/>
            </w:tcBorders>
            <w:vAlign w:val="center"/>
          </w:tcPr>
          <w:p w14:paraId="7937E8F8">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320</w:t>
            </w:r>
          </w:p>
        </w:tc>
        <w:tc>
          <w:tcPr>
            <w:tcW w:w="5732" w:type="dxa"/>
            <w:gridSpan w:val="4"/>
            <w:tcBorders>
              <w:top w:val="nil"/>
              <w:left w:val="nil"/>
              <w:bottom w:val="single" w:color="auto" w:sz="4" w:space="0"/>
              <w:right w:val="single" w:color="auto" w:sz="4" w:space="0"/>
            </w:tcBorders>
            <w:vAlign w:val="center"/>
          </w:tcPr>
          <w:p w14:paraId="27B0D4D1">
            <w:pPr>
              <w:spacing w:line="240" w:lineRule="exact"/>
              <w:rPr>
                <w:rFonts w:ascii="仿宋_GB2312" w:hAnsi="仿宋_GB2312" w:eastAsia="仿宋_GB2312" w:cs="仿宋_GB2312"/>
                <w:kern w:val="0"/>
                <w:szCs w:val="21"/>
              </w:rPr>
            </w:pPr>
            <w:r>
              <w:rPr>
                <w:rFonts w:hint="eastAsia" w:ascii="仿宋_GB2312" w:hAnsi="仿宋_GB2312" w:eastAsia="仿宋_GB2312" w:cs="仿宋_GB2312"/>
                <w:kern w:val="0"/>
                <w:szCs w:val="21"/>
              </w:rPr>
              <w:t>13cm以上砖砌粉水泥，容积1m</w:t>
            </w:r>
            <w:r>
              <w:rPr>
                <w:rFonts w:hint="eastAsia" w:ascii="仿宋_GB2312" w:hAnsi="仿宋_GB2312" w:eastAsia="仿宋_GB2312" w:cs="仿宋_GB2312"/>
                <w:kern w:val="0"/>
                <w:szCs w:val="21"/>
                <w:vertAlign w:val="superscript"/>
              </w:rPr>
              <w:t>3</w:t>
            </w:r>
            <w:r>
              <w:rPr>
                <w:rFonts w:hint="eastAsia" w:ascii="仿宋_GB2312" w:hAnsi="仿宋_GB2312" w:eastAsia="仿宋_GB2312" w:cs="仿宋_GB2312"/>
                <w:kern w:val="0"/>
                <w:szCs w:val="21"/>
              </w:rPr>
              <w:t>以上；深度超过3m的一律按3m计算补偿；占地面积超过20m</w:t>
            </w:r>
            <w:r>
              <w:rPr>
                <w:rFonts w:hint="eastAsia" w:ascii="仿宋_GB2312" w:hAnsi="仿宋_GB2312" w:eastAsia="仿宋_GB2312" w:cs="仿宋_GB2312"/>
                <w:kern w:val="0"/>
                <w:szCs w:val="21"/>
                <w:vertAlign w:val="superscript"/>
              </w:rPr>
              <w:t>2</w:t>
            </w:r>
            <w:r>
              <w:rPr>
                <w:rFonts w:hint="eastAsia" w:ascii="仿宋_GB2312" w:hAnsi="仿宋_GB2312" w:eastAsia="仿宋_GB2312" w:cs="仿宋_GB2312"/>
                <w:kern w:val="0"/>
                <w:szCs w:val="21"/>
              </w:rPr>
              <w:t>的按水塘补偿标准计算补偿</w:t>
            </w:r>
            <w:r>
              <w:rPr>
                <w:rFonts w:hint="eastAsia" w:ascii="仿宋_GB2312" w:hAnsi="仿宋_GB2312" w:eastAsia="仿宋_GB2312" w:cs="仿宋_GB2312"/>
                <w:color w:val="000000"/>
                <w:kern w:val="0"/>
                <w:szCs w:val="21"/>
              </w:rPr>
              <w:t>。</w:t>
            </w:r>
          </w:p>
        </w:tc>
      </w:tr>
      <w:tr w14:paraId="069B68E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698" w:hRule="atLeast"/>
          <w:jc w:val="center"/>
        </w:trPr>
        <w:tc>
          <w:tcPr>
            <w:tcW w:w="637" w:type="dxa"/>
            <w:vMerge w:val="continue"/>
            <w:tcBorders>
              <w:top w:val="nil"/>
              <w:left w:val="single" w:color="auto" w:sz="4" w:space="0"/>
              <w:bottom w:val="single" w:color="auto" w:sz="4" w:space="0"/>
              <w:right w:val="single" w:color="auto" w:sz="4" w:space="0"/>
            </w:tcBorders>
            <w:vAlign w:val="center"/>
          </w:tcPr>
          <w:p w14:paraId="098216FD">
            <w:pPr>
              <w:rPr>
                <w:rFonts w:ascii="仿宋_GB2312" w:hAnsi="仿宋_GB2312" w:eastAsia="仿宋_GB2312" w:cs="仿宋_GB2312"/>
              </w:rPr>
            </w:pPr>
          </w:p>
        </w:tc>
        <w:tc>
          <w:tcPr>
            <w:tcW w:w="1724" w:type="dxa"/>
            <w:gridSpan w:val="2"/>
            <w:tcBorders>
              <w:top w:val="nil"/>
              <w:left w:val="nil"/>
              <w:bottom w:val="single" w:color="auto" w:sz="4" w:space="0"/>
              <w:right w:val="single" w:color="auto" w:sz="4" w:space="0"/>
            </w:tcBorders>
            <w:vAlign w:val="center"/>
          </w:tcPr>
          <w:p w14:paraId="4107FB98">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三合灰生产水（粪）池</w:t>
            </w:r>
          </w:p>
        </w:tc>
        <w:tc>
          <w:tcPr>
            <w:tcW w:w="856" w:type="dxa"/>
            <w:tcBorders>
              <w:top w:val="nil"/>
              <w:left w:val="nil"/>
              <w:bottom w:val="single" w:color="auto" w:sz="4" w:space="0"/>
              <w:right w:val="single" w:color="auto" w:sz="4" w:space="0"/>
            </w:tcBorders>
            <w:vAlign w:val="center"/>
          </w:tcPr>
          <w:p w14:paraId="2F3418BD">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立方米</w:t>
            </w:r>
          </w:p>
        </w:tc>
        <w:tc>
          <w:tcPr>
            <w:tcW w:w="849" w:type="dxa"/>
            <w:gridSpan w:val="2"/>
            <w:tcBorders>
              <w:top w:val="nil"/>
              <w:left w:val="nil"/>
              <w:bottom w:val="single" w:color="auto" w:sz="4" w:space="0"/>
              <w:right w:val="single" w:color="auto" w:sz="4" w:space="0"/>
            </w:tcBorders>
            <w:vAlign w:val="center"/>
          </w:tcPr>
          <w:p w14:paraId="07045C18">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200</w:t>
            </w:r>
          </w:p>
        </w:tc>
        <w:tc>
          <w:tcPr>
            <w:tcW w:w="5732" w:type="dxa"/>
            <w:gridSpan w:val="4"/>
            <w:tcBorders>
              <w:top w:val="nil"/>
              <w:left w:val="nil"/>
              <w:bottom w:val="single" w:color="auto" w:sz="4" w:space="0"/>
              <w:right w:val="single" w:color="auto" w:sz="4" w:space="0"/>
            </w:tcBorders>
            <w:vAlign w:val="center"/>
          </w:tcPr>
          <w:p w14:paraId="4B036F8F">
            <w:pPr>
              <w:spacing w:line="240" w:lineRule="exact"/>
              <w:rPr>
                <w:rFonts w:ascii="仿宋_GB2312" w:hAnsi="仿宋_GB2312" w:eastAsia="仿宋_GB2312" w:cs="仿宋_GB2312"/>
                <w:kern w:val="0"/>
                <w:szCs w:val="21"/>
              </w:rPr>
            </w:pPr>
            <w:r>
              <w:rPr>
                <w:rFonts w:hint="eastAsia" w:ascii="仿宋_GB2312" w:hAnsi="仿宋_GB2312" w:eastAsia="仿宋_GB2312" w:cs="仿宋_GB2312"/>
                <w:kern w:val="0"/>
                <w:szCs w:val="21"/>
              </w:rPr>
              <w:t>13cm以上砖砌粉水泥，容积1m</w:t>
            </w:r>
            <w:r>
              <w:rPr>
                <w:rFonts w:hint="eastAsia" w:ascii="仿宋_GB2312" w:hAnsi="仿宋_GB2312" w:eastAsia="仿宋_GB2312" w:cs="仿宋_GB2312"/>
                <w:kern w:val="0"/>
                <w:szCs w:val="21"/>
                <w:vertAlign w:val="superscript"/>
              </w:rPr>
              <w:t>3</w:t>
            </w:r>
            <w:r>
              <w:rPr>
                <w:rFonts w:hint="eastAsia" w:ascii="仿宋_GB2312" w:hAnsi="仿宋_GB2312" w:eastAsia="仿宋_GB2312" w:cs="仿宋_GB2312"/>
                <w:kern w:val="0"/>
                <w:szCs w:val="21"/>
              </w:rPr>
              <w:t>以上；深度超过3m的一律按3m计算补偿；占地面积超过20m</w:t>
            </w:r>
            <w:r>
              <w:rPr>
                <w:rFonts w:hint="eastAsia" w:ascii="仿宋_GB2312" w:hAnsi="仿宋_GB2312" w:eastAsia="仿宋_GB2312" w:cs="仿宋_GB2312"/>
                <w:kern w:val="0"/>
                <w:szCs w:val="21"/>
                <w:vertAlign w:val="superscript"/>
              </w:rPr>
              <w:t>2</w:t>
            </w:r>
            <w:r>
              <w:rPr>
                <w:rFonts w:hint="eastAsia" w:ascii="仿宋_GB2312" w:hAnsi="仿宋_GB2312" w:eastAsia="仿宋_GB2312" w:cs="仿宋_GB2312"/>
                <w:kern w:val="0"/>
                <w:szCs w:val="21"/>
              </w:rPr>
              <w:t>的按水塘补偿标准计算补偿</w:t>
            </w:r>
            <w:r>
              <w:rPr>
                <w:rFonts w:hint="eastAsia" w:ascii="仿宋_GB2312" w:hAnsi="仿宋_GB2312" w:eastAsia="仿宋_GB2312" w:cs="仿宋_GB2312"/>
                <w:color w:val="000000"/>
                <w:kern w:val="0"/>
                <w:szCs w:val="21"/>
              </w:rPr>
              <w:t>。</w:t>
            </w:r>
          </w:p>
        </w:tc>
      </w:tr>
      <w:tr w14:paraId="6EB1E9A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446" w:hRule="atLeast"/>
          <w:jc w:val="center"/>
        </w:trPr>
        <w:tc>
          <w:tcPr>
            <w:tcW w:w="637" w:type="dxa"/>
            <w:vMerge w:val="continue"/>
            <w:tcBorders>
              <w:top w:val="nil"/>
              <w:left w:val="single" w:color="auto" w:sz="4" w:space="0"/>
              <w:bottom w:val="single" w:color="auto" w:sz="4" w:space="0"/>
              <w:right w:val="single" w:color="auto" w:sz="4" w:space="0"/>
            </w:tcBorders>
            <w:vAlign w:val="center"/>
          </w:tcPr>
          <w:p w14:paraId="49D01303">
            <w:pPr>
              <w:rPr>
                <w:rFonts w:ascii="仿宋_GB2312" w:hAnsi="仿宋_GB2312" w:eastAsia="仿宋_GB2312" w:cs="仿宋_GB2312"/>
              </w:rPr>
            </w:pPr>
          </w:p>
        </w:tc>
        <w:tc>
          <w:tcPr>
            <w:tcW w:w="1724" w:type="dxa"/>
            <w:gridSpan w:val="2"/>
            <w:tcBorders>
              <w:top w:val="nil"/>
              <w:left w:val="nil"/>
              <w:bottom w:val="single" w:color="auto" w:sz="4" w:space="0"/>
              <w:right w:val="single" w:color="auto" w:sz="4" w:space="0"/>
            </w:tcBorders>
            <w:vAlign w:val="center"/>
          </w:tcPr>
          <w:p w14:paraId="685A5381">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沼气池</w:t>
            </w:r>
          </w:p>
        </w:tc>
        <w:tc>
          <w:tcPr>
            <w:tcW w:w="856" w:type="dxa"/>
            <w:tcBorders>
              <w:top w:val="nil"/>
              <w:left w:val="nil"/>
              <w:bottom w:val="single" w:color="auto" w:sz="4" w:space="0"/>
              <w:right w:val="single" w:color="auto" w:sz="4" w:space="0"/>
            </w:tcBorders>
            <w:vAlign w:val="center"/>
          </w:tcPr>
          <w:p w14:paraId="5430864E">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套</w:t>
            </w:r>
          </w:p>
        </w:tc>
        <w:tc>
          <w:tcPr>
            <w:tcW w:w="849" w:type="dxa"/>
            <w:gridSpan w:val="2"/>
            <w:tcBorders>
              <w:top w:val="nil"/>
              <w:left w:val="nil"/>
              <w:bottom w:val="single" w:color="auto" w:sz="4" w:space="0"/>
              <w:right w:val="single" w:color="auto" w:sz="4" w:space="0"/>
            </w:tcBorders>
            <w:vAlign w:val="center"/>
          </w:tcPr>
          <w:p w14:paraId="448FD3AF">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2500</w:t>
            </w:r>
          </w:p>
        </w:tc>
        <w:tc>
          <w:tcPr>
            <w:tcW w:w="5732" w:type="dxa"/>
            <w:gridSpan w:val="4"/>
            <w:tcBorders>
              <w:top w:val="nil"/>
              <w:left w:val="nil"/>
              <w:bottom w:val="single" w:color="auto" w:sz="4" w:space="0"/>
              <w:right w:val="single" w:color="auto" w:sz="4" w:space="0"/>
            </w:tcBorders>
            <w:vAlign w:val="center"/>
          </w:tcPr>
          <w:p w14:paraId="2425FAD7">
            <w:pPr>
              <w:spacing w:line="240" w:lineRule="exact"/>
              <w:rPr>
                <w:rFonts w:ascii="仿宋_GB2312" w:hAnsi="仿宋_GB2312" w:eastAsia="仿宋_GB2312" w:cs="仿宋_GB2312"/>
                <w:kern w:val="0"/>
                <w:szCs w:val="21"/>
              </w:rPr>
            </w:pPr>
            <w:r>
              <w:rPr>
                <w:rFonts w:hint="eastAsia" w:ascii="仿宋_GB2312" w:hAnsi="仿宋_GB2312" w:eastAsia="仿宋_GB2312" w:cs="仿宋_GB2312"/>
                <w:kern w:val="0"/>
                <w:szCs w:val="21"/>
              </w:rPr>
              <w:t>包括管道、气表等</w:t>
            </w:r>
            <w:r>
              <w:rPr>
                <w:rFonts w:hint="eastAsia" w:ascii="仿宋_GB2312" w:hAnsi="仿宋_GB2312" w:eastAsia="仿宋_GB2312" w:cs="仿宋_GB2312"/>
                <w:color w:val="000000"/>
                <w:kern w:val="0"/>
                <w:szCs w:val="21"/>
              </w:rPr>
              <w:t>。</w:t>
            </w:r>
          </w:p>
        </w:tc>
      </w:tr>
      <w:tr w14:paraId="0651105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482" w:hRule="atLeast"/>
          <w:jc w:val="center"/>
        </w:trPr>
        <w:tc>
          <w:tcPr>
            <w:tcW w:w="637" w:type="dxa"/>
            <w:vMerge w:val="restart"/>
            <w:tcBorders>
              <w:top w:val="nil"/>
              <w:left w:val="single" w:color="auto" w:sz="4" w:space="0"/>
              <w:bottom w:val="single" w:color="auto" w:sz="4" w:space="0"/>
              <w:right w:val="single" w:color="auto" w:sz="4" w:space="0"/>
            </w:tcBorders>
            <w:vAlign w:val="center"/>
          </w:tcPr>
          <w:p w14:paraId="6AB02052">
            <w:pPr>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水井类</w:t>
            </w:r>
          </w:p>
        </w:tc>
        <w:tc>
          <w:tcPr>
            <w:tcW w:w="1724" w:type="dxa"/>
            <w:gridSpan w:val="2"/>
            <w:tcBorders>
              <w:top w:val="nil"/>
              <w:left w:val="nil"/>
              <w:bottom w:val="single" w:color="auto" w:sz="4" w:space="0"/>
              <w:right w:val="single" w:color="auto" w:sz="4" w:space="0"/>
            </w:tcBorders>
            <w:vAlign w:val="center"/>
          </w:tcPr>
          <w:p w14:paraId="7F6BAC14">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机钻井（摇泵井）</w:t>
            </w:r>
          </w:p>
        </w:tc>
        <w:tc>
          <w:tcPr>
            <w:tcW w:w="856" w:type="dxa"/>
            <w:tcBorders>
              <w:top w:val="nil"/>
              <w:left w:val="nil"/>
              <w:bottom w:val="single" w:color="auto" w:sz="4" w:space="0"/>
              <w:right w:val="single" w:color="auto" w:sz="4" w:space="0"/>
            </w:tcBorders>
            <w:vAlign w:val="center"/>
          </w:tcPr>
          <w:p w14:paraId="325AD551">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口</w:t>
            </w:r>
          </w:p>
        </w:tc>
        <w:tc>
          <w:tcPr>
            <w:tcW w:w="849" w:type="dxa"/>
            <w:gridSpan w:val="2"/>
            <w:tcBorders>
              <w:top w:val="nil"/>
              <w:left w:val="nil"/>
              <w:bottom w:val="single" w:color="auto" w:sz="4" w:space="0"/>
              <w:right w:val="single" w:color="auto" w:sz="4" w:space="0"/>
            </w:tcBorders>
            <w:vAlign w:val="center"/>
          </w:tcPr>
          <w:p w14:paraId="7580A6A4">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4000</w:t>
            </w:r>
          </w:p>
        </w:tc>
        <w:tc>
          <w:tcPr>
            <w:tcW w:w="5732" w:type="dxa"/>
            <w:gridSpan w:val="4"/>
            <w:tcBorders>
              <w:top w:val="nil"/>
              <w:left w:val="nil"/>
              <w:bottom w:val="single" w:color="auto" w:sz="4" w:space="0"/>
              <w:right w:val="single" w:color="auto" w:sz="4" w:space="0"/>
            </w:tcBorders>
            <w:vAlign w:val="center"/>
          </w:tcPr>
          <w:p w14:paraId="586C7E06">
            <w:pPr>
              <w:spacing w:line="240" w:lineRule="exact"/>
              <w:rPr>
                <w:rFonts w:ascii="仿宋_GB2312" w:hAnsi="仿宋_GB2312" w:eastAsia="仿宋_GB2312" w:cs="仿宋_GB2312"/>
                <w:kern w:val="0"/>
                <w:szCs w:val="21"/>
              </w:rPr>
            </w:pPr>
            <w:r>
              <w:rPr>
                <w:rFonts w:hint="eastAsia" w:ascii="仿宋_GB2312" w:hAnsi="仿宋_GB2312" w:eastAsia="仿宋_GB2312" w:cs="仿宋_GB2312"/>
                <w:kern w:val="0"/>
                <w:szCs w:val="21"/>
              </w:rPr>
              <w:t>包括井台及周边水泥地面，抽水设备的拆除工资；废弃的不予补偿</w:t>
            </w:r>
            <w:r>
              <w:rPr>
                <w:rFonts w:hint="eastAsia" w:ascii="仿宋_GB2312" w:hAnsi="仿宋_GB2312" w:eastAsia="仿宋_GB2312" w:cs="仿宋_GB2312"/>
                <w:color w:val="000000"/>
                <w:kern w:val="0"/>
                <w:szCs w:val="21"/>
              </w:rPr>
              <w:t>。</w:t>
            </w:r>
          </w:p>
        </w:tc>
      </w:tr>
      <w:tr w14:paraId="1C256AD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422" w:hRule="atLeast"/>
          <w:jc w:val="center"/>
        </w:trPr>
        <w:tc>
          <w:tcPr>
            <w:tcW w:w="637" w:type="dxa"/>
            <w:vMerge w:val="continue"/>
            <w:tcBorders>
              <w:top w:val="nil"/>
              <w:left w:val="single" w:color="auto" w:sz="4" w:space="0"/>
              <w:bottom w:val="single" w:color="auto" w:sz="4" w:space="0"/>
              <w:right w:val="single" w:color="auto" w:sz="4" w:space="0"/>
            </w:tcBorders>
            <w:vAlign w:val="center"/>
          </w:tcPr>
          <w:p w14:paraId="7364FAEB">
            <w:pPr>
              <w:rPr>
                <w:rFonts w:ascii="仿宋_GB2312" w:hAnsi="仿宋_GB2312" w:eastAsia="仿宋_GB2312" w:cs="仿宋_GB2312"/>
              </w:rPr>
            </w:pPr>
          </w:p>
        </w:tc>
        <w:tc>
          <w:tcPr>
            <w:tcW w:w="1724" w:type="dxa"/>
            <w:gridSpan w:val="2"/>
            <w:tcBorders>
              <w:top w:val="nil"/>
              <w:left w:val="nil"/>
              <w:bottom w:val="single" w:color="auto" w:sz="4" w:space="0"/>
              <w:right w:val="single" w:color="auto" w:sz="4" w:space="0"/>
            </w:tcBorders>
            <w:vAlign w:val="center"/>
          </w:tcPr>
          <w:p w14:paraId="20BCDD9E">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砖砌、石砌井</w:t>
            </w:r>
          </w:p>
        </w:tc>
        <w:tc>
          <w:tcPr>
            <w:tcW w:w="856" w:type="dxa"/>
            <w:tcBorders>
              <w:top w:val="nil"/>
              <w:left w:val="nil"/>
              <w:bottom w:val="single" w:color="auto" w:sz="4" w:space="0"/>
              <w:right w:val="single" w:color="auto" w:sz="4" w:space="0"/>
            </w:tcBorders>
            <w:vAlign w:val="center"/>
          </w:tcPr>
          <w:p w14:paraId="7C3D4F7D">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米</w:t>
            </w:r>
          </w:p>
        </w:tc>
        <w:tc>
          <w:tcPr>
            <w:tcW w:w="849" w:type="dxa"/>
            <w:gridSpan w:val="2"/>
            <w:tcBorders>
              <w:top w:val="nil"/>
              <w:left w:val="nil"/>
              <w:bottom w:val="single" w:color="auto" w:sz="4" w:space="0"/>
              <w:right w:val="single" w:color="auto" w:sz="4" w:space="0"/>
            </w:tcBorders>
            <w:vAlign w:val="center"/>
          </w:tcPr>
          <w:p w14:paraId="6D4BDC04">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100</w:t>
            </w:r>
          </w:p>
        </w:tc>
        <w:tc>
          <w:tcPr>
            <w:tcW w:w="5732" w:type="dxa"/>
            <w:gridSpan w:val="4"/>
            <w:tcBorders>
              <w:top w:val="nil"/>
              <w:left w:val="nil"/>
              <w:bottom w:val="single" w:color="auto" w:sz="4" w:space="0"/>
              <w:right w:val="single" w:color="auto" w:sz="4" w:space="0"/>
            </w:tcBorders>
            <w:vAlign w:val="center"/>
          </w:tcPr>
          <w:p w14:paraId="08FA4700">
            <w:pPr>
              <w:spacing w:line="240" w:lineRule="exact"/>
              <w:rPr>
                <w:rFonts w:ascii="仿宋_GB2312" w:hAnsi="仿宋_GB2312" w:eastAsia="仿宋_GB2312" w:cs="仿宋_GB2312"/>
                <w:kern w:val="0"/>
                <w:szCs w:val="21"/>
              </w:rPr>
            </w:pPr>
            <w:r>
              <w:rPr>
                <w:rFonts w:hint="eastAsia" w:ascii="仿宋_GB2312" w:hAnsi="仿宋_GB2312" w:eastAsia="仿宋_GB2312" w:cs="仿宋_GB2312"/>
                <w:kern w:val="0"/>
                <w:szCs w:val="21"/>
              </w:rPr>
              <w:t>包括井台及周边水泥地面；废弃的不予补偿</w:t>
            </w:r>
            <w:r>
              <w:rPr>
                <w:rFonts w:hint="eastAsia" w:ascii="仿宋_GB2312" w:hAnsi="仿宋_GB2312" w:eastAsia="仿宋_GB2312" w:cs="仿宋_GB2312"/>
                <w:color w:val="000000"/>
                <w:kern w:val="0"/>
                <w:szCs w:val="21"/>
              </w:rPr>
              <w:t>。</w:t>
            </w:r>
          </w:p>
        </w:tc>
      </w:tr>
      <w:tr w14:paraId="2CB644A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350" w:hRule="atLeast"/>
          <w:jc w:val="center"/>
        </w:trPr>
        <w:tc>
          <w:tcPr>
            <w:tcW w:w="637" w:type="dxa"/>
            <w:vMerge w:val="continue"/>
            <w:tcBorders>
              <w:top w:val="nil"/>
              <w:left w:val="single" w:color="auto" w:sz="4" w:space="0"/>
              <w:bottom w:val="single" w:color="auto" w:sz="4" w:space="0"/>
              <w:right w:val="single" w:color="auto" w:sz="4" w:space="0"/>
            </w:tcBorders>
            <w:vAlign w:val="center"/>
          </w:tcPr>
          <w:p w14:paraId="5A49B776">
            <w:pPr>
              <w:rPr>
                <w:rFonts w:ascii="仿宋_GB2312" w:hAnsi="仿宋_GB2312" w:eastAsia="仿宋_GB2312" w:cs="仿宋_GB2312"/>
              </w:rPr>
            </w:pPr>
          </w:p>
        </w:tc>
        <w:tc>
          <w:tcPr>
            <w:tcW w:w="1724" w:type="dxa"/>
            <w:gridSpan w:val="2"/>
            <w:tcBorders>
              <w:top w:val="nil"/>
              <w:left w:val="nil"/>
              <w:bottom w:val="single" w:color="auto" w:sz="4" w:space="0"/>
              <w:right w:val="single" w:color="auto" w:sz="4" w:space="0"/>
            </w:tcBorders>
            <w:vAlign w:val="center"/>
          </w:tcPr>
          <w:p w14:paraId="74F7F329">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土井</w:t>
            </w:r>
          </w:p>
        </w:tc>
        <w:tc>
          <w:tcPr>
            <w:tcW w:w="856" w:type="dxa"/>
            <w:tcBorders>
              <w:top w:val="nil"/>
              <w:left w:val="nil"/>
              <w:bottom w:val="single" w:color="auto" w:sz="4" w:space="0"/>
              <w:right w:val="single" w:color="auto" w:sz="4" w:space="0"/>
            </w:tcBorders>
            <w:vAlign w:val="center"/>
          </w:tcPr>
          <w:p w14:paraId="50BE5ECD">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口</w:t>
            </w:r>
          </w:p>
        </w:tc>
        <w:tc>
          <w:tcPr>
            <w:tcW w:w="849" w:type="dxa"/>
            <w:gridSpan w:val="2"/>
            <w:tcBorders>
              <w:top w:val="nil"/>
              <w:left w:val="nil"/>
              <w:bottom w:val="single" w:color="auto" w:sz="4" w:space="0"/>
              <w:right w:val="single" w:color="auto" w:sz="4" w:space="0"/>
            </w:tcBorders>
            <w:vAlign w:val="center"/>
          </w:tcPr>
          <w:p w14:paraId="1B80EDC9">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300</w:t>
            </w:r>
          </w:p>
        </w:tc>
        <w:tc>
          <w:tcPr>
            <w:tcW w:w="5732" w:type="dxa"/>
            <w:gridSpan w:val="4"/>
            <w:tcBorders>
              <w:top w:val="nil"/>
              <w:left w:val="nil"/>
              <w:bottom w:val="single" w:color="auto" w:sz="4" w:space="0"/>
              <w:right w:val="single" w:color="auto" w:sz="4" w:space="0"/>
            </w:tcBorders>
            <w:vAlign w:val="center"/>
          </w:tcPr>
          <w:p w14:paraId="2D93E1F1">
            <w:pPr>
              <w:spacing w:line="240" w:lineRule="exact"/>
              <w:rPr>
                <w:rFonts w:ascii="仿宋_GB2312" w:hAnsi="仿宋_GB2312" w:eastAsia="仿宋_GB2312" w:cs="仿宋_GB2312"/>
                <w:kern w:val="0"/>
                <w:szCs w:val="21"/>
              </w:rPr>
            </w:pPr>
            <w:r>
              <w:rPr>
                <w:rFonts w:hint="eastAsia" w:ascii="仿宋_GB2312" w:hAnsi="仿宋_GB2312" w:eastAsia="仿宋_GB2312" w:cs="仿宋_GB2312"/>
                <w:kern w:val="0"/>
                <w:szCs w:val="21"/>
              </w:rPr>
              <w:t>包括井台及周边水泥地面；废弃的不予补偿</w:t>
            </w:r>
            <w:r>
              <w:rPr>
                <w:rFonts w:hint="eastAsia" w:ascii="仿宋_GB2312" w:hAnsi="仿宋_GB2312" w:eastAsia="仿宋_GB2312" w:cs="仿宋_GB2312"/>
                <w:color w:val="000000"/>
                <w:kern w:val="0"/>
                <w:szCs w:val="21"/>
              </w:rPr>
              <w:t>。</w:t>
            </w:r>
          </w:p>
        </w:tc>
      </w:tr>
      <w:tr w14:paraId="0FEB5FB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458" w:hRule="atLeast"/>
          <w:jc w:val="center"/>
        </w:trPr>
        <w:tc>
          <w:tcPr>
            <w:tcW w:w="637" w:type="dxa"/>
            <w:vMerge w:val="restart"/>
            <w:tcBorders>
              <w:top w:val="nil"/>
              <w:left w:val="single" w:color="auto" w:sz="4" w:space="0"/>
              <w:bottom w:val="single" w:color="auto" w:sz="4" w:space="0"/>
              <w:right w:val="single" w:color="auto" w:sz="4" w:space="0"/>
            </w:tcBorders>
            <w:vAlign w:val="center"/>
          </w:tcPr>
          <w:p w14:paraId="7FA94BEF">
            <w:pPr>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排水沟（涵管）类</w:t>
            </w:r>
          </w:p>
        </w:tc>
        <w:tc>
          <w:tcPr>
            <w:tcW w:w="1724" w:type="dxa"/>
            <w:gridSpan w:val="2"/>
            <w:tcBorders>
              <w:top w:val="nil"/>
              <w:left w:val="nil"/>
              <w:bottom w:val="single" w:color="auto" w:sz="4" w:space="0"/>
              <w:right w:val="single" w:color="auto" w:sz="4" w:space="0"/>
            </w:tcBorders>
            <w:vAlign w:val="center"/>
          </w:tcPr>
          <w:p w14:paraId="7EF55D75">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砖砌明沟</w:t>
            </w:r>
          </w:p>
        </w:tc>
        <w:tc>
          <w:tcPr>
            <w:tcW w:w="856" w:type="dxa"/>
            <w:tcBorders>
              <w:top w:val="nil"/>
              <w:left w:val="nil"/>
              <w:bottom w:val="single" w:color="auto" w:sz="4" w:space="0"/>
              <w:right w:val="single" w:color="auto" w:sz="4" w:space="0"/>
            </w:tcBorders>
            <w:vAlign w:val="center"/>
          </w:tcPr>
          <w:p w14:paraId="0665489F">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米</w:t>
            </w:r>
          </w:p>
        </w:tc>
        <w:tc>
          <w:tcPr>
            <w:tcW w:w="849" w:type="dxa"/>
            <w:gridSpan w:val="2"/>
            <w:tcBorders>
              <w:top w:val="nil"/>
              <w:left w:val="nil"/>
              <w:bottom w:val="single" w:color="auto" w:sz="4" w:space="0"/>
              <w:right w:val="single" w:color="auto" w:sz="4" w:space="0"/>
            </w:tcBorders>
            <w:vAlign w:val="center"/>
          </w:tcPr>
          <w:p w14:paraId="70A09F0C">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80</w:t>
            </w:r>
          </w:p>
        </w:tc>
        <w:tc>
          <w:tcPr>
            <w:tcW w:w="5732" w:type="dxa"/>
            <w:gridSpan w:val="4"/>
            <w:tcBorders>
              <w:top w:val="nil"/>
              <w:left w:val="nil"/>
              <w:bottom w:val="single" w:color="auto" w:sz="4" w:space="0"/>
              <w:right w:val="single" w:color="auto" w:sz="4" w:space="0"/>
            </w:tcBorders>
            <w:vAlign w:val="center"/>
          </w:tcPr>
          <w:p w14:paraId="036B2AEE">
            <w:pPr>
              <w:spacing w:line="240" w:lineRule="exact"/>
              <w:rPr>
                <w:rFonts w:ascii="仿宋_GB2312" w:hAnsi="仿宋_GB2312" w:eastAsia="仿宋_GB2312" w:cs="仿宋_GB2312"/>
                <w:kern w:val="0"/>
                <w:szCs w:val="21"/>
              </w:rPr>
            </w:pPr>
            <w:r>
              <w:rPr>
                <w:rFonts w:hint="eastAsia" w:ascii="仿宋_GB2312" w:hAnsi="仿宋_GB2312" w:eastAsia="仿宋_GB2312" w:cs="仿宋_GB2312"/>
                <w:kern w:val="0"/>
                <w:szCs w:val="21"/>
              </w:rPr>
              <w:t>断面24cm×35cm，断面不同时按比例换算</w:t>
            </w:r>
            <w:r>
              <w:rPr>
                <w:rFonts w:hint="eastAsia" w:ascii="仿宋_GB2312" w:hAnsi="仿宋_GB2312" w:eastAsia="仿宋_GB2312" w:cs="仿宋_GB2312"/>
                <w:color w:val="000000"/>
                <w:kern w:val="0"/>
                <w:szCs w:val="21"/>
              </w:rPr>
              <w:t>。</w:t>
            </w:r>
          </w:p>
        </w:tc>
      </w:tr>
      <w:tr w14:paraId="0486BFF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446" w:hRule="atLeast"/>
          <w:jc w:val="center"/>
        </w:trPr>
        <w:tc>
          <w:tcPr>
            <w:tcW w:w="637" w:type="dxa"/>
            <w:vMerge w:val="continue"/>
            <w:tcBorders>
              <w:top w:val="nil"/>
              <w:left w:val="single" w:color="auto" w:sz="4" w:space="0"/>
              <w:bottom w:val="single" w:color="auto" w:sz="4" w:space="0"/>
              <w:right w:val="single" w:color="auto" w:sz="4" w:space="0"/>
            </w:tcBorders>
            <w:vAlign w:val="center"/>
          </w:tcPr>
          <w:p w14:paraId="249E396C">
            <w:pPr>
              <w:rPr>
                <w:rFonts w:ascii="仿宋_GB2312" w:hAnsi="仿宋_GB2312" w:eastAsia="仿宋_GB2312" w:cs="仿宋_GB2312"/>
              </w:rPr>
            </w:pPr>
          </w:p>
        </w:tc>
        <w:tc>
          <w:tcPr>
            <w:tcW w:w="1724" w:type="dxa"/>
            <w:gridSpan w:val="2"/>
            <w:tcBorders>
              <w:top w:val="nil"/>
              <w:left w:val="nil"/>
              <w:bottom w:val="single" w:color="auto" w:sz="4" w:space="0"/>
              <w:right w:val="single" w:color="auto" w:sz="4" w:space="0"/>
            </w:tcBorders>
            <w:vAlign w:val="center"/>
          </w:tcPr>
          <w:p w14:paraId="65A28424">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三合灰明沟</w:t>
            </w:r>
          </w:p>
        </w:tc>
        <w:tc>
          <w:tcPr>
            <w:tcW w:w="856" w:type="dxa"/>
            <w:tcBorders>
              <w:top w:val="nil"/>
              <w:left w:val="nil"/>
              <w:bottom w:val="single" w:color="auto" w:sz="4" w:space="0"/>
              <w:right w:val="single" w:color="auto" w:sz="4" w:space="0"/>
            </w:tcBorders>
            <w:vAlign w:val="center"/>
          </w:tcPr>
          <w:p w14:paraId="205DD7D7">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米</w:t>
            </w:r>
          </w:p>
        </w:tc>
        <w:tc>
          <w:tcPr>
            <w:tcW w:w="849" w:type="dxa"/>
            <w:gridSpan w:val="2"/>
            <w:tcBorders>
              <w:top w:val="nil"/>
              <w:left w:val="nil"/>
              <w:bottom w:val="single" w:color="auto" w:sz="4" w:space="0"/>
              <w:right w:val="single" w:color="auto" w:sz="4" w:space="0"/>
            </w:tcBorders>
            <w:vAlign w:val="center"/>
          </w:tcPr>
          <w:p w14:paraId="3DFCF02D">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50</w:t>
            </w:r>
          </w:p>
        </w:tc>
        <w:tc>
          <w:tcPr>
            <w:tcW w:w="5732" w:type="dxa"/>
            <w:gridSpan w:val="4"/>
            <w:tcBorders>
              <w:top w:val="nil"/>
              <w:left w:val="nil"/>
              <w:bottom w:val="single" w:color="auto" w:sz="4" w:space="0"/>
              <w:right w:val="single" w:color="auto" w:sz="4" w:space="0"/>
            </w:tcBorders>
            <w:vAlign w:val="center"/>
          </w:tcPr>
          <w:p w14:paraId="6BA71931">
            <w:pPr>
              <w:spacing w:line="240" w:lineRule="exact"/>
              <w:rPr>
                <w:rFonts w:ascii="仿宋_GB2312" w:hAnsi="仿宋_GB2312" w:eastAsia="仿宋_GB2312" w:cs="仿宋_GB2312"/>
                <w:kern w:val="0"/>
                <w:szCs w:val="21"/>
              </w:rPr>
            </w:pPr>
            <w:r>
              <w:rPr>
                <w:rFonts w:hint="eastAsia" w:ascii="仿宋_GB2312" w:hAnsi="仿宋_GB2312" w:eastAsia="仿宋_GB2312" w:cs="仿宋_GB2312"/>
                <w:kern w:val="0"/>
                <w:szCs w:val="21"/>
              </w:rPr>
              <w:t>断面24cm×35cm，断面不同时按比例换算</w:t>
            </w:r>
            <w:r>
              <w:rPr>
                <w:rFonts w:hint="eastAsia" w:ascii="仿宋_GB2312" w:hAnsi="仿宋_GB2312" w:eastAsia="仿宋_GB2312" w:cs="仿宋_GB2312"/>
                <w:color w:val="000000"/>
                <w:kern w:val="0"/>
                <w:szCs w:val="21"/>
              </w:rPr>
              <w:t>。</w:t>
            </w:r>
          </w:p>
        </w:tc>
      </w:tr>
      <w:tr w14:paraId="16F325E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470" w:hRule="atLeast"/>
          <w:jc w:val="center"/>
        </w:trPr>
        <w:tc>
          <w:tcPr>
            <w:tcW w:w="637" w:type="dxa"/>
            <w:vMerge w:val="continue"/>
            <w:tcBorders>
              <w:top w:val="nil"/>
              <w:left w:val="single" w:color="auto" w:sz="4" w:space="0"/>
              <w:bottom w:val="single" w:color="auto" w:sz="4" w:space="0"/>
              <w:right w:val="single" w:color="auto" w:sz="4" w:space="0"/>
            </w:tcBorders>
            <w:vAlign w:val="center"/>
          </w:tcPr>
          <w:p w14:paraId="168CC01D">
            <w:pPr>
              <w:rPr>
                <w:rFonts w:ascii="仿宋_GB2312" w:hAnsi="仿宋_GB2312" w:eastAsia="仿宋_GB2312" w:cs="仿宋_GB2312"/>
              </w:rPr>
            </w:pPr>
          </w:p>
        </w:tc>
        <w:tc>
          <w:tcPr>
            <w:tcW w:w="1724" w:type="dxa"/>
            <w:gridSpan w:val="2"/>
            <w:tcBorders>
              <w:top w:val="nil"/>
              <w:left w:val="nil"/>
              <w:bottom w:val="single" w:color="auto" w:sz="4" w:space="0"/>
              <w:right w:val="single" w:color="auto" w:sz="4" w:space="0"/>
            </w:tcBorders>
            <w:vAlign w:val="center"/>
          </w:tcPr>
          <w:p w14:paraId="665EA421">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砖砌暗沟</w:t>
            </w:r>
          </w:p>
        </w:tc>
        <w:tc>
          <w:tcPr>
            <w:tcW w:w="856" w:type="dxa"/>
            <w:tcBorders>
              <w:top w:val="nil"/>
              <w:left w:val="nil"/>
              <w:bottom w:val="single" w:color="auto" w:sz="4" w:space="0"/>
              <w:right w:val="single" w:color="auto" w:sz="4" w:space="0"/>
            </w:tcBorders>
            <w:vAlign w:val="center"/>
          </w:tcPr>
          <w:p w14:paraId="23DB63C9">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米</w:t>
            </w:r>
          </w:p>
        </w:tc>
        <w:tc>
          <w:tcPr>
            <w:tcW w:w="849" w:type="dxa"/>
            <w:gridSpan w:val="2"/>
            <w:tcBorders>
              <w:top w:val="nil"/>
              <w:left w:val="nil"/>
              <w:bottom w:val="single" w:color="auto" w:sz="4" w:space="0"/>
              <w:right w:val="single" w:color="auto" w:sz="4" w:space="0"/>
            </w:tcBorders>
            <w:vAlign w:val="center"/>
          </w:tcPr>
          <w:p w14:paraId="325EA9E9">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100</w:t>
            </w:r>
          </w:p>
        </w:tc>
        <w:tc>
          <w:tcPr>
            <w:tcW w:w="5732" w:type="dxa"/>
            <w:gridSpan w:val="4"/>
            <w:tcBorders>
              <w:top w:val="nil"/>
              <w:left w:val="nil"/>
              <w:bottom w:val="single" w:color="auto" w:sz="4" w:space="0"/>
              <w:right w:val="single" w:color="auto" w:sz="4" w:space="0"/>
            </w:tcBorders>
            <w:vAlign w:val="center"/>
          </w:tcPr>
          <w:p w14:paraId="4766C310">
            <w:pPr>
              <w:spacing w:line="240" w:lineRule="exact"/>
              <w:rPr>
                <w:rFonts w:ascii="仿宋_GB2312" w:hAnsi="仿宋_GB2312" w:eastAsia="仿宋_GB2312" w:cs="仿宋_GB2312"/>
                <w:kern w:val="0"/>
                <w:szCs w:val="21"/>
              </w:rPr>
            </w:pPr>
            <w:r>
              <w:rPr>
                <w:rFonts w:hint="eastAsia" w:ascii="仿宋_GB2312" w:hAnsi="仿宋_GB2312" w:eastAsia="仿宋_GB2312" w:cs="仿宋_GB2312"/>
                <w:kern w:val="0"/>
                <w:szCs w:val="21"/>
              </w:rPr>
              <w:t>含盖板断面24cm×35cm，断面不同时按比例换算</w:t>
            </w:r>
            <w:r>
              <w:rPr>
                <w:rFonts w:hint="eastAsia" w:ascii="仿宋_GB2312" w:hAnsi="仿宋_GB2312" w:eastAsia="仿宋_GB2312" w:cs="仿宋_GB2312"/>
                <w:color w:val="000000"/>
                <w:kern w:val="0"/>
                <w:szCs w:val="21"/>
              </w:rPr>
              <w:t>。</w:t>
            </w:r>
          </w:p>
        </w:tc>
      </w:tr>
      <w:tr w14:paraId="33B7D19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446" w:hRule="atLeast"/>
          <w:jc w:val="center"/>
        </w:trPr>
        <w:tc>
          <w:tcPr>
            <w:tcW w:w="637" w:type="dxa"/>
            <w:vMerge w:val="continue"/>
            <w:tcBorders>
              <w:top w:val="nil"/>
              <w:left w:val="single" w:color="auto" w:sz="4" w:space="0"/>
              <w:bottom w:val="single" w:color="auto" w:sz="4" w:space="0"/>
              <w:right w:val="single" w:color="auto" w:sz="4" w:space="0"/>
            </w:tcBorders>
            <w:vAlign w:val="center"/>
          </w:tcPr>
          <w:p w14:paraId="6847AB74">
            <w:pPr>
              <w:rPr>
                <w:rFonts w:ascii="仿宋_GB2312" w:hAnsi="仿宋_GB2312" w:eastAsia="仿宋_GB2312" w:cs="仿宋_GB2312"/>
              </w:rPr>
            </w:pPr>
          </w:p>
        </w:tc>
        <w:tc>
          <w:tcPr>
            <w:tcW w:w="1724" w:type="dxa"/>
            <w:gridSpan w:val="2"/>
            <w:tcBorders>
              <w:top w:val="nil"/>
              <w:left w:val="nil"/>
              <w:bottom w:val="single" w:color="auto" w:sz="4" w:space="0"/>
              <w:right w:val="single" w:color="auto" w:sz="4" w:space="0"/>
            </w:tcBorders>
            <w:vAlign w:val="center"/>
          </w:tcPr>
          <w:p w14:paraId="1205CA6C">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暗砼涵管Ф110mm</w:t>
            </w:r>
          </w:p>
        </w:tc>
        <w:tc>
          <w:tcPr>
            <w:tcW w:w="856" w:type="dxa"/>
            <w:tcBorders>
              <w:top w:val="nil"/>
              <w:left w:val="nil"/>
              <w:bottom w:val="single" w:color="auto" w:sz="4" w:space="0"/>
              <w:right w:val="single" w:color="auto" w:sz="4" w:space="0"/>
            </w:tcBorders>
            <w:vAlign w:val="center"/>
          </w:tcPr>
          <w:p w14:paraId="1BC54920">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米</w:t>
            </w:r>
          </w:p>
        </w:tc>
        <w:tc>
          <w:tcPr>
            <w:tcW w:w="849" w:type="dxa"/>
            <w:gridSpan w:val="2"/>
            <w:tcBorders>
              <w:top w:val="nil"/>
              <w:left w:val="nil"/>
              <w:bottom w:val="single" w:color="auto" w:sz="4" w:space="0"/>
              <w:right w:val="single" w:color="auto" w:sz="4" w:space="0"/>
            </w:tcBorders>
            <w:vAlign w:val="center"/>
          </w:tcPr>
          <w:p w14:paraId="7E51FA4A">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50</w:t>
            </w:r>
          </w:p>
        </w:tc>
        <w:tc>
          <w:tcPr>
            <w:tcW w:w="5732" w:type="dxa"/>
            <w:gridSpan w:val="4"/>
            <w:tcBorders>
              <w:top w:val="nil"/>
              <w:left w:val="nil"/>
              <w:bottom w:val="single" w:color="auto" w:sz="4" w:space="0"/>
              <w:right w:val="single" w:color="auto" w:sz="4" w:space="0"/>
            </w:tcBorders>
            <w:vAlign w:val="center"/>
          </w:tcPr>
          <w:p w14:paraId="60F78F6B">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　</w:t>
            </w:r>
          </w:p>
        </w:tc>
      </w:tr>
      <w:tr w14:paraId="685E8C6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458" w:hRule="atLeast"/>
          <w:jc w:val="center"/>
        </w:trPr>
        <w:tc>
          <w:tcPr>
            <w:tcW w:w="637" w:type="dxa"/>
            <w:vMerge w:val="continue"/>
            <w:tcBorders>
              <w:top w:val="nil"/>
              <w:left w:val="single" w:color="auto" w:sz="4" w:space="0"/>
              <w:bottom w:val="single" w:color="auto" w:sz="4" w:space="0"/>
              <w:right w:val="single" w:color="auto" w:sz="4" w:space="0"/>
            </w:tcBorders>
            <w:vAlign w:val="center"/>
          </w:tcPr>
          <w:p w14:paraId="15BF8F06">
            <w:pPr>
              <w:rPr>
                <w:rFonts w:ascii="仿宋_GB2312" w:hAnsi="仿宋_GB2312" w:eastAsia="仿宋_GB2312" w:cs="仿宋_GB2312"/>
              </w:rPr>
            </w:pPr>
          </w:p>
        </w:tc>
        <w:tc>
          <w:tcPr>
            <w:tcW w:w="1724" w:type="dxa"/>
            <w:gridSpan w:val="2"/>
            <w:tcBorders>
              <w:top w:val="nil"/>
              <w:left w:val="nil"/>
              <w:bottom w:val="single" w:color="auto" w:sz="4" w:space="0"/>
              <w:right w:val="single" w:color="auto" w:sz="4" w:space="0"/>
            </w:tcBorders>
            <w:vAlign w:val="center"/>
          </w:tcPr>
          <w:p w14:paraId="4C429214">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暗砼涵管Ф300mm</w:t>
            </w:r>
          </w:p>
        </w:tc>
        <w:tc>
          <w:tcPr>
            <w:tcW w:w="856" w:type="dxa"/>
            <w:tcBorders>
              <w:top w:val="nil"/>
              <w:left w:val="nil"/>
              <w:bottom w:val="single" w:color="auto" w:sz="4" w:space="0"/>
              <w:right w:val="single" w:color="auto" w:sz="4" w:space="0"/>
            </w:tcBorders>
            <w:vAlign w:val="center"/>
          </w:tcPr>
          <w:p w14:paraId="6AD2A66A">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米</w:t>
            </w:r>
          </w:p>
        </w:tc>
        <w:tc>
          <w:tcPr>
            <w:tcW w:w="849" w:type="dxa"/>
            <w:gridSpan w:val="2"/>
            <w:tcBorders>
              <w:top w:val="nil"/>
              <w:left w:val="nil"/>
              <w:bottom w:val="single" w:color="auto" w:sz="4" w:space="0"/>
              <w:right w:val="single" w:color="auto" w:sz="4" w:space="0"/>
            </w:tcBorders>
            <w:vAlign w:val="center"/>
          </w:tcPr>
          <w:p w14:paraId="419C0FF2">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80</w:t>
            </w:r>
          </w:p>
        </w:tc>
        <w:tc>
          <w:tcPr>
            <w:tcW w:w="5732" w:type="dxa"/>
            <w:gridSpan w:val="4"/>
            <w:tcBorders>
              <w:top w:val="nil"/>
              <w:left w:val="nil"/>
              <w:bottom w:val="single" w:color="auto" w:sz="4" w:space="0"/>
              <w:right w:val="single" w:color="auto" w:sz="4" w:space="0"/>
            </w:tcBorders>
            <w:vAlign w:val="center"/>
          </w:tcPr>
          <w:p w14:paraId="08B31228">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　</w:t>
            </w:r>
          </w:p>
        </w:tc>
      </w:tr>
      <w:tr w14:paraId="6A03482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458" w:hRule="atLeast"/>
          <w:jc w:val="center"/>
        </w:trPr>
        <w:tc>
          <w:tcPr>
            <w:tcW w:w="637" w:type="dxa"/>
            <w:vMerge w:val="continue"/>
            <w:tcBorders>
              <w:top w:val="nil"/>
              <w:left w:val="single" w:color="auto" w:sz="4" w:space="0"/>
              <w:bottom w:val="single" w:color="auto" w:sz="4" w:space="0"/>
              <w:right w:val="single" w:color="auto" w:sz="4" w:space="0"/>
            </w:tcBorders>
            <w:vAlign w:val="center"/>
          </w:tcPr>
          <w:p w14:paraId="7932DB86">
            <w:pPr>
              <w:rPr>
                <w:rFonts w:ascii="仿宋_GB2312" w:hAnsi="仿宋_GB2312" w:eastAsia="仿宋_GB2312" w:cs="仿宋_GB2312"/>
              </w:rPr>
            </w:pPr>
          </w:p>
        </w:tc>
        <w:tc>
          <w:tcPr>
            <w:tcW w:w="1724" w:type="dxa"/>
            <w:gridSpan w:val="2"/>
            <w:tcBorders>
              <w:top w:val="nil"/>
              <w:left w:val="nil"/>
              <w:bottom w:val="single" w:color="auto" w:sz="4" w:space="0"/>
              <w:right w:val="single" w:color="auto" w:sz="4" w:space="0"/>
            </w:tcBorders>
            <w:vAlign w:val="center"/>
          </w:tcPr>
          <w:p w14:paraId="74F570DF">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铸铁管Ф100mm</w:t>
            </w:r>
          </w:p>
        </w:tc>
        <w:tc>
          <w:tcPr>
            <w:tcW w:w="856" w:type="dxa"/>
            <w:tcBorders>
              <w:top w:val="nil"/>
              <w:left w:val="nil"/>
              <w:bottom w:val="single" w:color="auto" w:sz="4" w:space="0"/>
              <w:right w:val="single" w:color="auto" w:sz="4" w:space="0"/>
            </w:tcBorders>
            <w:vAlign w:val="center"/>
          </w:tcPr>
          <w:p w14:paraId="71098B5F">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米</w:t>
            </w:r>
          </w:p>
        </w:tc>
        <w:tc>
          <w:tcPr>
            <w:tcW w:w="849" w:type="dxa"/>
            <w:gridSpan w:val="2"/>
            <w:tcBorders>
              <w:top w:val="nil"/>
              <w:left w:val="nil"/>
              <w:bottom w:val="single" w:color="auto" w:sz="4" w:space="0"/>
              <w:right w:val="single" w:color="auto" w:sz="4" w:space="0"/>
            </w:tcBorders>
            <w:vAlign w:val="center"/>
          </w:tcPr>
          <w:p w14:paraId="36B0C713">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60</w:t>
            </w:r>
          </w:p>
        </w:tc>
        <w:tc>
          <w:tcPr>
            <w:tcW w:w="5732" w:type="dxa"/>
            <w:gridSpan w:val="4"/>
            <w:tcBorders>
              <w:top w:val="nil"/>
              <w:left w:val="nil"/>
              <w:bottom w:val="single" w:color="auto" w:sz="4" w:space="0"/>
              <w:right w:val="single" w:color="auto" w:sz="4" w:space="0"/>
            </w:tcBorders>
            <w:vAlign w:val="center"/>
          </w:tcPr>
          <w:p w14:paraId="7EB3ABA1">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　</w:t>
            </w:r>
          </w:p>
        </w:tc>
      </w:tr>
      <w:tr w14:paraId="34579C0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895" w:hRule="atLeast"/>
          <w:jc w:val="center"/>
        </w:trPr>
        <w:tc>
          <w:tcPr>
            <w:tcW w:w="637" w:type="dxa"/>
            <w:vMerge w:val="restart"/>
            <w:tcBorders>
              <w:top w:val="nil"/>
              <w:left w:val="single" w:color="auto" w:sz="4" w:space="0"/>
              <w:bottom w:val="single" w:color="auto" w:sz="4" w:space="0"/>
              <w:right w:val="single" w:color="auto" w:sz="4" w:space="0"/>
            </w:tcBorders>
            <w:vAlign w:val="center"/>
          </w:tcPr>
          <w:p w14:paraId="1497B70A">
            <w:pPr>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蔬菜大棚类</w:t>
            </w:r>
          </w:p>
        </w:tc>
        <w:tc>
          <w:tcPr>
            <w:tcW w:w="1724" w:type="dxa"/>
            <w:gridSpan w:val="2"/>
            <w:tcBorders>
              <w:top w:val="nil"/>
              <w:left w:val="nil"/>
              <w:bottom w:val="single" w:color="auto" w:sz="4" w:space="0"/>
              <w:right w:val="single" w:color="auto" w:sz="4" w:space="0"/>
            </w:tcBorders>
            <w:vAlign w:val="center"/>
          </w:tcPr>
          <w:p w14:paraId="2DE01D6A">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钢架大棚</w:t>
            </w:r>
          </w:p>
        </w:tc>
        <w:tc>
          <w:tcPr>
            <w:tcW w:w="856" w:type="dxa"/>
            <w:tcBorders>
              <w:top w:val="nil"/>
              <w:left w:val="nil"/>
              <w:bottom w:val="single" w:color="auto" w:sz="4" w:space="0"/>
              <w:right w:val="single" w:color="auto" w:sz="4" w:space="0"/>
            </w:tcBorders>
            <w:vAlign w:val="center"/>
          </w:tcPr>
          <w:p w14:paraId="3ACE304A">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平方米</w:t>
            </w:r>
          </w:p>
        </w:tc>
        <w:tc>
          <w:tcPr>
            <w:tcW w:w="849" w:type="dxa"/>
            <w:gridSpan w:val="2"/>
            <w:tcBorders>
              <w:top w:val="nil"/>
              <w:left w:val="nil"/>
              <w:bottom w:val="single" w:color="auto" w:sz="4" w:space="0"/>
              <w:right w:val="single" w:color="auto" w:sz="4" w:space="0"/>
            </w:tcBorders>
            <w:vAlign w:val="center"/>
          </w:tcPr>
          <w:p w14:paraId="0D13EAE1">
            <w:pPr>
              <w:spacing w:line="240" w:lineRule="exact"/>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32</w:t>
            </w:r>
          </w:p>
        </w:tc>
        <w:tc>
          <w:tcPr>
            <w:tcW w:w="5732" w:type="dxa"/>
            <w:gridSpan w:val="4"/>
            <w:tcBorders>
              <w:top w:val="nil"/>
              <w:left w:val="nil"/>
              <w:bottom w:val="single" w:color="auto" w:sz="4" w:space="0"/>
              <w:right w:val="single" w:color="auto" w:sz="4" w:space="0"/>
            </w:tcBorders>
            <w:vAlign w:val="center"/>
          </w:tcPr>
          <w:p w14:paraId="6BCA490D">
            <w:pPr>
              <w:spacing w:line="240" w:lineRule="exact"/>
              <w:rPr>
                <w:rFonts w:ascii="仿宋_GB2312" w:hAnsi="仿宋_GB2312" w:eastAsia="仿宋_GB2312" w:cs="仿宋_GB2312"/>
                <w:kern w:val="0"/>
                <w:szCs w:val="21"/>
              </w:rPr>
            </w:pPr>
            <w:r>
              <w:rPr>
                <w:rFonts w:hint="eastAsia" w:ascii="仿宋_GB2312" w:hAnsi="仿宋_GB2312" w:eastAsia="仿宋_GB2312" w:cs="仿宋_GB2312"/>
                <w:kern w:val="0"/>
                <w:szCs w:val="21"/>
              </w:rPr>
              <w:t>大棚拱材为热浸锌钢管，钢管外直径为2.5厘米、厚度为0.15厘米；大棚标准配置为同材3排连杆4排卡槽、大棚两头各安装1个门、2个韩式侧卷摇膜器连同材大棚长度的摇膜钢管、拱间距1米、全棚覆盖厚度8丝长寿无滴大棚膜、大棚跨度6米、顶高3米、长度30米以上（含30米）。达不到要求的，按实际工程量计算补偿。</w:t>
            </w:r>
          </w:p>
        </w:tc>
      </w:tr>
      <w:tr w14:paraId="21889F8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895" w:hRule="atLeast"/>
          <w:jc w:val="center"/>
        </w:trPr>
        <w:tc>
          <w:tcPr>
            <w:tcW w:w="637" w:type="dxa"/>
            <w:vMerge w:val="continue"/>
            <w:tcBorders>
              <w:top w:val="nil"/>
              <w:left w:val="single" w:color="auto" w:sz="4" w:space="0"/>
              <w:bottom w:val="single" w:color="auto" w:sz="4" w:space="0"/>
              <w:right w:val="single" w:color="auto" w:sz="4" w:space="0"/>
            </w:tcBorders>
            <w:vAlign w:val="center"/>
          </w:tcPr>
          <w:p w14:paraId="04DB0607">
            <w:pPr>
              <w:rPr>
                <w:rFonts w:ascii="仿宋_GB2312" w:hAnsi="仿宋_GB2312" w:eastAsia="仿宋_GB2312" w:cs="仿宋_GB2312"/>
              </w:rPr>
            </w:pPr>
          </w:p>
        </w:tc>
        <w:tc>
          <w:tcPr>
            <w:tcW w:w="1724" w:type="dxa"/>
            <w:gridSpan w:val="2"/>
            <w:tcBorders>
              <w:top w:val="nil"/>
              <w:left w:val="nil"/>
              <w:bottom w:val="single" w:color="auto" w:sz="4" w:space="0"/>
              <w:right w:val="single" w:color="auto" w:sz="4" w:space="0"/>
            </w:tcBorders>
            <w:vAlign w:val="center"/>
          </w:tcPr>
          <w:p w14:paraId="5E59E3E8">
            <w:pPr>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水泥大棚</w:t>
            </w:r>
          </w:p>
        </w:tc>
        <w:tc>
          <w:tcPr>
            <w:tcW w:w="856" w:type="dxa"/>
            <w:tcBorders>
              <w:top w:val="nil"/>
              <w:left w:val="nil"/>
              <w:bottom w:val="single" w:color="auto" w:sz="4" w:space="0"/>
              <w:right w:val="single" w:color="auto" w:sz="4" w:space="0"/>
            </w:tcBorders>
            <w:vAlign w:val="center"/>
          </w:tcPr>
          <w:p w14:paraId="5F6B3D51">
            <w:pPr>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平方米</w:t>
            </w:r>
          </w:p>
        </w:tc>
        <w:tc>
          <w:tcPr>
            <w:tcW w:w="849" w:type="dxa"/>
            <w:gridSpan w:val="2"/>
            <w:tcBorders>
              <w:top w:val="nil"/>
              <w:left w:val="nil"/>
              <w:bottom w:val="single" w:color="auto" w:sz="4" w:space="0"/>
              <w:right w:val="single" w:color="auto" w:sz="4" w:space="0"/>
            </w:tcBorders>
            <w:vAlign w:val="center"/>
          </w:tcPr>
          <w:p w14:paraId="3862D1F5">
            <w:pPr>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 xml:space="preserve">22 </w:t>
            </w:r>
          </w:p>
        </w:tc>
        <w:tc>
          <w:tcPr>
            <w:tcW w:w="5732" w:type="dxa"/>
            <w:gridSpan w:val="4"/>
            <w:tcBorders>
              <w:top w:val="nil"/>
              <w:left w:val="nil"/>
              <w:bottom w:val="single" w:color="auto" w:sz="4" w:space="0"/>
              <w:right w:val="single" w:color="auto" w:sz="4" w:space="0"/>
            </w:tcBorders>
            <w:vAlign w:val="center"/>
          </w:tcPr>
          <w:p w14:paraId="5DE14B8D">
            <w:pPr>
              <w:spacing w:line="240" w:lineRule="exact"/>
              <w:rPr>
                <w:rFonts w:ascii="仿宋_GB2312" w:hAnsi="仿宋_GB2312" w:eastAsia="仿宋_GB2312" w:cs="仿宋_GB2312"/>
                <w:kern w:val="0"/>
                <w:szCs w:val="21"/>
              </w:rPr>
            </w:pPr>
            <w:r>
              <w:rPr>
                <w:rFonts w:hint="eastAsia" w:ascii="仿宋_GB2312" w:hAnsi="仿宋_GB2312" w:eastAsia="仿宋_GB2312" w:cs="仿宋_GB2312"/>
                <w:kern w:val="0"/>
                <w:szCs w:val="21"/>
              </w:rPr>
              <w:t>大棚拱材为水泥预制，3排外直径为2.0厘米的热浸锌钢管连杆，拱间距1.1米，全棚覆盖厚度8丝长寿无滴大棚膜、大棚跨度6米、顶高2.3米，长度30米以上（含30米）。达不到要求的，按实际工程量计算补偿。</w:t>
            </w:r>
          </w:p>
        </w:tc>
      </w:tr>
      <w:tr w14:paraId="4D27946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895" w:hRule="atLeast"/>
          <w:jc w:val="center"/>
        </w:trPr>
        <w:tc>
          <w:tcPr>
            <w:tcW w:w="637" w:type="dxa"/>
            <w:vMerge w:val="continue"/>
            <w:tcBorders>
              <w:top w:val="nil"/>
              <w:left w:val="single" w:color="auto" w:sz="4" w:space="0"/>
              <w:bottom w:val="single" w:color="auto" w:sz="4" w:space="0"/>
              <w:right w:val="single" w:color="auto" w:sz="4" w:space="0"/>
            </w:tcBorders>
            <w:vAlign w:val="center"/>
          </w:tcPr>
          <w:p w14:paraId="3E31B778">
            <w:pPr>
              <w:rPr>
                <w:rFonts w:ascii="仿宋_GB2312" w:hAnsi="仿宋_GB2312" w:eastAsia="仿宋_GB2312" w:cs="仿宋_GB2312"/>
              </w:rPr>
            </w:pPr>
          </w:p>
        </w:tc>
        <w:tc>
          <w:tcPr>
            <w:tcW w:w="1724" w:type="dxa"/>
            <w:gridSpan w:val="2"/>
            <w:tcBorders>
              <w:top w:val="nil"/>
              <w:left w:val="nil"/>
              <w:bottom w:val="single" w:color="auto" w:sz="4" w:space="0"/>
              <w:right w:val="single" w:color="auto" w:sz="4" w:space="0"/>
            </w:tcBorders>
            <w:vAlign w:val="center"/>
          </w:tcPr>
          <w:p w14:paraId="2A31BD3A">
            <w:pPr>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竹架大棚</w:t>
            </w:r>
          </w:p>
        </w:tc>
        <w:tc>
          <w:tcPr>
            <w:tcW w:w="856" w:type="dxa"/>
            <w:tcBorders>
              <w:top w:val="nil"/>
              <w:left w:val="nil"/>
              <w:bottom w:val="single" w:color="auto" w:sz="4" w:space="0"/>
              <w:right w:val="single" w:color="auto" w:sz="4" w:space="0"/>
            </w:tcBorders>
            <w:vAlign w:val="center"/>
          </w:tcPr>
          <w:p w14:paraId="423AD9B9">
            <w:pPr>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平方米</w:t>
            </w:r>
          </w:p>
        </w:tc>
        <w:tc>
          <w:tcPr>
            <w:tcW w:w="849" w:type="dxa"/>
            <w:gridSpan w:val="2"/>
            <w:tcBorders>
              <w:top w:val="nil"/>
              <w:left w:val="nil"/>
              <w:bottom w:val="single" w:color="auto" w:sz="4" w:space="0"/>
              <w:right w:val="single" w:color="auto" w:sz="4" w:space="0"/>
            </w:tcBorders>
            <w:vAlign w:val="center"/>
          </w:tcPr>
          <w:p w14:paraId="4FC439DF">
            <w:pPr>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10</w:t>
            </w:r>
          </w:p>
        </w:tc>
        <w:tc>
          <w:tcPr>
            <w:tcW w:w="5732" w:type="dxa"/>
            <w:gridSpan w:val="4"/>
            <w:tcBorders>
              <w:top w:val="nil"/>
              <w:left w:val="nil"/>
              <w:bottom w:val="single" w:color="auto" w:sz="4" w:space="0"/>
              <w:right w:val="single" w:color="auto" w:sz="4" w:space="0"/>
            </w:tcBorders>
            <w:vAlign w:val="center"/>
          </w:tcPr>
          <w:p w14:paraId="00AEA233">
            <w:pPr>
              <w:spacing w:line="240" w:lineRule="exact"/>
              <w:rPr>
                <w:rFonts w:ascii="仿宋_GB2312" w:hAnsi="仿宋_GB2312" w:eastAsia="仿宋_GB2312" w:cs="仿宋_GB2312"/>
                <w:kern w:val="0"/>
                <w:szCs w:val="21"/>
              </w:rPr>
            </w:pPr>
            <w:r>
              <w:rPr>
                <w:rFonts w:hint="eastAsia" w:ascii="仿宋_GB2312" w:hAnsi="仿宋_GB2312" w:eastAsia="仿宋_GB2312" w:cs="仿宋_GB2312"/>
                <w:kern w:val="0"/>
                <w:szCs w:val="21"/>
              </w:rPr>
              <w:t>大棚拱材为竹木，全棚覆盖厚度8丝长寿无滴大棚膜、大棚跨度5米、顶高2.2米，长度30米以上（含30米）。达不到要求的，按实际工程量计算补偿</w:t>
            </w:r>
            <w:r>
              <w:rPr>
                <w:rFonts w:hint="eastAsia" w:ascii="仿宋_GB2312" w:hAnsi="仿宋_GB2312" w:eastAsia="仿宋_GB2312" w:cs="仿宋_GB2312"/>
                <w:color w:val="000000"/>
                <w:kern w:val="0"/>
                <w:szCs w:val="21"/>
              </w:rPr>
              <w:t>。</w:t>
            </w:r>
          </w:p>
        </w:tc>
      </w:tr>
    </w:tbl>
    <w:p w14:paraId="345A04FA">
      <w:pPr>
        <w:spacing w:line="280" w:lineRule="exact"/>
        <w:ind w:left="630" w:hanging="630" w:hangingChars="300"/>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注：1.凡属非固定性生产或生活的设施（包括炉灶、装配式水池、非固定猪槽、活动水泥板谷仓等），均不予补偿。</w:t>
      </w:r>
    </w:p>
    <w:p w14:paraId="7E43B202">
      <w:pPr>
        <w:spacing w:line="280" w:lineRule="exact"/>
        <w:ind w:left="643" w:leftChars="206" w:hanging="210" w:hangingChars="100"/>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2.房屋四周的屋檐滴水明沟、进屋的踏步、上楼的楼梯均为房屋的必要配套设施，已包括在房屋的补偿单价中，不再按此表另行补偿。</w:t>
      </w:r>
    </w:p>
    <w:p w14:paraId="0E8AB004">
      <w:pPr>
        <w:spacing w:line="280" w:lineRule="exact"/>
        <w:ind w:firstLine="405" w:firstLineChars="193"/>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3.表中未列入项目，原则上视新旧程度，按现行建筑定额直接费的50%—70%予以补偿。</w:t>
      </w:r>
    </w:p>
    <w:p w14:paraId="56AE8792">
      <w:pPr>
        <w:spacing w:line="280" w:lineRule="exact"/>
        <w:ind w:firstLine="405" w:firstLineChars="193"/>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4.被征土地上废弃不用的生产、生活设施，不予补偿。</w:t>
      </w:r>
    </w:p>
    <w:p w14:paraId="007A9017">
      <w:pPr>
        <w:spacing w:line="280" w:lineRule="exact"/>
        <w:ind w:firstLine="405" w:firstLineChars="193"/>
        <w:rPr>
          <w:rFonts w:ascii="仿宋_GB2312" w:hAnsi="仿宋_GB2312" w:eastAsia="仿宋_GB2312" w:cs="仿宋_GB2312"/>
          <w:color w:val="000000"/>
          <w:sz w:val="24"/>
        </w:rPr>
      </w:pPr>
      <w:r>
        <w:rPr>
          <w:rFonts w:hint="eastAsia" w:ascii="仿宋_GB2312" w:hAnsi="仿宋_GB2312" w:eastAsia="仿宋_GB2312" w:cs="仿宋_GB2312"/>
          <w:color w:val="000000"/>
          <w:szCs w:val="21"/>
        </w:rPr>
        <w:t>5.水池、粪池、排水沟达不到灰、浆砌体要求的，均按各单项标准50%扣减</w:t>
      </w:r>
      <w:r>
        <w:rPr>
          <w:rFonts w:hint="eastAsia" w:ascii="仿宋_GB2312" w:hAnsi="仿宋_GB2312" w:eastAsia="仿宋_GB2312" w:cs="仿宋_GB2312"/>
          <w:color w:val="000000"/>
          <w:sz w:val="18"/>
          <w:szCs w:val="18"/>
        </w:rPr>
        <w:t>。</w:t>
      </w:r>
    </w:p>
    <w:p w14:paraId="7FBD6B34">
      <w:pPr>
        <w:widowControl/>
        <w:jc w:val="left"/>
        <w:rPr>
          <w:rFonts w:ascii="仿宋_GB2312" w:hAnsi="仿宋_GB2312" w:eastAsia="仿宋_GB2312" w:cs="仿宋_GB2312"/>
          <w:bCs/>
          <w:color w:val="000000"/>
          <w:kern w:val="0"/>
          <w:sz w:val="32"/>
          <w:szCs w:val="32"/>
        </w:rPr>
      </w:pPr>
      <w:r>
        <w:rPr>
          <w:rFonts w:ascii="仿宋_GB2312" w:hAnsi="仿宋_GB2312" w:eastAsia="仿宋_GB2312" w:cs="仿宋_GB2312"/>
          <w:bCs/>
          <w:color w:val="000000"/>
          <w:kern w:val="0"/>
          <w:sz w:val="32"/>
          <w:szCs w:val="32"/>
        </w:rPr>
        <w:br w:type="page"/>
      </w:r>
    </w:p>
    <w:p w14:paraId="2C3B1B74">
      <w:pPr>
        <w:shd w:val="clear" w:color="auto" w:fill="FFFFFF"/>
        <w:spacing w:line="560" w:lineRule="exact"/>
        <w:jc w:val="left"/>
        <w:rPr>
          <w:rFonts w:hint="eastAsia" w:ascii="黑体" w:hAnsi="黑体" w:eastAsia="黑体" w:cs="仿宋_GB2312"/>
          <w:bCs/>
          <w:color w:val="000000"/>
          <w:kern w:val="0"/>
          <w:sz w:val="32"/>
          <w:szCs w:val="32"/>
        </w:rPr>
      </w:pPr>
      <w:r>
        <w:rPr>
          <w:rFonts w:hint="eastAsia" w:ascii="黑体" w:hAnsi="黑体" w:eastAsia="黑体" w:cs="仿宋_GB2312"/>
          <w:bCs/>
          <w:color w:val="000000"/>
          <w:kern w:val="0"/>
          <w:sz w:val="32"/>
          <w:szCs w:val="32"/>
        </w:rPr>
        <w:t>附件10</w:t>
      </w:r>
    </w:p>
    <w:p w14:paraId="53751816">
      <w:pPr>
        <w:shd w:val="clear" w:color="auto" w:fill="FFFFFF"/>
        <w:spacing w:line="560" w:lineRule="exact"/>
        <w:jc w:val="left"/>
        <w:rPr>
          <w:rFonts w:ascii="黑体" w:hAnsi="黑体" w:eastAsia="黑体" w:cs="仿宋_GB2312"/>
          <w:b/>
          <w:bCs/>
          <w:color w:val="000000"/>
          <w:kern w:val="0"/>
          <w:sz w:val="32"/>
          <w:szCs w:val="32"/>
        </w:rPr>
      </w:pPr>
    </w:p>
    <w:p w14:paraId="5DC30542">
      <w:pPr>
        <w:spacing w:line="560" w:lineRule="exact"/>
        <w:jc w:val="center"/>
        <w:rPr>
          <w:rFonts w:ascii="方正小标宋简体" w:hAnsi="方正小标宋简体" w:eastAsia="方正小标宋简体" w:cs="方正小标宋简体"/>
          <w:bCs/>
          <w:color w:val="000000"/>
          <w:sz w:val="44"/>
          <w:szCs w:val="44"/>
        </w:rPr>
      </w:pPr>
      <w:r>
        <w:rPr>
          <w:rFonts w:hint="eastAsia" w:ascii="方正小标宋简体" w:hAnsi="方正小标宋简体" w:eastAsia="方正小标宋简体" w:cs="方正小标宋简体"/>
          <w:bCs/>
          <w:color w:val="000000"/>
          <w:kern w:val="0"/>
          <w:sz w:val="44"/>
          <w:szCs w:val="44"/>
        </w:rPr>
        <w:t>新晃侗族自治县集体土地上</w:t>
      </w:r>
      <w:r>
        <w:rPr>
          <w:rFonts w:hint="eastAsia" w:ascii="方正小标宋简体" w:hAnsi="方正小标宋简体" w:eastAsia="方正小标宋简体" w:cs="方正小标宋简体"/>
          <w:bCs/>
          <w:color w:val="000000"/>
          <w:sz w:val="44"/>
          <w:szCs w:val="44"/>
        </w:rPr>
        <w:t>坟墓及附属设施</w:t>
      </w:r>
    </w:p>
    <w:p w14:paraId="4DD9CBF7">
      <w:pPr>
        <w:spacing w:line="560" w:lineRule="exact"/>
        <w:jc w:val="center"/>
        <w:rPr>
          <w:rFonts w:hint="eastAsia" w:ascii="方正小标宋简体" w:hAnsi="方正小标宋简体" w:eastAsia="方正小标宋简体" w:cs="方正小标宋简体"/>
          <w:bCs/>
          <w:color w:val="000000"/>
          <w:sz w:val="44"/>
          <w:szCs w:val="44"/>
        </w:rPr>
      </w:pPr>
      <w:r>
        <w:rPr>
          <w:rFonts w:hint="eastAsia" w:ascii="方正小标宋简体" w:hAnsi="方正小标宋简体" w:eastAsia="方正小标宋简体" w:cs="方正小标宋简体"/>
          <w:bCs/>
          <w:color w:val="000000"/>
          <w:sz w:val="44"/>
          <w:szCs w:val="44"/>
        </w:rPr>
        <w:t>征收补偿标准</w:t>
      </w:r>
    </w:p>
    <w:p w14:paraId="0A8C6B5F">
      <w:pPr>
        <w:spacing w:line="240" w:lineRule="exact"/>
        <w:jc w:val="center"/>
        <w:rPr>
          <w:rFonts w:ascii="方正小标宋简体" w:hAnsi="方正小标宋简体" w:eastAsia="方正小标宋简体" w:cs="方正小标宋简体"/>
          <w:bCs/>
          <w:color w:val="000000"/>
          <w:sz w:val="44"/>
          <w:szCs w:val="44"/>
        </w:rPr>
      </w:pPr>
    </w:p>
    <w:tbl>
      <w:tblPr>
        <w:tblStyle w:val="18"/>
        <w:tblW w:w="9240" w:type="dxa"/>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108" w:type="dxa"/>
          <w:bottom w:w="0" w:type="dxa"/>
          <w:right w:w="108" w:type="dxa"/>
        </w:tblCellMar>
      </w:tblPr>
      <w:tblGrid>
        <w:gridCol w:w="1534"/>
        <w:gridCol w:w="1534"/>
        <w:gridCol w:w="1534"/>
        <w:gridCol w:w="1534"/>
        <w:gridCol w:w="1534"/>
        <w:gridCol w:w="1570"/>
      </w:tblGrid>
      <w:tr w14:paraId="6E8F4AE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trHeight w:val="855" w:hRule="atLeast"/>
          <w:jc w:val="center"/>
        </w:trPr>
        <w:tc>
          <w:tcPr>
            <w:tcW w:w="1534" w:type="dxa"/>
            <w:tcBorders>
              <w:top w:val="single" w:color="auto" w:sz="4" w:space="0"/>
              <w:left w:val="single" w:color="auto" w:sz="4" w:space="0"/>
              <w:bottom w:val="single" w:color="auto" w:sz="4" w:space="0"/>
              <w:right w:val="single" w:color="auto" w:sz="4" w:space="0"/>
            </w:tcBorders>
            <w:vAlign w:val="center"/>
          </w:tcPr>
          <w:p w14:paraId="3165FF59">
            <w:pPr>
              <w:spacing w:line="400" w:lineRule="exact"/>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项目</w:t>
            </w:r>
          </w:p>
        </w:tc>
        <w:tc>
          <w:tcPr>
            <w:tcW w:w="3068" w:type="dxa"/>
            <w:gridSpan w:val="2"/>
            <w:tcBorders>
              <w:top w:val="single" w:color="auto" w:sz="4" w:space="0"/>
              <w:left w:val="nil"/>
              <w:bottom w:val="single" w:color="auto" w:sz="4" w:space="0"/>
              <w:right w:val="single" w:color="auto" w:sz="4" w:space="0"/>
            </w:tcBorders>
            <w:vAlign w:val="center"/>
          </w:tcPr>
          <w:p w14:paraId="54AC1CE2">
            <w:pPr>
              <w:spacing w:line="400" w:lineRule="exact"/>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类别名称</w:t>
            </w:r>
          </w:p>
        </w:tc>
        <w:tc>
          <w:tcPr>
            <w:tcW w:w="1534" w:type="dxa"/>
            <w:tcBorders>
              <w:top w:val="single" w:color="auto" w:sz="4" w:space="0"/>
              <w:left w:val="nil"/>
              <w:bottom w:val="single" w:color="auto" w:sz="4" w:space="0"/>
              <w:right w:val="single" w:color="auto" w:sz="4" w:space="0"/>
            </w:tcBorders>
            <w:vAlign w:val="center"/>
          </w:tcPr>
          <w:p w14:paraId="68BFEC97">
            <w:pPr>
              <w:spacing w:line="400" w:lineRule="exact"/>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单位</w:t>
            </w:r>
          </w:p>
        </w:tc>
        <w:tc>
          <w:tcPr>
            <w:tcW w:w="1534" w:type="dxa"/>
            <w:tcBorders>
              <w:top w:val="single" w:color="auto" w:sz="4" w:space="0"/>
              <w:left w:val="nil"/>
              <w:bottom w:val="single" w:color="auto" w:sz="4" w:space="0"/>
              <w:right w:val="single" w:color="auto" w:sz="4" w:space="0"/>
            </w:tcBorders>
            <w:vAlign w:val="center"/>
          </w:tcPr>
          <w:p w14:paraId="513703F3">
            <w:pPr>
              <w:spacing w:line="400" w:lineRule="exact"/>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补偿金额（元）（旧）</w:t>
            </w:r>
          </w:p>
        </w:tc>
        <w:tc>
          <w:tcPr>
            <w:tcW w:w="1570" w:type="dxa"/>
            <w:tcBorders>
              <w:top w:val="single" w:color="auto" w:sz="4" w:space="0"/>
              <w:left w:val="nil"/>
              <w:bottom w:val="single" w:color="auto" w:sz="4" w:space="0"/>
              <w:right w:val="single" w:color="auto" w:sz="4" w:space="0"/>
            </w:tcBorders>
            <w:vAlign w:val="center"/>
          </w:tcPr>
          <w:p w14:paraId="758B3F4A">
            <w:pPr>
              <w:spacing w:line="400" w:lineRule="exact"/>
              <w:jc w:val="center"/>
              <w:rPr>
                <w:rFonts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Cs w:val="21"/>
              </w:rPr>
              <w:t>补偿金额（元）</w:t>
            </w:r>
          </w:p>
          <w:p w14:paraId="5A56F6BD">
            <w:pPr>
              <w:spacing w:line="400" w:lineRule="exact"/>
              <w:jc w:val="center"/>
              <w:rPr>
                <w:rFonts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（新）</w:t>
            </w:r>
          </w:p>
        </w:tc>
      </w:tr>
      <w:tr w14:paraId="4372A7D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698" w:hRule="atLeast"/>
          <w:jc w:val="center"/>
        </w:trPr>
        <w:tc>
          <w:tcPr>
            <w:tcW w:w="1534" w:type="dxa"/>
            <w:vMerge w:val="restart"/>
            <w:tcBorders>
              <w:top w:val="nil"/>
              <w:left w:val="single" w:color="auto" w:sz="4" w:space="0"/>
              <w:bottom w:val="single" w:color="auto" w:sz="4" w:space="0"/>
              <w:right w:val="single" w:color="auto" w:sz="4" w:space="0"/>
            </w:tcBorders>
            <w:vAlign w:val="center"/>
          </w:tcPr>
          <w:p w14:paraId="531E18F3">
            <w:pPr>
              <w:spacing w:line="400" w:lineRule="exact"/>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坟墓</w:t>
            </w:r>
          </w:p>
        </w:tc>
        <w:tc>
          <w:tcPr>
            <w:tcW w:w="1534" w:type="dxa"/>
            <w:vMerge w:val="restart"/>
            <w:tcBorders>
              <w:top w:val="nil"/>
              <w:left w:val="single" w:color="auto" w:sz="4" w:space="0"/>
              <w:bottom w:val="single" w:color="auto" w:sz="4" w:space="0"/>
              <w:right w:val="single" w:color="auto" w:sz="4" w:space="0"/>
            </w:tcBorders>
            <w:vAlign w:val="center"/>
          </w:tcPr>
          <w:p w14:paraId="59A94CB6">
            <w:pPr>
              <w:spacing w:line="400" w:lineRule="exact"/>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土坟</w:t>
            </w:r>
          </w:p>
        </w:tc>
        <w:tc>
          <w:tcPr>
            <w:tcW w:w="1534" w:type="dxa"/>
            <w:tcBorders>
              <w:top w:val="nil"/>
              <w:left w:val="nil"/>
              <w:bottom w:val="single" w:color="auto" w:sz="4" w:space="0"/>
              <w:right w:val="single" w:color="auto" w:sz="4" w:space="0"/>
            </w:tcBorders>
            <w:vAlign w:val="center"/>
          </w:tcPr>
          <w:p w14:paraId="4052D3E6">
            <w:pPr>
              <w:spacing w:line="400" w:lineRule="exact"/>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无棺</w:t>
            </w:r>
          </w:p>
        </w:tc>
        <w:tc>
          <w:tcPr>
            <w:tcW w:w="1534" w:type="dxa"/>
            <w:vMerge w:val="restart"/>
            <w:tcBorders>
              <w:top w:val="nil"/>
              <w:left w:val="single" w:color="auto" w:sz="4" w:space="0"/>
              <w:bottom w:val="single" w:color="auto" w:sz="4" w:space="0"/>
              <w:right w:val="single" w:color="auto" w:sz="4" w:space="0"/>
            </w:tcBorders>
            <w:vAlign w:val="center"/>
          </w:tcPr>
          <w:p w14:paraId="39A55379">
            <w:pPr>
              <w:spacing w:line="400" w:lineRule="exact"/>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冢</w:t>
            </w:r>
          </w:p>
        </w:tc>
        <w:tc>
          <w:tcPr>
            <w:tcW w:w="1534" w:type="dxa"/>
            <w:tcBorders>
              <w:top w:val="nil"/>
              <w:left w:val="nil"/>
              <w:bottom w:val="single" w:color="auto" w:sz="4" w:space="0"/>
              <w:right w:val="single" w:color="auto" w:sz="4" w:space="0"/>
            </w:tcBorders>
            <w:vAlign w:val="center"/>
          </w:tcPr>
          <w:p w14:paraId="3D544381">
            <w:pPr>
              <w:spacing w:line="400" w:lineRule="exact"/>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1000</w:t>
            </w:r>
          </w:p>
        </w:tc>
        <w:tc>
          <w:tcPr>
            <w:tcW w:w="1570" w:type="dxa"/>
            <w:tcBorders>
              <w:top w:val="nil"/>
              <w:left w:val="single" w:color="auto" w:sz="4" w:space="0"/>
              <w:bottom w:val="single" w:color="auto" w:sz="4" w:space="0"/>
              <w:right w:val="single" w:color="auto" w:sz="4" w:space="0"/>
            </w:tcBorders>
            <w:vAlign w:val="center"/>
          </w:tcPr>
          <w:p w14:paraId="1FD23671">
            <w:pPr>
              <w:spacing w:line="400" w:lineRule="exact"/>
              <w:jc w:val="center"/>
              <w:rPr>
                <w:rFonts w:ascii="仿宋_GB2312" w:hAnsi="仿宋_GB2312" w:eastAsia="仿宋_GB2312" w:cs="仿宋_GB2312"/>
                <w:color w:val="000000"/>
                <w:kern w:val="0"/>
                <w:szCs w:val="21"/>
                <w:highlight w:val="yellow"/>
              </w:rPr>
            </w:pPr>
            <w:r>
              <w:rPr>
                <w:rFonts w:hint="eastAsia" w:ascii="仿宋_GB2312" w:hAnsi="仿宋_GB2312" w:eastAsia="仿宋_GB2312" w:cs="仿宋_GB2312"/>
                <w:color w:val="000000"/>
                <w:kern w:val="0"/>
                <w:szCs w:val="21"/>
              </w:rPr>
              <w:t>1000</w:t>
            </w:r>
          </w:p>
        </w:tc>
      </w:tr>
      <w:tr w14:paraId="748A8AA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523" w:hRule="atLeast"/>
          <w:jc w:val="center"/>
        </w:trPr>
        <w:tc>
          <w:tcPr>
            <w:tcW w:w="1534" w:type="dxa"/>
            <w:vMerge w:val="continue"/>
            <w:tcBorders>
              <w:top w:val="nil"/>
              <w:left w:val="single" w:color="auto" w:sz="4" w:space="0"/>
              <w:bottom w:val="single" w:color="auto" w:sz="4" w:space="0"/>
              <w:right w:val="single" w:color="auto" w:sz="4" w:space="0"/>
            </w:tcBorders>
            <w:vAlign w:val="center"/>
          </w:tcPr>
          <w:p w14:paraId="13111EBD">
            <w:pPr>
              <w:spacing w:line="400" w:lineRule="exact"/>
              <w:rPr>
                <w:rFonts w:ascii="仿宋_GB2312" w:hAnsi="仿宋_GB2312" w:eastAsia="仿宋_GB2312" w:cs="仿宋_GB2312"/>
              </w:rPr>
            </w:pPr>
          </w:p>
        </w:tc>
        <w:tc>
          <w:tcPr>
            <w:tcW w:w="1534" w:type="dxa"/>
            <w:vMerge w:val="continue"/>
            <w:tcBorders>
              <w:top w:val="nil"/>
              <w:left w:val="single" w:color="auto" w:sz="4" w:space="0"/>
              <w:bottom w:val="single" w:color="auto" w:sz="4" w:space="0"/>
              <w:right w:val="single" w:color="auto" w:sz="4" w:space="0"/>
            </w:tcBorders>
            <w:vAlign w:val="center"/>
          </w:tcPr>
          <w:p w14:paraId="4F4899C0">
            <w:pPr>
              <w:spacing w:line="400" w:lineRule="exact"/>
              <w:rPr>
                <w:rFonts w:ascii="仿宋_GB2312" w:hAnsi="仿宋_GB2312" w:eastAsia="仿宋_GB2312" w:cs="仿宋_GB2312"/>
              </w:rPr>
            </w:pPr>
          </w:p>
        </w:tc>
        <w:tc>
          <w:tcPr>
            <w:tcW w:w="1534" w:type="dxa"/>
            <w:tcBorders>
              <w:top w:val="nil"/>
              <w:left w:val="nil"/>
              <w:bottom w:val="single" w:color="auto" w:sz="4" w:space="0"/>
              <w:right w:val="single" w:color="auto" w:sz="4" w:space="0"/>
            </w:tcBorders>
            <w:vAlign w:val="center"/>
          </w:tcPr>
          <w:p w14:paraId="2436B334">
            <w:pPr>
              <w:spacing w:line="400" w:lineRule="exact"/>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有棺</w:t>
            </w:r>
          </w:p>
        </w:tc>
        <w:tc>
          <w:tcPr>
            <w:tcW w:w="1534" w:type="dxa"/>
            <w:vMerge w:val="continue"/>
            <w:tcBorders>
              <w:top w:val="nil"/>
              <w:left w:val="single" w:color="auto" w:sz="4" w:space="0"/>
              <w:bottom w:val="single" w:color="auto" w:sz="4" w:space="0"/>
              <w:right w:val="single" w:color="auto" w:sz="4" w:space="0"/>
            </w:tcBorders>
            <w:vAlign w:val="center"/>
          </w:tcPr>
          <w:p w14:paraId="3297818E">
            <w:pPr>
              <w:spacing w:line="400" w:lineRule="exact"/>
              <w:rPr>
                <w:rFonts w:ascii="仿宋_GB2312" w:hAnsi="仿宋_GB2312" w:eastAsia="仿宋_GB2312" w:cs="仿宋_GB2312"/>
              </w:rPr>
            </w:pPr>
          </w:p>
        </w:tc>
        <w:tc>
          <w:tcPr>
            <w:tcW w:w="1534" w:type="dxa"/>
            <w:tcBorders>
              <w:top w:val="single" w:color="auto" w:sz="4" w:space="0"/>
              <w:left w:val="nil"/>
              <w:bottom w:val="single" w:color="auto" w:sz="4" w:space="0"/>
              <w:right w:val="single" w:color="auto" w:sz="4" w:space="0"/>
            </w:tcBorders>
            <w:vAlign w:val="center"/>
          </w:tcPr>
          <w:p w14:paraId="7521029F">
            <w:pPr>
              <w:spacing w:line="400" w:lineRule="exact"/>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4000</w:t>
            </w:r>
          </w:p>
        </w:tc>
        <w:tc>
          <w:tcPr>
            <w:tcW w:w="1570" w:type="dxa"/>
            <w:tcBorders>
              <w:top w:val="single" w:color="auto" w:sz="4" w:space="0"/>
              <w:left w:val="single" w:color="auto" w:sz="4" w:space="0"/>
              <w:bottom w:val="single" w:color="auto" w:sz="4" w:space="0"/>
              <w:right w:val="single" w:color="auto" w:sz="4" w:space="0"/>
            </w:tcBorders>
            <w:vAlign w:val="center"/>
          </w:tcPr>
          <w:p w14:paraId="45C34A37">
            <w:pPr>
              <w:spacing w:line="400" w:lineRule="exact"/>
              <w:ind w:firstLine="420" w:firstLineChars="200"/>
              <w:rPr>
                <w:rFonts w:ascii="仿宋_GB2312" w:hAnsi="仿宋_GB2312" w:eastAsia="仿宋_GB2312" w:cs="仿宋_GB2312"/>
                <w:szCs w:val="21"/>
                <w:highlight w:val="yellow"/>
              </w:rPr>
            </w:pPr>
            <w:r>
              <w:rPr>
                <w:rFonts w:hint="eastAsia" w:ascii="仿宋_GB2312" w:hAnsi="仿宋_GB2312" w:eastAsia="仿宋_GB2312" w:cs="仿宋_GB2312"/>
                <w:szCs w:val="21"/>
              </w:rPr>
              <w:t>6000</w:t>
            </w:r>
          </w:p>
        </w:tc>
      </w:tr>
      <w:tr w14:paraId="7A270DA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523" w:hRule="atLeast"/>
          <w:jc w:val="center"/>
        </w:trPr>
        <w:tc>
          <w:tcPr>
            <w:tcW w:w="1534" w:type="dxa"/>
            <w:vMerge w:val="continue"/>
            <w:tcBorders>
              <w:top w:val="nil"/>
              <w:left w:val="single" w:color="auto" w:sz="4" w:space="0"/>
              <w:bottom w:val="single" w:color="auto" w:sz="4" w:space="0"/>
              <w:right w:val="single" w:color="auto" w:sz="4" w:space="0"/>
            </w:tcBorders>
            <w:vAlign w:val="center"/>
          </w:tcPr>
          <w:p w14:paraId="1DCB01FF">
            <w:pPr>
              <w:spacing w:line="400" w:lineRule="exact"/>
              <w:rPr>
                <w:rFonts w:ascii="仿宋_GB2312" w:hAnsi="仿宋_GB2312" w:eastAsia="仿宋_GB2312" w:cs="仿宋_GB2312"/>
              </w:rPr>
            </w:pPr>
          </w:p>
        </w:tc>
        <w:tc>
          <w:tcPr>
            <w:tcW w:w="3068" w:type="dxa"/>
            <w:gridSpan w:val="2"/>
            <w:tcBorders>
              <w:top w:val="single" w:color="auto" w:sz="4" w:space="0"/>
              <w:left w:val="nil"/>
              <w:bottom w:val="single" w:color="auto" w:sz="4" w:space="0"/>
              <w:right w:val="single" w:color="auto" w:sz="4" w:space="0"/>
            </w:tcBorders>
            <w:vAlign w:val="center"/>
          </w:tcPr>
          <w:p w14:paraId="65178B2C">
            <w:pPr>
              <w:spacing w:line="400" w:lineRule="exact"/>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砖石坟</w:t>
            </w:r>
          </w:p>
        </w:tc>
        <w:tc>
          <w:tcPr>
            <w:tcW w:w="1534" w:type="dxa"/>
            <w:tcBorders>
              <w:top w:val="nil"/>
              <w:left w:val="nil"/>
              <w:bottom w:val="single" w:color="auto" w:sz="4" w:space="0"/>
              <w:right w:val="single" w:color="auto" w:sz="4" w:space="0"/>
            </w:tcBorders>
            <w:vAlign w:val="center"/>
          </w:tcPr>
          <w:p w14:paraId="0459EF79">
            <w:pPr>
              <w:spacing w:line="400" w:lineRule="exact"/>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冢</w:t>
            </w:r>
          </w:p>
        </w:tc>
        <w:tc>
          <w:tcPr>
            <w:tcW w:w="1534" w:type="dxa"/>
            <w:tcBorders>
              <w:top w:val="single" w:color="auto" w:sz="4" w:space="0"/>
              <w:left w:val="nil"/>
              <w:bottom w:val="single" w:color="auto" w:sz="4" w:space="0"/>
              <w:right w:val="single" w:color="auto" w:sz="4" w:space="0"/>
            </w:tcBorders>
            <w:vAlign w:val="center"/>
          </w:tcPr>
          <w:p w14:paraId="3421ED74">
            <w:pPr>
              <w:spacing w:line="400" w:lineRule="exact"/>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5000</w:t>
            </w:r>
          </w:p>
        </w:tc>
        <w:tc>
          <w:tcPr>
            <w:tcW w:w="1570" w:type="dxa"/>
            <w:tcBorders>
              <w:top w:val="single" w:color="auto" w:sz="4" w:space="0"/>
              <w:left w:val="single" w:color="auto" w:sz="4" w:space="0"/>
              <w:bottom w:val="single" w:color="auto" w:sz="4" w:space="0"/>
              <w:right w:val="single" w:color="auto" w:sz="4" w:space="0"/>
            </w:tcBorders>
            <w:vAlign w:val="center"/>
          </w:tcPr>
          <w:p w14:paraId="355C17DB">
            <w:pPr>
              <w:spacing w:line="400" w:lineRule="exact"/>
              <w:ind w:firstLine="420" w:firstLineChars="200"/>
              <w:rPr>
                <w:rFonts w:ascii="仿宋_GB2312" w:hAnsi="仿宋_GB2312" w:eastAsia="仿宋_GB2312" w:cs="仿宋_GB2312"/>
                <w:szCs w:val="21"/>
                <w:highlight w:val="yellow"/>
              </w:rPr>
            </w:pPr>
            <w:r>
              <w:rPr>
                <w:rFonts w:hint="eastAsia" w:ascii="仿宋_GB2312" w:hAnsi="仿宋_GB2312" w:eastAsia="仿宋_GB2312" w:cs="仿宋_GB2312"/>
                <w:szCs w:val="21"/>
              </w:rPr>
              <w:t>7000</w:t>
            </w:r>
          </w:p>
        </w:tc>
      </w:tr>
      <w:tr w14:paraId="06D1514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523" w:hRule="atLeast"/>
          <w:jc w:val="center"/>
        </w:trPr>
        <w:tc>
          <w:tcPr>
            <w:tcW w:w="1534" w:type="dxa"/>
            <w:vMerge w:val="continue"/>
            <w:tcBorders>
              <w:top w:val="nil"/>
              <w:left w:val="single" w:color="auto" w:sz="4" w:space="0"/>
              <w:bottom w:val="single" w:color="auto" w:sz="4" w:space="0"/>
              <w:right w:val="single" w:color="auto" w:sz="4" w:space="0"/>
            </w:tcBorders>
            <w:vAlign w:val="center"/>
          </w:tcPr>
          <w:p w14:paraId="274E472D">
            <w:pPr>
              <w:spacing w:line="400" w:lineRule="exact"/>
              <w:rPr>
                <w:rFonts w:ascii="仿宋_GB2312" w:hAnsi="仿宋_GB2312" w:eastAsia="仿宋_GB2312" w:cs="仿宋_GB2312"/>
              </w:rPr>
            </w:pPr>
          </w:p>
        </w:tc>
        <w:tc>
          <w:tcPr>
            <w:tcW w:w="3068" w:type="dxa"/>
            <w:gridSpan w:val="2"/>
            <w:tcBorders>
              <w:top w:val="single" w:color="auto" w:sz="4" w:space="0"/>
              <w:left w:val="nil"/>
              <w:bottom w:val="single" w:color="auto" w:sz="4" w:space="0"/>
              <w:right w:val="single" w:color="auto" w:sz="4" w:space="0"/>
            </w:tcBorders>
            <w:vAlign w:val="center"/>
          </w:tcPr>
          <w:p w14:paraId="3500DD49">
            <w:pPr>
              <w:spacing w:line="400" w:lineRule="exact"/>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砼坟</w:t>
            </w:r>
          </w:p>
        </w:tc>
        <w:tc>
          <w:tcPr>
            <w:tcW w:w="1534" w:type="dxa"/>
            <w:tcBorders>
              <w:top w:val="nil"/>
              <w:left w:val="nil"/>
              <w:bottom w:val="single" w:color="auto" w:sz="4" w:space="0"/>
              <w:right w:val="single" w:color="auto" w:sz="4" w:space="0"/>
            </w:tcBorders>
            <w:vAlign w:val="center"/>
          </w:tcPr>
          <w:p w14:paraId="673F29EE">
            <w:pPr>
              <w:spacing w:line="400" w:lineRule="exact"/>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冢</w:t>
            </w:r>
          </w:p>
        </w:tc>
        <w:tc>
          <w:tcPr>
            <w:tcW w:w="1534" w:type="dxa"/>
            <w:tcBorders>
              <w:top w:val="single" w:color="auto" w:sz="4" w:space="0"/>
              <w:left w:val="nil"/>
              <w:bottom w:val="single" w:color="auto" w:sz="4" w:space="0"/>
              <w:right w:val="single" w:color="auto" w:sz="4" w:space="0"/>
            </w:tcBorders>
            <w:vAlign w:val="center"/>
          </w:tcPr>
          <w:p w14:paraId="6DFF9E65">
            <w:pPr>
              <w:spacing w:line="400" w:lineRule="exact"/>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6000</w:t>
            </w:r>
          </w:p>
        </w:tc>
        <w:tc>
          <w:tcPr>
            <w:tcW w:w="1570" w:type="dxa"/>
            <w:tcBorders>
              <w:top w:val="single" w:color="auto" w:sz="4" w:space="0"/>
              <w:left w:val="single" w:color="auto" w:sz="4" w:space="0"/>
              <w:bottom w:val="single" w:color="auto" w:sz="4" w:space="0"/>
              <w:right w:val="single" w:color="auto" w:sz="4" w:space="0"/>
            </w:tcBorders>
            <w:vAlign w:val="center"/>
          </w:tcPr>
          <w:p w14:paraId="08C42986">
            <w:pPr>
              <w:spacing w:line="400" w:lineRule="exact"/>
              <w:ind w:firstLine="420" w:firstLineChars="200"/>
              <w:rPr>
                <w:rFonts w:ascii="仿宋_GB2312" w:hAnsi="仿宋_GB2312" w:eastAsia="仿宋_GB2312" w:cs="仿宋_GB2312"/>
                <w:szCs w:val="21"/>
                <w:highlight w:val="yellow"/>
              </w:rPr>
            </w:pPr>
            <w:r>
              <w:rPr>
                <w:rFonts w:hint="eastAsia" w:ascii="仿宋_GB2312" w:hAnsi="仿宋_GB2312" w:eastAsia="仿宋_GB2312" w:cs="仿宋_GB2312"/>
                <w:szCs w:val="21"/>
              </w:rPr>
              <w:t>8000</w:t>
            </w:r>
          </w:p>
        </w:tc>
      </w:tr>
      <w:tr w14:paraId="1705B13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523" w:hRule="atLeast"/>
          <w:jc w:val="center"/>
        </w:trPr>
        <w:tc>
          <w:tcPr>
            <w:tcW w:w="1534" w:type="dxa"/>
            <w:tcBorders>
              <w:top w:val="nil"/>
              <w:left w:val="single" w:color="auto" w:sz="4" w:space="0"/>
              <w:bottom w:val="single" w:color="auto" w:sz="4" w:space="0"/>
              <w:right w:val="single" w:color="auto" w:sz="4" w:space="0"/>
            </w:tcBorders>
            <w:vAlign w:val="center"/>
          </w:tcPr>
          <w:p w14:paraId="6282DA03">
            <w:pPr>
              <w:spacing w:line="400" w:lineRule="exact"/>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碑</w:t>
            </w:r>
          </w:p>
        </w:tc>
        <w:tc>
          <w:tcPr>
            <w:tcW w:w="3068" w:type="dxa"/>
            <w:gridSpan w:val="2"/>
            <w:tcBorders>
              <w:top w:val="single" w:color="auto" w:sz="4" w:space="0"/>
              <w:left w:val="nil"/>
              <w:bottom w:val="single" w:color="auto" w:sz="4" w:space="0"/>
              <w:right w:val="single" w:color="auto" w:sz="4" w:space="0"/>
            </w:tcBorders>
            <w:vAlign w:val="center"/>
          </w:tcPr>
          <w:p w14:paraId="0C6FF361">
            <w:pPr>
              <w:spacing w:line="400" w:lineRule="exact"/>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　</w:t>
            </w:r>
          </w:p>
        </w:tc>
        <w:tc>
          <w:tcPr>
            <w:tcW w:w="1534" w:type="dxa"/>
            <w:tcBorders>
              <w:top w:val="nil"/>
              <w:left w:val="nil"/>
              <w:bottom w:val="single" w:color="auto" w:sz="4" w:space="0"/>
              <w:right w:val="single" w:color="auto" w:sz="4" w:space="0"/>
            </w:tcBorders>
            <w:vAlign w:val="center"/>
          </w:tcPr>
          <w:p w14:paraId="75C20E89">
            <w:pPr>
              <w:spacing w:line="400" w:lineRule="exact"/>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座</w:t>
            </w:r>
          </w:p>
        </w:tc>
        <w:tc>
          <w:tcPr>
            <w:tcW w:w="1534" w:type="dxa"/>
            <w:tcBorders>
              <w:top w:val="single" w:color="auto" w:sz="4" w:space="0"/>
              <w:left w:val="nil"/>
              <w:bottom w:val="single" w:color="auto" w:sz="4" w:space="0"/>
              <w:right w:val="single" w:color="auto" w:sz="4" w:space="0"/>
            </w:tcBorders>
            <w:vAlign w:val="center"/>
          </w:tcPr>
          <w:p w14:paraId="6968D994">
            <w:pPr>
              <w:spacing w:line="400" w:lineRule="exact"/>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600-1000</w:t>
            </w:r>
          </w:p>
        </w:tc>
        <w:tc>
          <w:tcPr>
            <w:tcW w:w="1570" w:type="dxa"/>
            <w:tcBorders>
              <w:top w:val="single" w:color="auto" w:sz="4" w:space="0"/>
              <w:left w:val="single" w:color="auto" w:sz="4" w:space="0"/>
              <w:bottom w:val="single" w:color="auto" w:sz="4" w:space="0"/>
              <w:right w:val="single" w:color="auto" w:sz="4" w:space="0"/>
            </w:tcBorders>
            <w:vAlign w:val="center"/>
          </w:tcPr>
          <w:p w14:paraId="2475E79F">
            <w:pPr>
              <w:spacing w:line="400" w:lineRule="exact"/>
              <w:ind w:firstLine="210" w:firstLineChars="100"/>
              <w:rPr>
                <w:rFonts w:ascii="仿宋_GB2312" w:hAnsi="仿宋_GB2312" w:eastAsia="仿宋_GB2312" w:cs="仿宋_GB2312"/>
                <w:szCs w:val="21"/>
                <w:highlight w:val="yellow"/>
              </w:rPr>
            </w:pPr>
            <w:r>
              <w:rPr>
                <w:rFonts w:hint="eastAsia" w:ascii="仿宋_GB2312" w:hAnsi="仿宋_GB2312" w:eastAsia="仿宋_GB2312" w:cs="仿宋_GB2312"/>
                <w:szCs w:val="21"/>
              </w:rPr>
              <w:t>600-1000</w:t>
            </w:r>
          </w:p>
        </w:tc>
      </w:tr>
      <w:tr w14:paraId="76786EA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546" w:hRule="atLeast"/>
          <w:jc w:val="center"/>
        </w:trPr>
        <w:tc>
          <w:tcPr>
            <w:tcW w:w="1534" w:type="dxa"/>
            <w:tcBorders>
              <w:top w:val="nil"/>
              <w:left w:val="single" w:color="auto" w:sz="4" w:space="0"/>
              <w:bottom w:val="single" w:color="auto" w:sz="4" w:space="0"/>
              <w:right w:val="single" w:color="auto" w:sz="4" w:space="0"/>
            </w:tcBorders>
            <w:vAlign w:val="center"/>
          </w:tcPr>
          <w:p w14:paraId="499F3950">
            <w:pPr>
              <w:spacing w:line="400" w:lineRule="exact"/>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罗围</w:t>
            </w:r>
          </w:p>
        </w:tc>
        <w:tc>
          <w:tcPr>
            <w:tcW w:w="3068" w:type="dxa"/>
            <w:gridSpan w:val="2"/>
            <w:tcBorders>
              <w:top w:val="single" w:color="auto" w:sz="4" w:space="0"/>
              <w:left w:val="nil"/>
              <w:bottom w:val="single" w:color="auto" w:sz="4" w:space="0"/>
              <w:right w:val="single" w:color="auto" w:sz="4" w:space="0"/>
            </w:tcBorders>
            <w:vAlign w:val="center"/>
          </w:tcPr>
          <w:p w14:paraId="712F082F">
            <w:pPr>
              <w:spacing w:line="400" w:lineRule="exact"/>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　</w:t>
            </w:r>
          </w:p>
        </w:tc>
        <w:tc>
          <w:tcPr>
            <w:tcW w:w="1534" w:type="dxa"/>
            <w:tcBorders>
              <w:top w:val="nil"/>
              <w:left w:val="nil"/>
              <w:bottom w:val="single" w:color="auto" w:sz="4" w:space="0"/>
              <w:right w:val="single" w:color="auto" w:sz="4" w:space="0"/>
            </w:tcBorders>
            <w:vAlign w:val="center"/>
          </w:tcPr>
          <w:p w14:paraId="3F1DD09A">
            <w:pPr>
              <w:spacing w:line="400" w:lineRule="exact"/>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圈</w:t>
            </w:r>
          </w:p>
        </w:tc>
        <w:tc>
          <w:tcPr>
            <w:tcW w:w="1534" w:type="dxa"/>
            <w:tcBorders>
              <w:top w:val="single" w:color="auto" w:sz="4" w:space="0"/>
              <w:left w:val="nil"/>
              <w:bottom w:val="single" w:color="auto" w:sz="4" w:space="0"/>
              <w:right w:val="single" w:color="auto" w:sz="4" w:space="0"/>
            </w:tcBorders>
            <w:vAlign w:val="center"/>
          </w:tcPr>
          <w:p w14:paraId="661AA495">
            <w:pPr>
              <w:spacing w:line="400" w:lineRule="exact"/>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1200-2000</w:t>
            </w:r>
          </w:p>
        </w:tc>
        <w:tc>
          <w:tcPr>
            <w:tcW w:w="1570" w:type="dxa"/>
            <w:tcBorders>
              <w:top w:val="single" w:color="auto" w:sz="4" w:space="0"/>
              <w:left w:val="single" w:color="auto" w:sz="4" w:space="0"/>
              <w:bottom w:val="single" w:color="auto" w:sz="4" w:space="0"/>
              <w:right w:val="single" w:color="auto" w:sz="4" w:space="0"/>
            </w:tcBorders>
            <w:vAlign w:val="center"/>
          </w:tcPr>
          <w:p w14:paraId="200C6575">
            <w:pPr>
              <w:spacing w:line="400" w:lineRule="exact"/>
              <w:ind w:firstLine="210" w:firstLineChars="100"/>
              <w:rPr>
                <w:rFonts w:ascii="仿宋_GB2312" w:hAnsi="仿宋_GB2312" w:eastAsia="仿宋_GB2312" w:cs="仿宋_GB2312"/>
                <w:szCs w:val="21"/>
                <w:highlight w:val="yellow"/>
              </w:rPr>
            </w:pPr>
            <w:r>
              <w:rPr>
                <w:rFonts w:hint="eastAsia" w:ascii="仿宋_GB2312" w:hAnsi="仿宋_GB2312" w:eastAsia="仿宋_GB2312" w:cs="仿宋_GB2312"/>
                <w:szCs w:val="21"/>
              </w:rPr>
              <w:t>1200-2000</w:t>
            </w:r>
          </w:p>
        </w:tc>
      </w:tr>
      <w:tr w14:paraId="23ECB46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546" w:hRule="atLeast"/>
          <w:jc w:val="center"/>
        </w:trPr>
        <w:tc>
          <w:tcPr>
            <w:tcW w:w="1534" w:type="dxa"/>
            <w:vMerge w:val="restart"/>
            <w:tcBorders>
              <w:top w:val="single" w:color="auto" w:sz="4" w:space="0"/>
              <w:left w:val="single" w:color="auto" w:sz="4" w:space="0"/>
              <w:right w:val="single" w:color="auto" w:sz="4" w:space="0"/>
            </w:tcBorders>
            <w:vAlign w:val="center"/>
          </w:tcPr>
          <w:p w14:paraId="1FE240CA">
            <w:pPr>
              <w:spacing w:line="400" w:lineRule="exact"/>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墓地取得补助</w:t>
            </w:r>
          </w:p>
        </w:tc>
        <w:tc>
          <w:tcPr>
            <w:tcW w:w="3068" w:type="dxa"/>
            <w:gridSpan w:val="2"/>
            <w:tcBorders>
              <w:top w:val="single" w:color="auto" w:sz="4" w:space="0"/>
              <w:left w:val="single" w:color="auto" w:sz="4" w:space="0"/>
              <w:bottom w:val="single" w:color="auto" w:sz="4" w:space="0"/>
              <w:right w:val="single" w:color="auto" w:sz="4" w:space="0"/>
            </w:tcBorders>
            <w:vAlign w:val="center"/>
          </w:tcPr>
          <w:p w14:paraId="67A508C3">
            <w:pPr>
              <w:spacing w:line="400" w:lineRule="exact"/>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城市规划区内</w:t>
            </w:r>
          </w:p>
        </w:tc>
        <w:tc>
          <w:tcPr>
            <w:tcW w:w="1534" w:type="dxa"/>
            <w:tcBorders>
              <w:top w:val="single" w:color="auto" w:sz="4" w:space="0"/>
              <w:left w:val="nil"/>
              <w:bottom w:val="single" w:color="auto" w:sz="4" w:space="0"/>
              <w:right w:val="single" w:color="auto" w:sz="4" w:space="0"/>
            </w:tcBorders>
            <w:vAlign w:val="center"/>
          </w:tcPr>
          <w:p w14:paraId="148F9B2B">
            <w:pPr>
              <w:spacing w:line="400" w:lineRule="exact"/>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冢</w:t>
            </w:r>
          </w:p>
        </w:tc>
        <w:tc>
          <w:tcPr>
            <w:tcW w:w="3104" w:type="dxa"/>
            <w:gridSpan w:val="2"/>
            <w:tcBorders>
              <w:top w:val="single" w:color="auto" w:sz="4" w:space="0"/>
              <w:left w:val="nil"/>
              <w:bottom w:val="single" w:color="auto" w:sz="4" w:space="0"/>
              <w:right w:val="single" w:color="auto" w:sz="4" w:space="0"/>
            </w:tcBorders>
            <w:vAlign w:val="center"/>
          </w:tcPr>
          <w:p w14:paraId="287115A8">
            <w:pPr>
              <w:spacing w:line="400" w:lineRule="exact"/>
              <w:ind w:firstLine="210" w:firstLineChars="100"/>
              <w:jc w:val="center"/>
              <w:rPr>
                <w:rFonts w:ascii="仿宋_GB2312" w:hAnsi="仿宋_GB2312" w:eastAsia="仿宋_GB2312" w:cs="仿宋_GB2312"/>
                <w:szCs w:val="21"/>
              </w:rPr>
            </w:pPr>
            <w:r>
              <w:rPr>
                <w:rFonts w:hint="eastAsia" w:ascii="仿宋_GB2312" w:hAnsi="仿宋_GB2312" w:eastAsia="仿宋_GB2312" w:cs="仿宋_GB2312"/>
                <w:szCs w:val="21"/>
              </w:rPr>
              <w:t>4000</w:t>
            </w:r>
          </w:p>
        </w:tc>
      </w:tr>
      <w:tr w14:paraId="2E009DD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546" w:hRule="atLeast"/>
          <w:jc w:val="center"/>
        </w:trPr>
        <w:tc>
          <w:tcPr>
            <w:tcW w:w="1534" w:type="dxa"/>
            <w:vMerge w:val="continue"/>
            <w:tcBorders>
              <w:left w:val="single" w:color="auto" w:sz="4" w:space="0"/>
              <w:bottom w:val="single" w:color="auto" w:sz="4" w:space="0"/>
              <w:right w:val="single" w:color="auto" w:sz="4" w:space="0"/>
            </w:tcBorders>
            <w:vAlign w:val="center"/>
          </w:tcPr>
          <w:p w14:paraId="0C1737CB">
            <w:pPr>
              <w:spacing w:line="400" w:lineRule="exact"/>
              <w:jc w:val="center"/>
              <w:rPr>
                <w:rFonts w:ascii="仿宋_GB2312" w:hAnsi="仿宋_GB2312" w:eastAsia="仿宋_GB2312" w:cs="仿宋_GB2312"/>
                <w:color w:val="000000"/>
                <w:kern w:val="0"/>
                <w:szCs w:val="21"/>
              </w:rPr>
            </w:pPr>
          </w:p>
        </w:tc>
        <w:tc>
          <w:tcPr>
            <w:tcW w:w="3068" w:type="dxa"/>
            <w:gridSpan w:val="2"/>
            <w:tcBorders>
              <w:top w:val="single" w:color="auto" w:sz="4" w:space="0"/>
              <w:left w:val="single" w:color="auto" w:sz="4" w:space="0"/>
              <w:bottom w:val="single" w:color="auto" w:sz="4" w:space="0"/>
              <w:right w:val="single" w:color="auto" w:sz="4" w:space="0"/>
            </w:tcBorders>
            <w:vAlign w:val="center"/>
          </w:tcPr>
          <w:p w14:paraId="00BF614B">
            <w:pPr>
              <w:spacing w:line="400" w:lineRule="exact"/>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城市规划区外</w:t>
            </w:r>
          </w:p>
        </w:tc>
        <w:tc>
          <w:tcPr>
            <w:tcW w:w="1534" w:type="dxa"/>
            <w:tcBorders>
              <w:top w:val="single" w:color="auto" w:sz="4" w:space="0"/>
              <w:left w:val="nil"/>
              <w:bottom w:val="single" w:color="auto" w:sz="4" w:space="0"/>
              <w:right w:val="single" w:color="auto" w:sz="4" w:space="0"/>
            </w:tcBorders>
            <w:vAlign w:val="center"/>
          </w:tcPr>
          <w:p w14:paraId="78B45E77">
            <w:pPr>
              <w:spacing w:line="400" w:lineRule="exact"/>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冢</w:t>
            </w:r>
          </w:p>
        </w:tc>
        <w:tc>
          <w:tcPr>
            <w:tcW w:w="3104" w:type="dxa"/>
            <w:gridSpan w:val="2"/>
            <w:tcBorders>
              <w:top w:val="single" w:color="auto" w:sz="4" w:space="0"/>
              <w:left w:val="nil"/>
              <w:bottom w:val="single" w:color="auto" w:sz="4" w:space="0"/>
              <w:right w:val="single" w:color="auto" w:sz="4" w:space="0"/>
            </w:tcBorders>
            <w:vAlign w:val="center"/>
          </w:tcPr>
          <w:p w14:paraId="21A33C98">
            <w:pPr>
              <w:spacing w:line="400" w:lineRule="exact"/>
              <w:ind w:firstLine="210" w:firstLineChars="100"/>
              <w:jc w:val="center"/>
              <w:rPr>
                <w:rFonts w:ascii="仿宋_GB2312" w:hAnsi="仿宋_GB2312" w:eastAsia="仿宋_GB2312" w:cs="仿宋_GB2312"/>
                <w:szCs w:val="21"/>
              </w:rPr>
            </w:pPr>
            <w:r>
              <w:rPr>
                <w:rFonts w:hint="eastAsia" w:ascii="仿宋_GB2312" w:hAnsi="仿宋_GB2312" w:eastAsia="仿宋_GB2312" w:cs="仿宋_GB2312"/>
                <w:szCs w:val="21"/>
              </w:rPr>
              <w:t>3000</w:t>
            </w:r>
          </w:p>
        </w:tc>
      </w:tr>
    </w:tbl>
    <w:p w14:paraId="6027D19C">
      <w:pPr>
        <w:rPr>
          <w:rFonts w:ascii="仿宋_GB2312" w:hAnsi="仿宋_GB2312" w:eastAsia="仿宋_GB2312" w:cs="仿宋_GB2312"/>
          <w:color w:val="000000"/>
          <w:szCs w:val="21"/>
        </w:rPr>
      </w:pPr>
    </w:p>
    <w:p w14:paraId="22CEF8CB">
      <w:pPr>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注：1.有碑或修建罗围的按以上标准补偿；没有碑或修建罗围的，不得给予碑和罗围补偿。</w:t>
      </w:r>
    </w:p>
    <w:p w14:paraId="023F5338">
      <w:pPr>
        <w:ind w:firstLine="420" w:firstLineChars="200"/>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2.坟墓补偿以实际挖掘为依据，伪造的坟墓不补偿。</w:t>
      </w:r>
    </w:p>
    <w:p w14:paraId="5EB3BD8B">
      <w:pPr>
        <w:ind w:firstLine="420" w:firstLineChars="200"/>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3.无坟主的由征收单位代迁或作深埋处理。</w:t>
      </w:r>
    </w:p>
    <w:p w14:paraId="7B90DD6F">
      <w:pPr>
        <w:ind w:firstLine="420" w:firstLineChars="200"/>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4.征收土地预公告发布之日起前5年内按新坟计，其余年限的坟墓按旧坟计。</w:t>
      </w:r>
    </w:p>
    <w:p w14:paraId="50F13E5B">
      <w:pPr>
        <w:ind w:firstLine="420" w:firstLineChars="200"/>
        <w:rPr>
          <w:rFonts w:hint="default" w:ascii="仿宋_GB2312" w:hAnsi="仿宋_GB2312" w:eastAsia="仿宋_GB2312" w:cs="仿宋_GB2312"/>
          <w:color w:val="000000"/>
          <w:szCs w:val="21"/>
          <w:u w:val="single"/>
          <w:lang w:val="en-US" w:eastAsia="zh-CN"/>
        </w:rPr>
      </w:pPr>
      <w:r>
        <w:rPr>
          <w:rFonts w:hint="eastAsia" w:ascii="仿宋_GB2312" w:hAnsi="仿宋_GB2312" w:eastAsia="仿宋_GB2312" w:cs="仿宋_GB2312"/>
          <w:color w:val="000000"/>
          <w:szCs w:val="21"/>
          <w:lang w:val="en-US" w:eastAsia="zh-CN"/>
        </w:rPr>
        <w:t>5.</w:t>
      </w:r>
      <w:r>
        <w:rPr>
          <w:rFonts w:hint="eastAsia" w:ascii="仿宋_GB2312" w:hAnsi="仿宋_GB2312" w:eastAsia="仿宋_GB2312" w:cs="仿宋_GB2312"/>
          <w:color w:val="000000"/>
          <w:szCs w:val="21"/>
          <w:u w:val="none"/>
          <w:lang w:val="en-US" w:eastAsia="zh-CN"/>
        </w:rPr>
        <w:t>除土坟外，其余坟墓有原木的，另补偿3000元。</w:t>
      </w:r>
    </w:p>
    <w:p w14:paraId="38511E24">
      <w:pPr>
        <w:pStyle w:val="2"/>
      </w:pPr>
    </w:p>
    <w:p w14:paraId="56616891"/>
    <w:p w14:paraId="4354AB18">
      <w:pPr>
        <w:pStyle w:val="2"/>
      </w:pPr>
    </w:p>
    <w:p w14:paraId="00726264"/>
    <w:p w14:paraId="1BADD134">
      <w:pPr>
        <w:pStyle w:val="2"/>
      </w:pPr>
    </w:p>
    <w:p w14:paraId="2B9B13CA"/>
    <w:p w14:paraId="382AB57C">
      <w:pPr>
        <w:pStyle w:val="2"/>
      </w:pPr>
    </w:p>
    <w:p w14:paraId="791430E1"/>
    <w:p w14:paraId="37D71840">
      <w:pPr>
        <w:pStyle w:val="2"/>
      </w:pPr>
    </w:p>
    <w:p w14:paraId="5848D8FA"/>
    <w:p w14:paraId="60DC0B3E">
      <w:pPr>
        <w:pStyle w:val="2"/>
      </w:pPr>
    </w:p>
    <w:p w14:paraId="7EB53415"/>
    <w:p w14:paraId="24C214C4">
      <w:pPr>
        <w:pStyle w:val="2"/>
      </w:pPr>
    </w:p>
    <w:p w14:paraId="018599D0">
      <w:pPr>
        <w:rPr>
          <w:rFonts w:ascii="Times New Roman" w:hAnsi="Times New Roman"/>
        </w:rPr>
      </w:pPr>
      <w:r>
        <w:rPr>
          <w:rFonts w:ascii="Times New Roman" w:hAnsi="Times New Roman"/>
        </w:rPr>
        <w:br w:type="page"/>
      </w:r>
    </w:p>
    <w:p w14:paraId="421E9973">
      <w:pPr>
        <w:pStyle w:val="11"/>
        <w:spacing w:after="0" w:line="620" w:lineRule="exact"/>
        <w:rPr>
          <w:rFonts w:ascii="Times New Roman" w:hAnsi="Times New Roman"/>
        </w:rPr>
      </w:pPr>
    </w:p>
    <w:p w14:paraId="1DC219D1">
      <w:pPr>
        <w:pStyle w:val="11"/>
        <w:spacing w:after="0" w:line="620" w:lineRule="exact"/>
        <w:rPr>
          <w:rFonts w:ascii="Times New Roman" w:hAnsi="Times New Roman"/>
        </w:rPr>
      </w:pPr>
    </w:p>
    <w:p w14:paraId="6D9C2BFB">
      <w:pPr>
        <w:pStyle w:val="11"/>
        <w:spacing w:after="0" w:line="620" w:lineRule="exact"/>
        <w:rPr>
          <w:rFonts w:ascii="Times New Roman" w:hAnsi="Times New Roman"/>
        </w:rPr>
      </w:pPr>
    </w:p>
    <w:p w14:paraId="7190B501">
      <w:pPr>
        <w:pStyle w:val="11"/>
        <w:spacing w:after="0" w:line="620" w:lineRule="exact"/>
        <w:rPr>
          <w:rFonts w:ascii="Times New Roman" w:hAnsi="Times New Roman"/>
        </w:rPr>
      </w:pPr>
    </w:p>
    <w:p w14:paraId="1FBC5FEC">
      <w:pPr>
        <w:pStyle w:val="11"/>
        <w:spacing w:after="0" w:line="620" w:lineRule="exact"/>
        <w:rPr>
          <w:rFonts w:ascii="Times New Roman" w:hAnsi="Times New Roman"/>
        </w:rPr>
      </w:pPr>
    </w:p>
    <w:p w14:paraId="525BACF4">
      <w:pPr>
        <w:pStyle w:val="11"/>
        <w:spacing w:after="0" w:line="620" w:lineRule="exact"/>
        <w:rPr>
          <w:rFonts w:ascii="Times New Roman" w:hAnsi="Times New Roman"/>
        </w:rPr>
      </w:pPr>
    </w:p>
    <w:p w14:paraId="1FFD4CAC">
      <w:pPr>
        <w:pStyle w:val="11"/>
        <w:spacing w:after="0" w:line="620" w:lineRule="exact"/>
        <w:rPr>
          <w:rFonts w:ascii="Times New Roman" w:hAnsi="Times New Roman"/>
        </w:rPr>
      </w:pPr>
    </w:p>
    <w:p w14:paraId="4D1519F1">
      <w:pPr>
        <w:pStyle w:val="11"/>
        <w:spacing w:after="0" w:line="620" w:lineRule="exact"/>
        <w:rPr>
          <w:rFonts w:ascii="Times New Roman" w:hAnsi="Times New Roman"/>
        </w:rPr>
      </w:pPr>
    </w:p>
    <w:p w14:paraId="0FD4C638">
      <w:pPr>
        <w:pStyle w:val="11"/>
        <w:spacing w:after="0" w:line="620" w:lineRule="exact"/>
        <w:rPr>
          <w:rFonts w:ascii="Times New Roman" w:hAnsi="Times New Roman"/>
        </w:rPr>
      </w:pPr>
    </w:p>
    <w:p w14:paraId="4BD2733D">
      <w:pPr>
        <w:pStyle w:val="11"/>
        <w:spacing w:after="0" w:line="620" w:lineRule="exact"/>
        <w:rPr>
          <w:rFonts w:ascii="Times New Roman" w:hAnsi="Times New Roman"/>
        </w:rPr>
      </w:pPr>
    </w:p>
    <w:p w14:paraId="289C1D61">
      <w:pPr>
        <w:pStyle w:val="11"/>
        <w:spacing w:after="0" w:line="620" w:lineRule="exact"/>
        <w:rPr>
          <w:rFonts w:ascii="Times New Roman" w:hAnsi="Times New Roman"/>
        </w:rPr>
      </w:pPr>
    </w:p>
    <w:p w14:paraId="5566CACD">
      <w:pPr>
        <w:pStyle w:val="11"/>
        <w:spacing w:after="0" w:line="620" w:lineRule="exact"/>
        <w:rPr>
          <w:rFonts w:ascii="Times New Roman" w:hAnsi="Times New Roman"/>
        </w:rPr>
      </w:pPr>
    </w:p>
    <w:p w14:paraId="26D3E14D">
      <w:pPr>
        <w:pStyle w:val="11"/>
        <w:spacing w:after="0" w:line="620" w:lineRule="exact"/>
        <w:rPr>
          <w:rFonts w:ascii="Times New Roman" w:hAnsi="Times New Roman"/>
        </w:rPr>
      </w:pPr>
    </w:p>
    <w:p w14:paraId="463413E7">
      <w:pPr>
        <w:pStyle w:val="11"/>
        <w:spacing w:after="0" w:line="620" w:lineRule="exact"/>
        <w:rPr>
          <w:rFonts w:ascii="Times New Roman" w:hAnsi="Times New Roman"/>
        </w:rPr>
      </w:pPr>
    </w:p>
    <w:p w14:paraId="1F0CBBE2">
      <w:pPr>
        <w:pStyle w:val="11"/>
        <w:spacing w:after="0" w:line="620" w:lineRule="exact"/>
        <w:rPr>
          <w:rFonts w:ascii="Times New Roman" w:hAnsi="Times New Roman"/>
        </w:rPr>
      </w:pPr>
    </w:p>
    <w:p w14:paraId="00305414">
      <w:pPr>
        <w:pStyle w:val="11"/>
        <w:spacing w:after="0" w:line="620" w:lineRule="exact"/>
        <w:rPr>
          <w:rFonts w:ascii="Times New Roman" w:hAnsi="Times New Roman"/>
        </w:rPr>
      </w:pPr>
    </w:p>
    <w:p w14:paraId="7B9546CC">
      <w:pPr>
        <w:pStyle w:val="11"/>
        <w:spacing w:after="0" w:line="620" w:lineRule="exact"/>
        <w:rPr>
          <w:rFonts w:ascii="Times New Roman" w:hAnsi="Times New Roman"/>
        </w:rPr>
      </w:pPr>
    </w:p>
    <w:p w14:paraId="2F544E95">
      <w:pPr>
        <w:pStyle w:val="11"/>
        <w:spacing w:after="0" w:line="620" w:lineRule="exact"/>
        <w:rPr>
          <w:rFonts w:ascii="Times New Roman" w:hAnsi="Times New Roman"/>
        </w:rPr>
      </w:pPr>
    </w:p>
    <w:p w14:paraId="3BCAA925">
      <w:pPr>
        <w:pStyle w:val="11"/>
        <w:spacing w:after="0" w:line="620" w:lineRule="exact"/>
        <w:rPr>
          <w:rFonts w:ascii="Times New Roman" w:hAnsi="Times New Roman"/>
        </w:rPr>
      </w:pPr>
    </w:p>
    <w:p w14:paraId="375E9658">
      <w:pPr>
        <w:tabs>
          <w:tab w:val="left" w:pos="1078"/>
        </w:tabs>
        <w:spacing w:line="440" w:lineRule="exact"/>
        <w:ind w:firstLine="210" w:firstLineChars="100"/>
        <w:rPr>
          <w:rFonts w:ascii="Times New Roman" w:hAnsi="Times New Roman" w:eastAsia="仿宋_GB2312"/>
          <w:sz w:val="28"/>
          <w:szCs w:val="28"/>
        </w:rPr>
      </w:pPr>
      <w:r>
        <w:rPr>
          <w:rFonts w:ascii="Times New Roman" w:hAnsi="Times New Roman"/>
          <w:szCs w:val="24"/>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27940</wp:posOffset>
                </wp:positionV>
                <wp:extent cx="5753100" cy="0"/>
                <wp:effectExtent l="0" t="0" r="0" b="0"/>
                <wp:wrapNone/>
                <wp:docPr id="8" name="直接连接符 8"/>
                <wp:cNvGraphicFramePr/>
                <a:graphic xmlns:a="http://schemas.openxmlformats.org/drawingml/2006/main">
                  <a:graphicData uri="http://schemas.microsoft.com/office/word/2010/wordprocessingShape">
                    <wps:wsp>
                      <wps:cNvCnPr/>
                      <wps:spPr>
                        <a:xfrm>
                          <a:off x="0" y="0"/>
                          <a:ext cx="57531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2.2pt;height:0pt;width:453pt;z-index:251659264;mso-width-relative:page;mso-height-relative:page;" filled="f" stroked="t" coordsize="21600,21600" o:gfxdata="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mbJ2t0gAAAAQBAAAPAAAAAAAAAAEAIAAAACIAAABkcnMvZG93bnJldi54bWxQSwECFAAUAAAA&#10;CACHTuJA/aNMivQBAADkAwAADgAAAAAAAAABACAAAAAhAQAAZHJzL2Uyb0RvYy54bWxQSwUGAAAA&#10;AAYABgBZAQAAhwUAAAAA&#10;">
                <v:fill on="f" focussize="0,0"/>
                <v:stroke color="#000000" joinstyle="round"/>
                <v:imagedata o:title=""/>
                <o:lock v:ext="edit" aspectratio="f"/>
              </v:line>
            </w:pict>
          </mc:Fallback>
        </mc:AlternateContent>
      </w:r>
      <w:r>
        <w:rPr>
          <w:rFonts w:ascii="Times New Roman" w:hAnsi="Times New Roman" w:eastAsia="仿宋_GB2312"/>
          <w:sz w:val="28"/>
          <w:szCs w:val="28"/>
        </w:rPr>
        <w:t>送：县委各部门，县人武部。</w:t>
      </w:r>
    </w:p>
    <w:p w14:paraId="7C01283A">
      <w:pPr>
        <w:tabs>
          <w:tab w:val="left" w:pos="798"/>
        </w:tabs>
        <w:spacing w:line="440" w:lineRule="exact"/>
        <w:ind w:firstLine="798" w:firstLineChars="285"/>
        <w:rPr>
          <w:rFonts w:ascii="Times New Roman" w:hAnsi="Times New Roman" w:eastAsia="仿宋_GB2312"/>
          <w:sz w:val="28"/>
          <w:szCs w:val="28"/>
        </w:rPr>
      </w:pPr>
      <w:r>
        <w:rPr>
          <w:rFonts w:ascii="Times New Roman" w:hAnsi="Times New Roman" w:eastAsia="仿宋_GB2312"/>
          <w:sz w:val="28"/>
          <w:szCs w:val="28"/>
        </w:rPr>
        <w:t>县人大常委会办公室，县政协办公室，县监委，县人民法院，</w:t>
      </w:r>
    </w:p>
    <w:p w14:paraId="1EAC5384">
      <w:pPr>
        <w:spacing w:line="440" w:lineRule="exact"/>
        <w:ind w:firstLine="798" w:firstLineChars="285"/>
        <w:rPr>
          <w:rFonts w:ascii="Times New Roman" w:hAnsi="Times New Roman" w:eastAsia="仿宋_GB2312"/>
          <w:sz w:val="28"/>
          <w:szCs w:val="28"/>
        </w:rPr>
      </w:pPr>
      <w:r>
        <w:rPr>
          <w:rFonts w:ascii="Times New Roman" w:hAnsi="Times New Roman" w:eastAsia="仿宋_GB2312"/>
          <w:sz w:val="28"/>
          <w:szCs w:val="28"/>
        </w:rPr>
        <w:t>县人民检察院。</w:t>
      </w:r>
    </w:p>
    <w:p w14:paraId="0FE7337B">
      <w:pPr>
        <w:tabs>
          <w:tab w:val="left" w:pos="8749"/>
          <w:tab w:val="right" w:pos="9072"/>
        </w:tabs>
        <w:spacing w:line="500" w:lineRule="exact"/>
        <w:ind w:firstLine="210" w:firstLineChars="100"/>
        <w:rPr>
          <w:rFonts w:ascii="Times New Roman" w:hAnsi="Times New Roman" w:cs="Times New Roman"/>
        </w:rPr>
      </w:pPr>
      <w:r>
        <w:rPr>
          <w:rFonts w:ascii="Times New Roman" w:hAnsi="Times New Roman"/>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360680</wp:posOffset>
                </wp:positionV>
                <wp:extent cx="5753100" cy="0"/>
                <wp:effectExtent l="0" t="0" r="0" b="0"/>
                <wp:wrapNone/>
                <wp:docPr id="9" name="直接连接符 9"/>
                <wp:cNvGraphicFramePr/>
                <a:graphic xmlns:a="http://schemas.openxmlformats.org/drawingml/2006/main">
                  <a:graphicData uri="http://schemas.microsoft.com/office/word/2010/wordprocessingShape">
                    <wps:wsp>
                      <wps:cNvCnPr/>
                      <wps:spPr>
                        <a:xfrm>
                          <a:off x="0" y="0"/>
                          <a:ext cx="57531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28.4pt;height:0pt;width:453pt;z-index:251660288;mso-width-relative:page;mso-height-relative:page;" filled="f" stroked="t" coordsize="21600,21600" o:gfxdata="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ZB1yPdMAAAAGAQAADwAAAAAAAAABACAAAAAiAAAAZHJzL2Rvd25yZXYueG1sUEsBAhQAFAAA&#10;AAgAh07iQOzIKOf0AQAA5AMAAA4AAAAAAAAAAQAgAAAAIgEAAGRycy9lMm9Eb2MueG1sUEsFBgAA&#10;AAAGAAYAWQEAAIgFAAAAAA==&#10;">
                <v:fill on="f" focussize="0,0"/>
                <v:stroke color="#000000" joinstyle="round"/>
                <v:imagedata o:title=""/>
                <o:lock v:ext="edit" aspectratio="f"/>
              </v:line>
            </w:pict>
          </mc:Fallback>
        </mc:AlternateContent>
      </w:r>
      <w:r>
        <w:rPr>
          <w:rFonts w:ascii="Times New Roman" w:hAnsi="Times New Roman"/>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29210</wp:posOffset>
                </wp:positionV>
                <wp:extent cx="5753100" cy="0"/>
                <wp:effectExtent l="0" t="0" r="0" b="0"/>
                <wp:wrapNone/>
                <wp:docPr id="10" name="直接连接符 10"/>
                <wp:cNvGraphicFramePr/>
                <a:graphic xmlns:a="http://schemas.openxmlformats.org/drawingml/2006/main">
                  <a:graphicData uri="http://schemas.microsoft.com/office/word/2010/wordprocessingShape">
                    <wps:wsp>
                      <wps:cNvCnPr/>
                      <wps:spPr>
                        <a:xfrm>
                          <a:off x="0" y="0"/>
                          <a:ext cx="57531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2.3pt;height:0pt;width:453pt;z-index:251661312;mso-width-relative:page;mso-height-relative:page;" filled="f" stroked="t" coordsize="21600,21600" o:gfxdata="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RkNkndIAAAAEAQAADwAAAAAAAAABACAAAAAiAAAAZHJzL2Rvd25yZXYueG1sUEsBAhQAFAAA&#10;AAgAh07iQAduyln1AQAA5gMAAA4AAAAAAAAAAQAgAAAAIQEAAGRycy9lMm9Eb2MueG1sUEsFBgAA&#10;AAAGAAYAWQEAAIgFAAAAAA==&#10;">
                <v:fill on="f" focussize="0,0"/>
                <v:stroke color="#000000" joinstyle="round"/>
                <v:imagedata o:title=""/>
                <o:lock v:ext="edit" aspectratio="f"/>
              </v:line>
            </w:pict>
          </mc:Fallback>
        </mc:AlternateContent>
      </w:r>
      <w:r>
        <w:rPr>
          <w:rFonts w:ascii="Times New Roman" w:hAnsi="Times New Roman" w:eastAsia="仿宋_GB2312"/>
          <w:sz w:val="28"/>
          <w:szCs w:val="28"/>
        </w:rPr>
        <w:t xml:space="preserve">新晃侗族自治县人民政府办公室             </w:t>
      </w:r>
      <w:r>
        <w:rPr>
          <w:rFonts w:hint="eastAsia" w:ascii="Times New Roman" w:hAnsi="Times New Roman" w:eastAsia="仿宋_GB2312"/>
          <w:sz w:val="28"/>
          <w:szCs w:val="28"/>
          <w:lang w:val="en-US" w:eastAsia="zh-CN"/>
        </w:rPr>
        <w:t>2026</w:t>
      </w:r>
      <w:r>
        <w:rPr>
          <w:rFonts w:ascii="Times New Roman" w:hAnsi="Times New Roman" w:eastAsia="仿宋_GB2312"/>
          <w:sz w:val="28"/>
          <w:szCs w:val="28"/>
        </w:rPr>
        <w:t>年</w:t>
      </w:r>
      <w:r>
        <w:rPr>
          <w:rFonts w:hint="eastAsia" w:ascii="Times New Roman" w:hAnsi="Times New Roman" w:eastAsia="仿宋_GB2312"/>
          <w:sz w:val="28"/>
          <w:szCs w:val="28"/>
          <w:lang w:val="en-US" w:eastAsia="zh-CN"/>
        </w:rPr>
        <w:t>10</w:t>
      </w:r>
      <w:r>
        <w:rPr>
          <w:rFonts w:ascii="Times New Roman" w:hAnsi="Times New Roman" w:eastAsia="仿宋_GB2312"/>
          <w:sz w:val="28"/>
          <w:szCs w:val="28"/>
        </w:rPr>
        <w:t>月</w:t>
      </w:r>
      <w:r>
        <w:rPr>
          <w:rFonts w:hint="eastAsia" w:ascii="Times New Roman" w:hAnsi="Times New Roman" w:eastAsia="仿宋_GB2312"/>
          <w:sz w:val="28"/>
          <w:szCs w:val="28"/>
          <w:lang w:val="en-US" w:eastAsia="zh-CN"/>
        </w:rPr>
        <w:t>10</w:t>
      </w:r>
      <w:r>
        <w:rPr>
          <w:rFonts w:ascii="Times New Roman" w:hAnsi="Times New Roman" w:eastAsia="仿宋_GB2312"/>
          <w:sz w:val="28"/>
          <w:szCs w:val="28"/>
        </w:rPr>
        <w:t xml:space="preserve">日印发 </w:t>
      </w:r>
    </w:p>
    <w:sectPr>
      <w:headerReference r:id="rId5" w:type="default"/>
      <w:footerReference r:id="rId6" w:type="default"/>
      <w:pgSz w:w="11906" w:h="16838"/>
      <w:pgMar w:top="1701" w:right="1304" w:bottom="1134"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国标仿宋">
    <w:altName w:val="仿宋_GB2312"/>
    <w:panose1 w:val="02000500000000000000"/>
    <w:charset w:val="86"/>
    <w:family w:val="auto"/>
    <w:pitch w:val="default"/>
    <w:sig w:usb0="00000000" w:usb1="00000000" w:usb2="00000016" w:usb3="00000000" w:csb0="00060007" w:csb1="00000000"/>
  </w:font>
  <w:font w:name="方正黑体简体">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EndPr>
      <w:rPr>
        <w:rFonts w:hint="default" w:ascii="Times New Roman" w:hAnsi="Times New Roman" w:cs="Times New Roman"/>
        <w:sz w:val="24"/>
        <w:szCs w:val="24"/>
      </w:rPr>
    </w:sdtEndPr>
    <w:sdtContent>
      <w:p w14:paraId="2AA6DEA0">
        <w:pPr>
          <w:pStyle w:val="12"/>
          <w:jc w:val="right"/>
          <w:rPr>
            <w:rFonts w:hint="default" w:ascii="Times New Roman" w:hAnsi="Times New Roman" w:cs="Times New Roman"/>
            <w:sz w:val="24"/>
            <w:szCs w:val="24"/>
          </w:rPr>
        </w:pPr>
        <w:r>
          <w:rPr>
            <w:rFonts w:hint="default" w:ascii="Times New Roman" w:hAnsi="Times New Roman"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PAGE   \* MERGEFORMAT</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lang w:val="zh-CN"/>
          </w:rPr>
          <w:t>9</w:t>
        </w:r>
        <w:r>
          <w:rPr>
            <w:rFonts w:hint="default" w:ascii="Times New Roman" w:hAnsi="Times New Roman" w:cs="Times New Roman"/>
            <w:sz w:val="24"/>
            <w:szCs w:val="24"/>
          </w:rPr>
          <w:fldChar w:fldCharType="end"/>
        </w:r>
        <w:r>
          <w:rPr>
            <w:rFonts w:hint="default" w:ascii="Times New Roman" w:hAnsi="Times New Roman" w:cs="Times New Roman"/>
            <w:sz w:val="24"/>
            <w:szCs w:val="24"/>
          </w:rPr>
          <w:t xml:space="preserve"> —</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hint="default" w:ascii="Times New Roman" w:hAnsi="Times New Roman" w:cs="Times New Roman"/>
        <w:sz w:val="24"/>
        <w:szCs w:val="24"/>
      </w:rPr>
      <w:id w:val="623896418"/>
      <w:docPartObj>
        <w:docPartGallery w:val="autotext"/>
      </w:docPartObj>
    </w:sdtPr>
    <w:sdtEndPr>
      <w:rPr>
        <w:rFonts w:hint="default" w:ascii="Times New Roman" w:hAnsi="Times New Roman" w:cs="Times New Roman"/>
        <w:sz w:val="24"/>
        <w:szCs w:val="24"/>
      </w:rPr>
    </w:sdtEndPr>
    <w:sdtContent>
      <w:p w14:paraId="7DD3373E">
        <w:pPr>
          <w:pStyle w:val="12"/>
          <w:rPr>
            <w:sz w:val="24"/>
            <w:szCs w:val="24"/>
          </w:rPr>
        </w:pPr>
        <w:r>
          <w:rPr>
            <w:rFonts w:hint="default" w:ascii="Times New Roman" w:hAnsi="Times New Roman"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PAGE   \* MERGEFORMAT</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lang w:val="zh-CN"/>
          </w:rPr>
          <w:t>6</w:t>
        </w:r>
        <w:r>
          <w:rPr>
            <w:rFonts w:hint="default" w:ascii="Times New Roman" w:hAnsi="Times New Roman" w:cs="Times New Roman"/>
            <w:sz w:val="24"/>
            <w:szCs w:val="24"/>
          </w:rPr>
          <w:fldChar w:fldCharType="end"/>
        </w:r>
        <w:r>
          <w:rPr>
            <w:rFonts w:hint="default" w:ascii="Times New Roman" w:hAnsi="Times New Roman" w:cs="Times New Roman"/>
            <w:sz w:val="24"/>
            <w:szCs w:val="24"/>
          </w:rPr>
          <w:t xml:space="preserve"> —</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E5BCDB">
    <w:pPr>
      <w:pStyle w:val="12"/>
      <w:keepNext w:val="0"/>
      <w:keepLines w:val="0"/>
      <w:pageBreakBefore w:val="0"/>
      <w:widowControl w:val="0"/>
      <w:kinsoku/>
      <w:wordWrap/>
      <w:overflowPunct/>
      <w:topLinePunct w:val="0"/>
      <w:autoSpaceDE/>
      <w:autoSpaceDN/>
      <w:bidi w:val="0"/>
      <w:adjustRightInd/>
      <w:snapToGrid w:val="0"/>
      <w:spacing w:line="320" w:lineRule="exact"/>
      <w:textAlignment w:val="auto"/>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posOffset>4803140</wp:posOffset>
              </wp:positionH>
              <wp:positionV relativeFrom="paragraph">
                <wp:posOffset>0</wp:posOffset>
              </wp:positionV>
              <wp:extent cx="957580" cy="19431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957580" cy="1943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540AA1">
                          <w:pPr>
                            <w:pStyle w:val="12"/>
                            <w:wordWrap w:val="0"/>
                            <w:jc w:val="right"/>
                            <w:rPr>
                              <w:rFonts w:hint="default" w:ascii="Times New Roman" w:hAnsi="Times New Roman" w:cs="Times New Roman" w:eastAsiaTheme="minorEastAsia"/>
                              <w:sz w:val="24"/>
                              <w:szCs w:val="24"/>
                              <w:lang w:val="en-US" w:eastAsia="zh-CN"/>
                            </w:rPr>
                          </w:pPr>
                          <w:r>
                            <w:rPr>
                              <w:rFonts w:hint="default" w:ascii="Times New Roman" w:hAnsi="Times New Roman" w:cs="Times New Roman"/>
                              <w:sz w:val="24"/>
                              <w:szCs w:val="24"/>
                              <w:lang w:eastAsia="zh-CN"/>
                            </w:rPr>
                            <w:t>—</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lang w:eastAsia="zh-CN"/>
                            </w:rPr>
                            <w:fldChar w:fldCharType="begin"/>
                          </w:r>
                          <w:r>
                            <w:rPr>
                              <w:rFonts w:hint="default" w:ascii="Times New Roman" w:hAnsi="Times New Roman" w:cs="Times New Roman"/>
                              <w:sz w:val="24"/>
                              <w:szCs w:val="24"/>
                              <w:lang w:eastAsia="zh-CN"/>
                            </w:rPr>
                            <w:instrText xml:space="preserve"> PAGE  \* MERGEFORMAT </w:instrText>
                          </w:r>
                          <w:r>
                            <w:rPr>
                              <w:rFonts w:hint="default" w:ascii="Times New Roman" w:hAnsi="Times New Roman" w:cs="Times New Roman"/>
                              <w:sz w:val="24"/>
                              <w:szCs w:val="24"/>
                              <w:lang w:eastAsia="zh-CN"/>
                            </w:rPr>
                            <w:fldChar w:fldCharType="separate"/>
                          </w:r>
                          <w:r>
                            <w:rPr>
                              <w:rFonts w:hint="default" w:ascii="Times New Roman" w:hAnsi="Times New Roman" w:cs="Times New Roman"/>
                              <w:sz w:val="24"/>
                              <w:szCs w:val="24"/>
                              <w:lang w:eastAsia="zh-CN"/>
                            </w:rPr>
                            <w:t>1</w:t>
                          </w:r>
                          <w:r>
                            <w:rPr>
                              <w:rFonts w:hint="default" w:ascii="Times New Roman" w:hAnsi="Times New Roman" w:cs="Times New Roman"/>
                              <w:sz w:val="24"/>
                              <w:szCs w:val="24"/>
                              <w:lang w:eastAsia="zh-CN"/>
                            </w:rPr>
                            <w:fldChar w:fldCharType="end"/>
                          </w:r>
                          <w:r>
                            <w:rPr>
                              <w:rFonts w:hint="default" w:ascii="Times New Roman" w:hAnsi="Times New Roman" w:cs="Times New Roman"/>
                              <w:sz w:val="24"/>
                              <w:szCs w:val="24"/>
                              <w:lang w:val="en-US" w:eastAsia="zh-CN"/>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78.2pt;margin-top:0pt;height:15.3pt;width:75.4pt;mso-position-horizontal-relative:margin;z-index:251659264;mso-width-relative:page;mso-height-relative:page;" filled="f" stroked="f" coordsize="21600,21600" o:gfxdata="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LQ0jMLWAAAABwEAAA8AAAAAAAAAAQAgAAAAIgAAAGRycy9kb3ducmV2&#10;LnhtbFBLAQIUABQAAAAIAIdO4kCql9qoNwIAAGMEAAAOAAAAAAAAAAEAIAAAACUBAABkcnMvZTJv&#10;RG9jLnhtbFBLBQYAAAAABgAGAFkBAADOBQAAAAA=&#10;">
              <v:fill on="f" focussize="0,0"/>
              <v:stroke on="f" weight="0.5pt"/>
              <v:imagedata o:title=""/>
              <o:lock v:ext="edit" aspectratio="f"/>
              <v:textbox inset="0mm,0mm,0mm,0mm">
                <w:txbxContent>
                  <w:p w14:paraId="16540AA1">
                    <w:pPr>
                      <w:pStyle w:val="12"/>
                      <w:wordWrap w:val="0"/>
                      <w:jc w:val="right"/>
                      <w:rPr>
                        <w:rFonts w:hint="default" w:ascii="Times New Roman" w:hAnsi="Times New Roman" w:cs="Times New Roman" w:eastAsiaTheme="minorEastAsia"/>
                        <w:sz w:val="24"/>
                        <w:szCs w:val="24"/>
                        <w:lang w:val="en-US" w:eastAsia="zh-CN"/>
                      </w:rPr>
                    </w:pPr>
                    <w:r>
                      <w:rPr>
                        <w:rFonts w:hint="default" w:ascii="Times New Roman" w:hAnsi="Times New Roman" w:cs="Times New Roman"/>
                        <w:sz w:val="24"/>
                        <w:szCs w:val="24"/>
                        <w:lang w:eastAsia="zh-CN"/>
                      </w:rPr>
                      <w:t>—</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lang w:eastAsia="zh-CN"/>
                      </w:rPr>
                      <w:fldChar w:fldCharType="begin"/>
                    </w:r>
                    <w:r>
                      <w:rPr>
                        <w:rFonts w:hint="default" w:ascii="Times New Roman" w:hAnsi="Times New Roman" w:cs="Times New Roman"/>
                        <w:sz w:val="24"/>
                        <w:szCs w:val="24"/>
                        <w:lang w:eastAsia="zh-CN"/>
                      </w:rPr>
                      <w:instrText xml:space="preserve"> PAGE  \* MERGEFORMAT </w:instrText>
                    </w:r>
                    <w:r>
                      <w:rPr>
                        <w:rFonts w:hint="default" w:ascii="Times New Roman" w:hAnsi="Times New Roman" w:cs="Times New Roman"/>
                        <w:sz w:val="24"/>
                        <w:szCs w:val="24"/>
                        <w:lang w:eastAsia="zh-CN"/>
                      </w:rPr>
                      <w:fldChar w:fldCharType="separate"/>
                    </w:r>
                    <w:r>
                      <w:rPr>
                        <w:rFonts w:hint="default" w:ascii="Times New Roman" w:hAnsi="Times New Roman" w:cs="Times New Roman"/>
                        <w:sz w:val="24"/>
                        <w:szCs w:val="24"/>
                        <w:lang w:eastAsia="zh-CN"/>
                      </w:rPr>
                      <w:t>1</w:t>
                    </w:r>
                    <w:r>
                      <w:rPr>
                        <w:rFonts w:hint="default" w:ascii="Times New Roman" w:hAnsi="Times New Roman" w:cs="Times New Roman"/>
                        <w:sz w:val="24"/>
                        <w:szCs w:val="24"/>
                        <w:lang w:eastAsia="zh-CN"/>
                      </w:rPr>
                      <w:fldChar w:fldCharType="end"/>
                    </w:r>
                    <w:r>
                      <w:rPr>
                        <w:rFonts w:hint="default" w:ascii="Times New Roman" w:hAnsi="Times New Roman" w:cs="Times New Roman"/>
                        <w:sz w:val="24"/>
                        <w:szCs w:val="24"/>
                        <w:lang w:val="en-US" w:eastAsia="zh-CN"/>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0C63E2">
    <w:pPr>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bordersDoNotSurroundHeader w:val="1"/>
  <w:bordersDoNotSurroundFooter w:val="1"/>
  <w:documentProtection w:enforcement="0"/>
  <w:defaultTabStop w:val="42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F68"/>
    <w:rsid w:val="0000323F"/>
    <w:rsid w:val="0000413A"/>
    <w:rsid w:val="00006435"/>
    <w:rsid w:val="000069EB"/>
    <w:rsid w:val="00007227"/>
    <w:rsid w:val="0001260E"/>
    <w:rsid w:val="00014190"/>
    <w:rsid w:val="00015D48"/>
    <w:rsid w:val="00016DEE"/>
    <w:rsid w:val="00024025"/>
    <w:rsid w:val="0002701A"/>
    <w:rsid w:val="000302C3"/>
    <w:rsid w:val="000331CB"/>
    <w:rsid w:val="000361C5"/>
    <w:rsid w:val="000375C2"/>
    <w:rsid w:val="00041DE5"/>
    <w:rsid w:val="000436E0"/>
    <w:rsid w:val="00044869"/>
    <w:rsid w:val="000452B0"/>
    <w:rsid w:val="00046A83"/>
    <w:rsid w:val="0005215A"/>
    <w:rsid w:val="00053951"/>
    <w:rsid w:val="0005665E"/>
    <w:rsid w:val="0005691E"/>
    <w:rsid w:val="00057DD8"/>
    <w:rsid w:val="0006097E"/>
    <w:rsid w:val="00060B9F"/>
    <w:rsid w:val="00060D3D"/>
    <w:rsid w:val="00060DD5"/>
    <w:rsid w:val="00061168"/>
    <w:rsid w:val="0006603E"/>
    <w:rsid w:val="000677B4"/>
    <w:rsid w:val="0007441D"/>
    <w:rsid w:val="000749EB"/>
    <w:rsid w:val="00076FFB"/>
    <w:rsid w:val="0008538D"/>
    <w:rsid w:val="000910D1"/>
    <w:rsid w:val="000918DF"/>
    <w:rsid w:val="000921BA"/>
    <w:rsid w:val="000930AC"/>
    <w:rsid w:val="000953BD"/>
    <w:rsid w:val="00095968"/>
    <w:rsid w:val="00096880"/>
    <w:rsid w:val="000B1BFD"/>
    <w:rsid w:val="000B28A0"/>
    <w:rsid w:val="000B2C41"/>
    <w:rsid w:val="000B48EC"/>
    <w:rsid w:val="000B7B77"/>
    <w:rsid w:val="000C0C46"/>
    <w:rsid w:val="000C2FA4"/>
    <w:rsid w:val="000C3483"/>
    <w:rsid w:val="000C74BD"/>
    <w:rsid w:val="000C79FF"/>
    <w:rsid w:val="000E0562"/>
    <w:rsid w:val="000E1D0D"/>
    <w:rsid w:val="000E31B2"/>
    <w:rsid w:val="000E3C3B"/>
    <w:rsid w:val="000E5990"/>
    <w:rsid w:val="000E66E5"/>
    <w:rsid w:val="000E764F"/>
    <w:rsid w:val="000E7A89"/>
    <w:rsid w:val="000F5178"/>
    <w:rsid w:val="00100B6D"/>
    <w:rsid w:val="00101A3C"/>
    <w:rsid w:val="00103179"/>
    <w:rsid w:val="001127D9"/>
    <w:rsid w:val="00113E39"/>
    <w:rsid w:val="0011504A"/>
    <w:rsid w:val="0011605B"/>
    <w:rsid w:val="0012137D"/>
    <w:rsid w:val="001216CD"/>
    <w:rsid w:val="00121ECD"/>
    <w:rsid w:val="00122D13"/>
    <w:rsid w:val="00123410"/>
    <w:rsid w:val="001237BD"/>
    <w:rsid w:val="00124A69"/>
    <w:rsid w:val="00127685"/>
    <w:rsid w:val="0013138A"/>
    <w:rsid w:val="0013157B"/>
    <w:rsid w:val="001326A5"/>
    <w:rsid w:val="00133540"/>
    <w:rsid w:val="0013714E"/>
    <w:rsid w:val="001431A9"/>
    <w:rsid w:val="0014428E"/>
    <w:rsid w:val="0014435A"/>
    <w:rsid w:val="00147807"/>
    <w:rsid w:val="001501C4"/>
    <w:rsid w:val="0015547F"/>
    <w:rsid w:val="00166291"/>
    <w:rsid w:val="00166E4A"/>
    <w:rsid w:val="00167EB3"/>
    <w:rsid w:val="00172F0B"/>
    <w:rsid w:val="001736D9"/>
    <w:rsid w:val="00175BD8"/>
    <w:rsid w:val="00180023"/>
    <w:rsid w:val="00180373"/>
    <w:rsid w:val="00181FF9"/>
    <w:rsid w:val="00186C97"/>
    <w:rsid w:val="0018733D"/>
    <w:rsid w:val="00192702"/>
    <w:rsid w:val="00195059"/>
    <w:rsid w:val="001961D3"/>
    <w:rsid w:val="001969BB"/>
    <w:rsid w:val="001A0AC0"/>
    <w:rsid w:val="001A0C71"/>
    <w:rsid w:val="001A1883"/>
    <w:rsid w:val="001A1C0F"/>
    <w:rsid w:val="001A1CFF"/>
    <w:rsid w:val="001A2118"/>
    <w:rsid w:val="001B32FB"/>
    <w:rsid w:val="001B566F"/>
    <w:rsid w:val="001B7D5F"/>
    <w:rsid w:val="001C2441"/>
    <w:rsid w:val="001C2C6C"/>
    <w:rsid w:val="001C5651"/>
    <w:rsid w:val="001D4C73"/>
    <w:rsid w:val="001E0C2D"/>
    <w:rsid w:val="001E1121"/>
    <w:rsid w:val="001E1301"/>
    <w:rsid w:val="001E1716"/>
    <w:rsid w:val="001E204E"/>
    <w:rsid w:val="001E2628"/>
    <w:rsid w:val="001E7FF1"/>
    <w:rsid w:val="001F48F3"/>
    <w:rsid w:val="001F786D"/>
    <w:rsid w:val="00200368"/>
    <w:rsid w:val="002047B6"/>
    <w:rsid w:val="002079D4"/>
    <w:rsid w:val="00207BB7"/>
    <w:rsid w:val="00210591"/>
    <w:rsid w:val="00212B79"/>
    <w:rsid w:val="00226038"/>
    <w:rsid w:val="002268D6"/>
    <w:rsid w:val="00227802"/>
    <w:rsid w:val="002321C5"/>
    <w:rsid w:val="002332BC"/>
    <w:rsid w:val="00237BA2"/>
    <w:rsid w:val="00240F2A"/>
    <w:rsid w:val="00241744"/>
    <w:rsid w:val="00241C31"/>
    <w:rsid w:val="00241EAC"/>
    <w:rsid w:val="002432D6"/>
    <w:rsid w:val="002518B7"/>
    <w:rsid w:val="0025380B"/>
    <w:rsid w:val="00255B16"/>
    <w:rsid w:val="00256483"/>
    <w:rsid w:val="002605BF"/>
    <w:rsid w:val="00261C84"/>
    <w:rsid w:val="00265476"/>
    <w:rsid w:val="002658CA"/>
    <w:rsid w:val="002761D3"/>
    <w:rsid w:val="002777A9"/>
    <w:rsid w:val="002809DC"/>
    <w:rsid w:val="0028515E"/>
    <w:rsid w:val="00286EB7"/>
    <w:rsid w:val="00293F5C"/>
    <w:rsid w:val="00293F5E"/>
    <w:rsid w:val="00294994"/>
    <w:rsid w:val="00294FDE"/>
    <w:rsid w:val="00295E89"/>
    <w:rsid w:val="00297921"/>
    <w:rsid w:val="002A1464"/>
    <w:rsid w:val="002A1D99"/>
    <w:rsid w:val="002A4367"/>
    <w:rsid w:val="002A4B74"/>
    <w:rsid w:val="002A762F"/>
    <w:rsid w:val="002B0137"/>
    <w:rsid w:val="002B1C83"/>
    <w:rsid w:val="002B2CEB"/>
    <w:rsid w:val="002B51FB"/>
    <w:rsid w:val="002B5ED7"/>
    <w:rsid w:val="002C3AD3"/>
    <w:rsid w:val="002C462C"/>
    <w:rsid w:val="002D5E0A"/>
    <w:rsid w:val="002E0756"/>
    <w:rsid w:val="002E16CE"/>
    <w:rsid w:val="002E2FE3"/>
    <w:rsid w:val="002E30D2"/>
    <w:rsid w:val="002E3C93"/>
    <w:rsid w:val="002E55E4"/>
    <w:rsid w:val="002E67CA"/>
    <w:rsid w:val="002E74A8"/>
    <w:rsid w:val="002F0045"/>
    <w:rsid w:val="003011CF"/>
    <w:rsid w:val="0030208D"/>
    <w:rsid w:val="0030564A"/>
    <w:rsid w:val="00307EE0"/>
    <w:rsid w:val="003106B2"/>
    <w:rsid w:val="00310A55"/>
    <w:rsid w:val="00310B51"/>
    <w:rsid w:val="00314204"/>
    <w:rsid w:val="00316128"/>
    <w:rsid w:val="003167D8"/>
    <w:rsid w:val="0031722B"/>
    <w:rsid w:val="00324701"/>
    <w:rsid w:val="003254FA"/>
    <w:rsid w:val="00327ACC"/>
    <w:rsid w:val="0034305F"/>
    <w:rsid w:val="003469CC"/>
    <w:rsid w:val="00350B4A"/>
    <w:rsid w:val="00357C60"/>
    <w:rsid w:val="00360D14"/>
    <w:rsid w:val="003617BE"/>
    <w:rsid w:val="00362971"/>
    <w:rsid w:val="00372399"/>
    <w:rsid w:val="003727F2"/>
    <w:rsid w:val="0037503B"/>
    <w:rsid w:val="00386A5F"/>
    <w:rsid w:val="0038703E"/>
    <w:rsid w:val="0038716F"/>
    <w:rsid w:val="003871B9"/>
    <w:rsid w:val="0039274B"/>
    <w:rsid w:val="00394970"/>
    <w:rsid w:val="003A0E67"/>
    <w:rsid w:val="003A14B6"/>
    <w:rsid w:val="003A5126"/>
    <w:rsid w:val="003B2E2A"/>
    <w:rsid w:val="003B4B1A"/>
    <w:rsid w:val="003B4CBF"/>
    <w:rsid w:val="003B5053"/>
    <w:rsid w:val="003C5E9F"/>
    <w:rsid w:val="003C6E55"/>
    <w:rsid w:val="003D010E"/>
    <w:rsid w:val="003D0B38"/>
    <w:rsid w:val="003D1875"/>
    <w:rsid w:val="003D3309"/>
    <w:rsid w:val="003D572F"/>
    <w:rsid w:val="003D57F6"/>
    <w:rsid w:val="003D7852"/>
    <w:rsid w:val="003D7DCC"/>
    <w:rsid w:val="003E1AC0"/>
    <w:rsid w:val="003E3806"/>
    <w:rsid w:val="003E621E"/>
    <w:rsid w:val="003E7974"/>
    <w:rsid w:val="003F1C57"/>
    <w:rsid w:val="003F3130"/>
    <w:rsid w:val="003F3BCF"/>
    <w:rsid w:val="003F40D0"/>
    <w:rsid w:val="003F5A8B"/>
    <w:rsid w:val="003F62A2"/>
    <w:rsid w:val="003F6420"/>
    <w:rsid w:val="00404837"/>
    <w:rsid w:val="00405A2E"/>
    <w:rsid w:val="00410870"/>
    <w:rsid w:val="00411C36"/>
    <w:rsid w:val="0041481F"/>
    <w:rsid w:val="004150D0"/>
    <w:rsid w:val="004155B3"/>
    <w:rsid w:val="00416736"/>
    <w:rsid w:val="004203ED"/>
    <w:rsid w:val="00422317"/>
    <w:rsid w:val="0042503E"/>
    <w:rsid w:val="004267E1"/>
    <w:rsid w:val="004301E4"/>
    <w:rsid w:val="00431FFE"/>
    <w:rsid w:val="004326A9"/>
    <w:rsid w:val="00432787"/>
    <w:rsid w:val="00434F7B"/>
    <w:rsid w:val="0043620F"/>
    <w:rsid w:val="00440952"/>
    <w:rsid w:val="00446108"/>
    <w:rsid w:val="004467B6"/>
    <w:rsid w:val="0044744D"/>
    <w:rsid w:val="00447E29"/>
    <w:rsid w:val="00450B13"/>
    <w:rsid w:val="00454423"/>
    <w:rsid w:val="004552AB"/>
    <w:rsid w:val="00457FA4"/>
    <w:rsid w:val="004600E4"/>
    <w:rsid w:val="00461350"/>
    <w:rsid w:val="00462BCD"/>
    <w:rsid w:val="004630CD"/>
    <w:rsid w:val="00466B5E"/>
    <w:rsid w:val="00470296"/>
    <w:rsid w:val="00473D9C"/>
    <w:rsid w:val="00474215"/>
    <w:rsid w:val="00474B96"/>
    <w:rsid w:val="00476680"/>
    <w:rsid w:val="00477E4D"/>
    <w:rsid w:val="00480513"/>
    <w:rsid w:val="004870F0"/>
    <w:rsid w:val="004925F2"/>
    <w:rsid w:val="004929A8"/>
    <w:rsid w:val="004934D8"/>
    <w:rsid w:val="00497347"/>
    <w:rsid w:val="0049749B"/>
    <w:rsid w:val="004A0F52"/>
    <w:rsid w:val="004A2FBB"/>
    <w:rsid w:val="004A3964"/>
    <w:rsid w:val="004A4656"/>
    <w:rsid w:val="004A65D4"/>
    <w:rsid w:val="004B31DC"/>
    <w:rsid w:val="004C18B6"/>
    <w:rsid w:val="004C2AC1"/>
    <w:rsid w:val="004C528D"/>
    <w:rsid w:val="004C5992"/>
    <w:rsid w:val="004C7321"/>
    <w:rsid w:val="004D05F1"/>
    <w:rsid w:val="004D6446"/>
    <w:rsid w:val="004D6B75"/>
    <w:rsid w:val="004D7E04"/>
    <w:rsid w:val="004E40B5"/>
    <w:rsid w:val="004E4546"/>
    <w:rsid w:val="004E56A8"/>
    <w:rsid w:val="004F011D"/>
    <w:rsid w:val="004F52F3"/>
    <w:rsid w:val="004F7ECA"/>
    <w:rsid w:val="00503642"/>
    <w:rsid w:val="005042FE"/>
    <w:rsid w:val="005065CD"/>
    <w:rsid w:val="00506A09"/>
    <w:rsid w:val="005109B1"/>
    <w:rsid w:val="00511811"/>
    <w:rsid w:val="00513E30"/>
    <w:rsid w:val="00514698"/>
    <w:rsid w:val="005167BE"/>
    <w:rsid w:val="00516D2F"/>
    <w:rsid w:val="005203A5"/>
    <w:rsid w:val="00520BC9"/>
    <w:rsid w:val="00521AFD"/>
    <w:rsid w:val="00523770"/>
    <w:rsid w:val="00523F05"/>
    <w:rsid w:val="00524B3A"/>
    <w:rsid w:val="00526BAB"/>
    <w:rsid w:val="00530DAD"/>
    <w:rsid w:val="00530E04"/>
    <w:rsid w:val="00531108"/>
    <w:rsid w:val="0053112F"/>
    <w:rsid w:val="00532C01"/>
    <w:rsid w:val="00533CFD"/>
    <w:rsid w:val="00537D1B"/>
    <w:rsid w:val="005408CD"/>
    <w:rsid w:val="00540F8D"/>
    <w:rsid w:val="00541670"/>
    <w:rsid w:val="00542194"/>
    <w:rsid w:val="00543A71"/>
    <w:rsid w:val="00544F69"/>
    <w:rsid w:val="00553970"/>
    <w:rsid w:val="00555D3B"/>
    <w:rsid w:val="005570B3"/>
    <w:rsid w:val="005653D1"/>
    <w:rsid w:val="00565C91"/>
    <w:rsid w:val="00566944"/>
    <w:rsid w:val="00566B36"/>
    <w:rsid w:val="005679E2"/>
    <w:rsid w:val="00580397"/>
    <w:rsid w:val="005829D6"/>
    <w:rsid w:val="00583D61"/>
    <w:rsid w:val="00585352"/>
    <w:rsid w:val="005857E5"/>
    <w:rsid w:val="00586105"/>
    <w:rsid w:val="0058683B"/>
    <w:rsid w:val="00587164"/>
    <w:rsid w:val="0058752A"/>
    <w:rsid w:val="0058782F"/>
    <w:rsid w:val="00587B6B"/>
    <w:rsid w:val="00590014"/>
    <w:rsid w:val="0059133D"/>
    <w:rsid w:val="0059141B"/>
    <w:rsid w:val="0059236A"/>
    <w:rsid w:val="0059247C"/>
    <w:rsid w:val="005952EE"/>
    <w:rsid w:val="005A06ED"/>
    <w:rsid w:val="005A1A0E"/>
    <w:rsid w:val="005A23AE"/>
    <w:rsid w:val="005B0CB3"/>
    <w:rsid w:val="005B3648"/>
    <w:rsid w:val="005B4104"/>
    <w:rsid w:val="005B6CD2"/>
    <w:rsid w:val="005B735A"/>
    <w:rsid w:val="005C2A65"/>
    <w:rsid w:val="005C31EB"/>
    <w:rsid w:val="005C5F83"/>
    <w:rsid w:val="005C6EFE"/>
    <w:rsid w:val="005D017A"/>
    <w:rsid w:val="005D1CDA"/>
    <w:rsid w:val="005D59E0"/>
    <w:rsid w:val="005D7D28"/>
    <w:rsid w:val="005E0CBA"/>
    <w:rsid w:val="005E1657"/>
    <w:rsid w:val="005E3163"/>
    <w:rsid w:val="005E340B"/>
    <w:rsid w:val="005E5657"/>
    <w:rsid w:val="005F0131"/>
    <w:rsid w:val="005F3BE4"/>
    <w:rsid w:val="00602EF7"/>
    <w:rsid w:val="006042BF"/>
    <w:rsid w:val="0060533D"/>
    <w:rsid w:val="00606CB9"/>
    <w:rsid w:val="00607553"/>
    <w:rsid w:val="00620DDD"/>
    <w:rsid w:val="00624CA0"/>
    <w:rsid w:val="0062716F"/>
    <w:rsid w:val="006272E6"/>
    <w:rsid w:val="006305D9"/>
    <w:rsid w:val="006325F5"/>
    <w:rsid w:val="00634625"/>
    <w:rsid w:val="006353DA"/>
    <w:rsid w:val="00636A32"/>
    <w:rsid w:val="0063710E"/>
    <w:rsid w:val="006425FE"/>
    <w:rsid w:val="006426B2"/>
    <w:rsid w:val="00642DCF"/>
    <w:rsid w:val="00646950"/>
    <w:rsid w:val="00646F71"/>
    <w:rsid w:val="006562F7"/>
    <w:rsid w:val="006569D5"/>
    <w:rsid w:val="00660F7C"/>
    <w:rsid w:val="00664CA0"/>
    <w:rsid w:val="00672F92"/>
    <w:rsid w:val="006773A9"/>
    <w:rsid w:val="006807D4"/>
    <w:rsid w:val="00682319"/>
    <w:rsid w:val="00683BCA"/>
    <w:rsid w:val="00685FB3"/>
    <w:rsid w:val="0068624C"/>
    <w:rsid w:val="00686F86"/>
    <w:rsid w:val="00690D45"/>
    <w:rsid w:val="006916F9"/>
    <w:rsid w:val="00692DF3"/>
    <w:rsid w:val="00693387"/>
    <w:rsid w:val="006936CF"/>
    <w:rsid w:val="00694178"/>
    <w:rsid w:val="00695230"/>
    <w:rsid w:val="00695C19"/>
    <w:rsid w:val="006A334F"/>
    <w:rsid w:val="006A3666"/>
    <w:rsid w:val="006A4E81"/>
    <w:rsid w:val="006A5D01"/>
    <w:rsid w:val="006B2371"/>
    <w:rsid w:val="006B300B"/>
    <w:rsid w:val="006B5040"/>
    <w:rsid w:val="006B685F"/>
    <w:rsid w:val="006B722B"/>
    <w:rsid w:val="006C0998"/>
    <w:rsid w:val="006D0C11"/>
    <w:rsid w:val="006D43B9"/>
    <w:rsid w:val="006D538C"/>
    <w:rsid w:val="006E1989"/>
    <w:rsid w:val="006E4F32"/>
    <w:rsid w:val="006E4F88"/>
    <w:rsid w:val="006E5D16"/>
    <w:rsid w:val="006F03D1"/>
    <w:rsid w:val="006F0B30"/>
    <w:rsid w:val="006F2C3E"/>
    <w:rsid w:val="006F6BEE"/>
    <w:rsid w:val="006F70D4"/>
    <w:rsid w:val="0070040B"/>
    <w:rsid w:val="00701DC8"/>
    <w:rsid w:val="00704BED"/>
    <w:rsid w:val="007056EA"/>
    <w:rsid w:val="00706FE7"/>
    <w:rsid w:val="00712441"/>
    <w:rsid w:val="0071579B"/>
    <w:rsid w:val="0072089A"/>
    <w:rsid w:val="007221E3"/>
    <w:rsid w:val="00722E2E"/>
    <w:rsid w:val="00723018"/>
    <w:rsid w:val="00725CB6"/>
    <w:rsid w:val="0072656A"/>
    <w:rsid w:val="00726A1D"/>
    <w:rsid w:val="0072707B"/>
    <w:rsid w:val="007277ED"/>
    <w:rsid w:val="00727FDE"/>
    <w:rsid w:val="00732F64"/>
    <w:rsid w:val="0073403B"/>
    <w:rsid w:val="0073552B"/>
    <w:rsid w:val="0073632D"/>
    <w:rsid w:val="007373D5"/>
    <w:rsid w:val="00740D72"/>
    <w:rsid w:val="007413C1"/>
    <w:rsid w:val="00742DAE"/>
    <w:rsid w:val="0074460B"/>
    <w:rsid w:val="007465D6"/>
    <w:rsid w:val="0074765E"/>
    <w:rsid w:val="007509CF"/>
    <w:rsid w:val="0075583C"/>
    <w:rsid w:val="00755D49"/>
    <w:rsid w:val="007572B5"/>
    <w:rsid w:val="00760591"/>
    <w:rsid w:val="0076359B"/>
    <w:rsid w:val="0076429C"/>
    <w:rsid w:val="007817E6"/>
    <w:rsid w:val="00784D0C"/>
    <w:rsid w:val="00786693"/>
    <w:rsid w:val="007866B1"/>
    <w:rsid w:val="007A3E19"/>
    <w:rsid w:val="007A709E"/>
    <w:rsid w:val="007B2B49"/>
    <w:rsid w:val="007B5013"/>
    <w:rsid w:val="007B65A2"/>
    <w:rsid w:val="007B682F"/>
    <w:rsid w:val="007B773C"/>
    <w:rsid w:val="007C0337"/>
    <w:rsid w:val="007C0B45"/>
    <w:rsid w:val="007C1F57"/>
    <w:rsid w:val="007D1555"/>
    <w:rsid w:val="007D3E87"/>
    <w:rsid w:val="007E20FA"/>
    <w:rsid w:val="007E7BD7"/>
    <w:rsid w:val="007F16FE"/>
    <w:rsid w:val="007F542D"/>
    <w:rsid w:val="007F559F"/>
    <w:rsid w:val="007F78C6"/>
    <w:rsid w:val="0080087C"/>
    <w:rsid w:val="008073C8"/>
    <w:rsid w:val="00811A94"/>
    <w:rsid w:val="00812C8E"/>
    <w:rsid w:val="00812FE7"/>
    <w:rsid w:val="0081392A"/>
    <w:rsid w:val="00815DEC"/>
    <w:rsid w:val="00817871"/>
    <w:rsid w:val="0082226E"/>
    <w:rsid w:val="008226CC"/>
    <w:rsid w:val="00824272"/>
    <w:rsid w:val="00824E22"/>
    <w:rsid w:val="008305D2"/>
    <w:rsid w:val="00832D48"/>
    <w:rsid w:val="00834F60"/>
    <w:rsid w:val="00835248"/>
    <w:rsid w:val="00845DF6"/>
    <w:rsid w:val="0084705B"/>
    <w:rsid w:val="00851214"/>
    <w:rsid w:val="00854C9B"/>
    <w:rsid w:val="008553D2"/>
    <w:rsid w:val="0085793D"/>
    <w:rsid w:val="00862E95"/>
    <w:rsid w:val="008733E9"/>
    <w:rsid w:val="00873780"/>
    <w:rsid w:val="00874669"/>
    <w:rsid w:val="008750E7"/>
    <w:rsid w:val="00880182"/>
    <w:rsid w:val="008813B4"/>
    <w:rsid w:val="00885B71"/>
    <w:rsid w:val="008860DD"/>
    <w:rsid w:val="0089123F"/>
    <w:rsid w:val="0089412C"/>
    <w:rsid w:val="00894FA5"/>
    <w:rsid w:val="00895F9A"/>
    <w:rsid w:val="00897ABE"/>
    <w:rsid w:val="008A1539"/>
    <w:rsid w:val="008A22DC"/>
    <w:rsid w:val="008A4114"/>
    <w:rsid w:val="008A474C"/>
    <w:rsid w:val="008A5371"/>
    <w:rsid w:val="008B1269"/>
    <w:rsid w:val="008C0F9C"/>
    <w:rsid w:val="008C39DF"/>
    <w:rsid w:val="008C6F08"/>
    <w:rsid w:val="008D45E9"/>
    <w:rsid w:val="008D511E"/>
    <w:rsid w:val="008D5781"/>
    <w:rsid w:val="008E3D53"/>
    <w:rsid w:val="008F12F5"/>
    <w:rsid w:val="008F20F1"/>
    <w:rsid w:val="008F2395"/>
    <w:rsid w:val="008F355C"/>
    <w:rsid w:val="008F3C3C"/>
    <w:rsid w:val="008F6391"/>
    <w:rsid w:val="008F7289"/>
    <w:rsid w:val="008F7E68"/>
    <w:rsid w:val="00900E44"/>
    <w:rsid w:val="00902402"/>
    <w:rsid w:val="00912EA4"/>
    <w:rsid w:val="00913369"/>
    <w:rsid w:val="009139DA"/>
    <w:rsid w:val="00916DE9"/>
    <w:rsid w:val="00917ACD"/>
    <w:rsid w:val="00917DBD"/>
    <w:rsid w:val="00920673"/>
    <w:rsid w:val="00920F64"/>
    <w:rsid w:val="00921811"/>
    <w:rsid w:val="0093056E"/>
    <w:rsid w:val="0093212C"/>
    <w:rsid w:val="00936DD4"/>
    <w:rsid w:val="00942D67"/>
    <w:rsid w:val="009458A1"/>
    <w:rsid w:val="00945B7E"/>
    <w:rsid w:val="0095051B"/>
    <w:rsid w:val="00954FE3"/>
    <w:rsid w:val="00960130"/>
    <w:rsid w:val="00960239"/>
    <w:rsid w:val="00960C86"/>
    <w:rsid w:val="0096366B"/>
    <w:rsid w:val="0096417D"/>
    <w:rsid w:val="00971779"/>
    <w:rsid w:val="00974DDF"/>
    <w:rsid w:val="00976F05"/>
    <w:rsid w:val="00983CC4"/>
    <w:rsid w:val="00984139"/>
    <w:rsid w:val="009841A9"/>
    <w:rsid w:val="0098512E"/>
    <w:rsid w:val="00990D6B"/>
    <w:rsid w:val="00991493"/>
    <w:rsid w:val="0099247A"/>
    <w:rsid w:val="009951AA"/>
    <w:rsid w:val="00996E56"/>
    <w:rsid w:val="009A0806"/>
    <w:rsid w:val="009A3A1E"/>
    <w:rsid w:val="009A4869"/>
    <w:rsid w:val="009A5EB0"/>
    <w:rsid w:val="009A7369"/>
    <w:rsid w:val="009B2436"/>
    <w:rsid w:val="009B6643"/>
    <w:rsid w:val="009B7F8F"/>
    <w:rsid w:val="009C13E1"/>
    <w:rsid w:val="009C17B8"/>
    <w:rsid w:val="009C2EF9"/>
    <w:rsid w:val="009C5E94"/>
    <w:rsid w:val="009C6238"/>
    <w:rsid w:val="009C62D6"/>
    <w:rsid w:val="009C778D"/>
    <w:rsid w:val="009D3EDD"/>
    <w:rsid w:val="009D7A4E"/>
    <w:rsid w:val="009E051B"/>
    <w:rsid w:val="009E1DF9"/>
    <w:rsid w:val="009E27AA"/>
    <w:rsid w:val="009E456B"/>
    <w:rsid w:val="009E5B76"/>
    <w:rsid w:val="009E5BA6"/>
    <w:rsid w:val="009E5D8D"/>
    <w:rsid w:val="009E7580"/>
    <w:rsid w:val="009E7DA0"/>
    <w:rsid w:val="009F661F"/>
    <w:rsid w:val="009F7DFE"/>
    <w:rsid w:val="00A00002"/>
    <w:rsid w:val="00A0041F"/>
    <w:rsid w:val="00A02662"/>
    <w:rsid w:val="00A03D56"/>
    <w:rsid w:val="00A06BB8"/>
    <w:rsid w:val="00A07896"/>
    <w:rsid w:val="00A104B6"/>
    <w:rsid w:val="00A14732"/>
    <w:rsid w:val="00A15EC1"/>
    <w:rsid w:val="00A1676F"/>
    <w:rsid w:val="00A1726E"/>
    <w:rsid w:val="00A206BA"/>
    <w:rsid w:val="00A21EA6"/>
    <w:rsid w:val="00A21F43"/>
    <w:rsid w:val="00A22387"/>
    <w:rsid w:val="00A2370E"/>
    <w:rsid w:val="00A245C9"/>
    <w:rsid w:val="00A26B16"/>
    <w:rsid w:val="00A331A1"/>
    <w:rsid w:val="00A34E41"/>
    <w:rsid w:val="00A352CF"/>
    <w:rsid w:val="00A3661A"/>
    <w:rsid w:val="00A41256"/>
    <w:rsid w:val="00A42604"/>
    <w:rsid w:val="00A42B37"/>
    <w:rsid w:val="00A43037"/>
    <w:rsid w:val="00A43D9D"/>
    <w:rsid w:val="00A443B3"/>
    <w:rsid w:val="00A46116"/>
    <w:rsid w:val="00A50B4C"/>
    <w:rsid w:val="00A50DB9"/>
    <w:rsid w:val="00A513DA"/>
    <w:rsid w:val="00A524E9"/>
    <w:rsid w:val="00A530AA"/>
    <w:rsid w:val="00A556A1"/>
    <w:rsid w:val="00A56BBC"/>
    <w:rsid w:val="00A65854"/>
    <w:rsid w:val="00A71866"/>
    <w:rsid w:val="00A74607"/>
    <w:rsid w:val="00A76FC6"/>
    <w:rsid w:val="00A80142"/>
    <w:rsid w:val="00A833EA"/>
    <w:rsid w:val="00A843B0"/>
    <w:rsid w:val="00A8491D"/>
    <w:rsid w:val="00A940D6"/>
    <w:rsid w:val="00A94BFB"/>
    <w:rsid w:val="00A953D1"/>
    <w:rsid w:val="00AA23D0"/>
    <w:rsid w:val="00AA2486"/>
    <w:rsid w:val="00AA52C9"/>
    <w:rsid w:val="00AA67FE"/>
    <w:rsid w:val="00AB197F"/>
    <w:rsid w:val="00AB3C86"/>
    <w:rsid w:val="00AC06EC"/>
    <w:rsid w:val="00AC171C"/>
    <w:rsid w:val="00AC1A38"/>
    <w:rsid w:val="00AD0B6D"/>
    <w:rsid w:val="00AD2324"/>
    <w:rsid w:val="00AD3255"/>
    <w:rsid w:val="00AD48B0"/>
    <w:rsid w:val="00AD5DC5"/>
    <w:rsid w:val="00AD6266"/>
    <w:rsid w:val="00AE0038"/>
    <w:rsid w:val="00AE0E17"/>
    <w:rsid w:val="00AE172D"/>
    <w:rsid w:val="00AE1C9A"/>
    <w:rsid w:val="00AE7486"/>
    <w:rsid w:val="00AF2113"/>
    <w:rsid w:val="00AF52D2"/>
    <w:rsid w:val="00AF5FD1"/>
    <w:rsid w:val="00B029A3"/>
    <w:rsid w:val="00B04397"/>
    <w:rsid w:val="00B0524E"/>
    <w:rsid w:val="00B052ED"/>
    <w:rsid w:val="00B057CD"/>
    <w:rsid w:val="00B07268"/>
    <w:rsid w:val="00B103C5"/>
    <w:rsid w:val="00B11B3E"/>
    <w:rsid w:val="00B13E7F"/>
    <w:rsid w:val="00B148EC"/>
    <w:rsid w:val="00B225AF"/>
    <w:rsid w:val="00B23D9C"/>
    <w:rsid w:val="00B26341"/>
    <w:rsid w:val="00B2642A"/>
    <w:rsid w:val="00B32413"/>
    <w:rsid w:val="00B33204"/>
    <w:rsid w:val="00B3346E"/>
    <w:rsid w:val="00B35CA4"/>
    <w:rsid w:val="00B36E08"/>
    <w:rsid w:val="00B44741"/>
    <w:rsid w:val="00B45587"/>
    <w:rsid w:val="00B45F8B"/>
    <w:rsid w:val="00B46C23"/>
    <w:rsid w:val="00B5149E"/>
    <w:rsid w:val="00B52D6C"/>
    <w:rsid w:val="00B57881"/>
    <w:rsid w:val="00B631A2"/>
    <w:rsid w:val="00B66EC2"/>
    <w:rsid w:val="00B727B4"/>
    <w:rsid w:val="00B74880"/>
    <w:rsid w:val="00B763BC"/>
    <w:rsid w:val="00B810DE"/>
    <w:rsid w:val="00B86526"/>
    <w:rsid w:val="00B90764"/>
    <w:rsid w:val="00B91540"/>
    <w:rsid w:val="00B920B0"/>
    <w:rsid w:val="00B928C3"/>
    <w:rsid w:val="00B960A8"/>
    <w:rsid w:val="00B96546"/>
    <w:rsid w:val="00BA2A28"/>
    <w:rsid w:val="00BA4D12"/>
    <w:rsid w:val="00BA5B16"/>
    <w:rsid w:val="00BB1D88"/>
    <w:rsid w:val="00BB2717"/>
    <w:rsid w:val="00BB2EA2"/>
    <w:rsid w:val="00BB5BBF"/>
    <w:rsid w:val="00BC2801"/>
    <w:rsid w:val="00BC2879"/>
    <w:rsid w:val="00BC2D02"/>
    <w:rsid w:val="00BC4D18"/>
    <w:rsid w:val="00BC5C96"/>
    <w:rsid w:val="00BD0CE0"/>
    <w:rsid w:val="00BD2509"/>
    <w:rsid w:val="00BD2B60"/>
    <w:rsid w:val="00BD3C3E"/>
    <w:rsid w:val="00BD4403"/>
    <w:rsid w:val="00BD5D94"/>
    <w:rsid w:val="00BD7643"/>
    <w:rsid w:val="00BD7E46"/>
    <w:rsid w:val="00BF0020"/>
    <w:rsid w:val="00BF108D"/>
    <w:rsid w:val="00BF1B26"/>
    <w:rsid w:val="00BF2035"/>
    <w:rsid w:val="00BF2D80"/>
    <w:rsid w:val="00BF40BC"/>
    <w:rsid w:val="00BF60E0"/>
    <w:rsid w:val="00BF65CB"/>
    <w:rsid w:val="00BF7EA2"/>
    <w:rsid w:val="00C0045C"/>
    <w:rsid w:val="00C025F9"/>
    <w:rsid w:val="00C0382F"/>
    <w:rsid w:val="00C03FC3"/>
    <w:rsid w:val="00C041B5"/>
    <w:rsid w:val="00C07751"/>
    <w:rsid w:val="00C07936"/>
    <w:rsid w:val="00C11BB2"/>
    <w:rsid w:val="00C13FAB"/>
    <w:rsid w:val="00C14680"/>
    <w:rsid w:val="00C163C8"/>
    <w:rsid w:val="00C2146A"/>
    <w:rsid w:val="00C2279D"/>
    <w:rsid w:val="00C24817"/>
    <w:rsid w:val="00C265E9"/>
    <w:rsid w:val="00C2710A"/>
    <w:rsid w:val="00C27643"/>
    <w:rsid w:val="00C27DD3"/>
    <w:rsid w:val="00C30B8E"/>
    <w:rsid w:val="00C33339"/>
    <w:rsid w:val="00C35814"/>
    <w:rsid w:val="00C407A0"/>
    <w:rsid w:val="00C41FE5"/>
    <w:rsid w:val="00C46726"/>
    <w:rsid w:val="00C51A15"/>
    <w:rsid w:val="00C52EDD"/>
    <w:rsid w:val="00C56DE0"/>
    <w:rsid w:val="00C62B04"/>
    <w:rsid w:val="00C641F1"/>
    <w:rsid w:val="00C70108"/>
    <w:rsid w:val="00C73100"/>
    <w:rsid w:val="00C73A74"/>
    <w:rsid w:val="00C86C9A"/>
    <w:rsid w:val="00C87384"/>
    <w:rsid w:val="00C97806"/>
    <w:rsid w:val="00CA30F7"/>
    <w:rsid w:val="00CA61EE"/>
    <w:rsid w:val="00CA734A"/>
    <w:rsid w:val="00CB1128"/>
    <w:rsid w:val="00CB5684"/>
    <w:rsid w:val="00CB5A55"/>
    <w:rsid w:val="00CC12CE"/>
    <w:rsid w:val="00CC205D"/>
    <w:rsid w:val="00CC3198"/>
    <w:rsid w:val="00CC6494"/>
    <w:rsid w:val="00CC6E63"/>
    <w:rsid w:val="00CD136B"/>
    <w:rsid w:val="00CD1ED2"/>
    <w:rsid w:val="00CD56D6"/>
    <w:rsid w:val="00CD653B"/>
    <w:rsid w:val="00CE1037"/>
    <w:rsid w:val="00CE1227"/>
    <w:rsid w:val="00CE18F0"/>
    <w:rsid w:val="00CE2F68"/>
    <w:rsid w:val="00CE425F"/>
    <w:rsid w:val="00CE4508"/>
    <w:rsid w:val="00CE7C03"/>
    <w:rsid w:val="00CF022D"/>
    <w:rsid w:val="00CF4347"/>
    <w:rsid w:val="00CF4EAB"/>
    <w:rsid w:val="00CF5185"/>
    <w:rsid w:val="00D00919"/>
    <w:rsid w:val="00D01F26"/>
    <w:rsid w:val="00D03DC7"/>
    <w:rsid w:val="00D06BCE"/>
    <w:rsid w:val="00D104FC"/>
    <w:rsid w:val="00D11EDA"/>
    <w:rsid w:val="00D13570"/>
    <w:rsid w:val="00D13969"/>
    <w:rsid w:val="00D13D59"/>
    <w:rsid w:val="00D160FD"/>
    <w:rsid w:val="00D16FED"/>
    <w:rsid w:val="00D20B8D"/>
    <w:rsid w:val="00D244C8"/>
    <w:rsid w:val="00D328BA"/>
    <w:rsid w:val="00D33B7C"/>
    <w:rsid w:val="00D34431"/>
    <w:rsid w:val="00D35274"/>
    <w:rsid w:val="00D4070D"/>
    <w:rsid w:val="00D41223"/>
    <w:rsid w:val="00D41377"/>
    <w:rsid w:val="00D426C8"/>
    <w:rsid w:val="00D45D5A"/>
    <w:rsid w:val="00D4799B"/>
    <w:rsid w:val="00D533CA"/>
    <w:rsid w:val="00D54361"/>
    <w:rsid w:val="00D5516C"/>
    <w:rsid w:val="00D573ED"/>
    <w:rsid w:val="00D60189"/>
    <w:rsid w:val="00D64CA7"/>
    <w:rsid w:val="00D657F2"/>
    <w:rsid w:val="00D65BFA"/>
    <w:rsid w:val="00D670CE"/>
    <w:rsid w:val="00D67AB7"/>
    <w:rsid w:val="00D71FD9"/>
    <w:rsid w:val="00D72529"/>
    <w:rsid w:val="00D742EC"/>
    <w:rsid w:val="00D81AA7"/>
    <w:rsid w:val="00D8685D"/>
    <w:rsid w:val="00D92024"/>
    <w:rsid w:val="00D92923"/>
    <w:rsid w:val="00D92AF8"/>
    <w:rsid w:val="00D93560"/>
    <w:rsid w:val="00D960AB"/>
    <w:rsid w:val="00D966FA"/>
    <w:rsid w:val="00DA2635"/>
    <w:rsid w:val="00DB0874"/>
    <w:rsid w:val="00DB30FF"/>
    <w:rsid w:val="00DB3118"/>
    <w:rsid w:val="00DB4A15"/>
    <w:rsid w:val="00DB7008"/>
    <w:rsid w:val="00DC030E"/>
    <w:rsid w:val="00DC7CE5"/>
    <w:rsid w:val="00DD137B"/>
    <w:rsid w:val="00DD2481"/>
    <w:rsid w:val="00DD36AE"/>
    <w:rsid w:val="00DD42A1"/>
    <w:rsid w:val="00DD6BF3"/>
    <w:rsid w:val="00DE27A9"/>
    <w:rsid w:val="00DE7783"/>
    <w:rsid w:val="00DF6347"/>
    <w:rsid w:val="00DF75FB"/>
    <w:rsid w:val="00E009C0"/>
    <w:rsid w:val="00E05A39"/>
    <w:rsid w:val="00E07C82"/>
    <w:rsid w:val="00E126E0"/>
    <w:rsid w:val="00E138DF"/>
    <w:rsid w:val="00E14304"/>
    <w:rsid w:val="00E156EF"/>
    <w:rsid w:val="00E201D6"/>
    <w:rsid w:val="00E24752"/>
    <w:rsid w:val="00E27516"/>
    <w:rsid w:val="00E27A52"/>
    <w:rsid w:val="00E30BCB"/>
    <w:rsid w:val="00E3165F"/>
    <w:rsid w:val="00E3181E"/>
    <w:rsid w:val="00E32B26"/>
    <w:rsid w:val="00E351C6"/>
    <w:rsid w:val="00E35F15"/>
    <w:rsid w:val="00E361C4"/>
    <w:rsid w:val="00E36D1E"/>
    <w:rsid w:val="00E40C1E"/>
    <w:rsid w:val="00E41F36"/>
    <w:rsid w:val="00E430F5"/>
    <w:rsid w:val="00E45A36"/>
    <w:rsid w:val="00E50D22"/>
    <w:rsid w:val="00E54515"/>
    <w:rsid w:val="00E56384"/>
    <w:rsid w:val="00E605EB"/>
    <w:rsid w:val="00E61861"/>
    <w:rsid w:val="00E66393"/>
    <w:rsid w:val="00E7097F"/>
    <w:rsid w:val="00E70A62"/>
    <w:rsid w:val="00E72360"/>
    <w:rsid w:val="00E72608"/>
    <w:rsid w:val="00E73024"/>
    <w:rsid w:val="00E7389A"/>
    <w:rsid w:val="00E73940"/>
    <w:rsid w:val="00E81B0D"/>
    <w:rsid w:val="00E86BA4"/>
    <w:rsid w:val="00E900B4"/>
    <w:rsid w:val="00E93057"/>
    <w:rsid w:val="00E96B60"/>
    <w:rsid w:val="00E9774D"/>
    <w:rsid w:val="00EA0533"/>
    <w:rsid w:val="00EA5A9A"/>
    <w:rsid w:val="00EA5FA4"/>
    <w:rsid w:val="00EA6C4A"/>
    <w:rsid w:val="00EA6F0D"/>
    <w:rsid w:val="00EB3CCB"/>
    <w:rsid w:val="00EB3E04"/>
    <w:rsid w:val="00EB6F76"/>
    <w:rsid w:val="00EC541F"/>
    <w:rsid w:val="00EC72D9"/>
    <w:rsid w:val="00ED1549"/>
    <w:rsid w:val="00ED594D"/>
    <w:rsid w:val="00EE06D6"/>
    <w:rsid w:val="00EE0F2C"/>
    <w:rsid w:val="00EE1BCC"/>
    <w:rsid w:val="00EE4222"/>
    <w:rsid w:val="00EE66A9"/>
    <w:rsid w:val="00EF1E0E"/>
    <w:rsid w:val="00EF49BF"/>
    <w:rsid w:val="00EF6100"/>
    <w:rsid w:val="00EF65A4"/>
    <w:rsid w:val="00EF6801"/>
    <w:rsid w:val="00F01B10"/>
    <w:rsid w:val="00F03285"/>
    <w:rsid w:val="00F053C9"/>
    <w:rsid w:val="00F069BC"/>
    <w:rsid w:val="00F06BD9"/>
    <w:rsid w:val="00F074F9"/>
    <w:rsid w:val="00F100B4"/>
    <w:rsid w:val="00F11B8D"/>
    <w:rsid w:val="00F12B25"/>
    <w:rsid w:val="00F144DD"/>
    <w:rsid w:val="00F204D1"/>
    <w:rsid w:val="00F232CB"/>
    <w:rsid w:val="00F279D8"/>
    <w:rsid w:val="00F3269B"/>
    <w:rsid w:val="00F35016"/>
    <w:rsid w:val="00F35A71"/>
    <w:rsid w:val="00F35D67"/>
    <w:rsid w:val="00F366B2"/>
    <w:rsid w:val="00F41D80"/>
    <w:rsid w:val="00F42D2A"/>
    <w:rsid w:val="00F434C9"/>
    <w:rsid w:val="00F50397"/>
    <w:rsid w:val="00F523C7"/>
    <w:rsid w:val="00F5449F"/>
    <w:rsid w:val="00F5555C"/>
    <w:rsid w:val="00F555B9"/>
    <w:rsid w:val="00F62307"/>
    <w:rsid w:val="00F64AF6"/>
    <w:rsid w:val="00F6643D"/>
    <w:rsid w:val="00F67CD4"/>
    <w:rsid w:val="00F71834"/>
    <w:rsid w:val="00F774F4"/>
    <w:rsid w:val="00F81203"/>
    <w:rsid w:val="00F84263"/>
    <w:rsid w:val="00F8509D"/>
    <w:rsid w:val="00F90AFA"/>
    <w:rsid w:val="00F934C6"/>
    <w:rsid w:val="00F94FB7"/>
    <w:rsid w:val="00FA2704"/>
    <w:rsid w:val="00FA2936"/>
    <w:rsid w:val="00FA2D87"/>
    <w:rsid w:val="00FA34A2"/>
    <w:rsid w:val="00FA4CE5"/>
    <w:rsid w:val="00FA52CD"/>
    <w:rsid w:val="00FA5FC3"/>
    <w:rsid w:val="00FA6F61"/>
    <w:rsid w:val="00FB0681"/>
    <w:rsid w:val="00FB3953"/>
    <w:rsid w:val="00FB4F68"/>
    <w:rsid w:val="00FC243C"/>
    <w:rsid w:val="00FC33A0"/>
    <w:rsid w:val="00FC41BC"/>
    <w:rsid w:val="00FC680B"/>
    <w:rsid w:val="00FC6CEE"/>
    <w:rsid w:val="00FC74D2"/>
    <w:rsid w:val="00FD3A4F"/>
    <w:rsid w:val="00FD73CB"/>
    <w:rsid w:val="00FE1EFB"/>
    <w:rsid w:val="00FE30F5"/>
    <w:rsid w:val="00FE3E1B"/>
    <w:rsid w:val="00FE6560"/>
    <w:rsid w:val="00FE7244"/>
    <w:rsid w:val="00FE73B5"/>
    <w:rsid w:val="00FF0440"/>
    <w:rsid w:val="00FF1065"/>
    <w:rsid w:val="00FF204B"/>
    <w:rsid w:val="00FF4109"/>
    <w:rsid w:val="00FF606F"/>
    <w:rsid w:val="00FF6183"/>
    <w:rsid w:val="01596760"/>
    <w:rsid w:val="031E1A5E"/>
    <w:rsid w:val="05A21250"/>
    <w:rsid w:val="060431CB"/>
    <w:rsid w:val="06FEA8C6"/>
    <w:rsid w:val="09034191"/>
    <w:rsid w:val="0B9424F8"/>
    <w:rsid w:val="0C515A4F"/>
    <w:rsid w:val="0F1640E4"/>
    <w:rsid w:val="107B46CF"/>
    <w:rsid w:val="1093E42B"/>
    <w:rsid w:val="126778B7"/>
    <w:rsid w:val="13D441F3"/>
    <w:rsid w:val="140D4A1D"/>
    <w:rsid w:val="153012E7"/>
    <w:rsid w:val="15AC37FE"/>
    <w:rsid w:val="17FF01B9"/>
    <w:rsid w:val="1A1830AA"/>
    <w:rsid w:val="1A616CE9"/>
    <w:rsid w:val="1A665EDB"/>
    <w:rsid w:val="1B031DD3"/>
    <w:rsid w:val="1C4679D8"/>
    <w:rsid w:val="1C6C6768"/>
    <w:rsid w:val="1FE36B54"/>
    <w:rsid w:val="20C21D55"/>
    <w:rsid w:val="21B55707"/>
    <w:rsid w:val="21DD9906"/>
    <w:rsid w:val="237907F8"/>
    <w:rsid w:val="23FDCDE6"/>
    <w:rsid w:val="24024E11"/>
    <w:rsid w:val="254961FB"/>
    <w:rsid w:val="25BA39A9"/>
    <w:rsid w:val="277F7CDE"/>
    <w:rsid w:val="287D56C1"/>
    <w:rsid w:val="28CC757A"/>
    <w:rsid w:val="29B25584"/>
    <w:rsid w:val="2CB80A19"/>
    <w:rsid w:val="2EFF8576"/>
    <w:rsid w:val="2FEA115F"/>
    <w:rsid w:val="30040A18"/>
    <w:rsid w:val="314840B2"/>
    <w:rsid w:val="31E81F8A"/>
    <w:rsid w:val="322A5122"/>
    <w:rsid w:val="32940EC6"/>
    <w:rsid w:val="33817B88"/>
    <w:rsid w:val="35DC4AD2"/>
    <w:rsid w:val="362769E5"/>
    <w:rsid w:val="378C6703"/>
    <w:rsid w:val="3B015D28"/>
    <w:rsid w:val="3C3D7A21"/>
    <w:rsid w:val="3E7E125E"/>
    <w:rsid w:val="3EF203C9"/>
    <w:rsid w:val="3EF2669F"/>
    <w:rsid w:val="3EFF6407"/>
    <w:rsid w:val="3FEED631"/>
    <w:rsid w:val="3FF7E9B0"/>
    <w:rsid w:val="426E3807"/>
    <w:rsid w:val="428002D3"/>
    <w:rsid w:val="42F22806"/>
    <w:rsid w:val="43417D97"/>
    <w:rsid w:val="43C73760"/>
    <w:rsid w:val="46560983"/>
    <w:rsid w:val="47697F89"/>
    <w:rsid w:val="479313D3"/>
    <w:rsid w:val="47D35ED8"/>
    <w:rsid w:val="4BC46AFC"/>
    <w:rsid w:val="4BE24C6E"/>
    <w:rsid w:val="4CA22748"/>
    <w:rsid w:val="4D1D5A10"/>
    <w:rsid w:val="4DB37BBE"/>
    <w:rsid w:val="4DFC2F22"/>
    <w:rsid w:val="51C21C40"/>
    <w:rsid w:val="57ECC9E3"/>
    <w:rsid w:val="584B4273"/>
    <w:rsid w:val="58616BCB"/>
    <w:rsid w:val="5A754C37"/>
    <w:rsid w:val="5AEA2857"/>
    <w:rsid w:val="5C6235DD"/>
    <w:rsid w:val="5C771B50"/>
    <w:rsid w:val="5CF8563D"/>
    <w:rsid w:val="5D8101C3"/>
    <w:rsid w:val="5EDE2980"/>
    <w:rsid w:val="5EFB62F1"/>
    <w:rsid w:val="5F2219F8"/>
    <w:rsid w:val="5F2F22C4"/>
    <w:rsid w:val="5F4E6074"/>
    <w:rsid w:val="61320CF1"/>
    <w:rsid w:val="61A27479"/>
    <w:rsid w:val="629050D8"/>
    <w:rsid w:val="65E642E0"/>
    <w:rsid w:val="66C82940"/>
    <w:rsid w:val="66E2688F"/>
    <w:rsid w:val="675FAB75"/>
    <w:rsid w:val="679F24D2"/>
    <w:rsid w:val="67FBEFE5"/>
    <w:rsid w:val="689B4F15"/>
    <w:rsid w:val="6A515255"/>
    <w:rsid w:val="6B2B2FCE"/>
    <w:rsid w:val="6B7FE8D5"/>
    <w:rsid w:val="6EB27A39"/>
    <w:rsid w:val="6F0E6696"/>
    <w:rsid w:val="6F7F60EB"/>
    <w:rsid w:val="7236431B"/>
    <w:rsid w:val="724A21AA"/>
    <w:rsid w:val="72D751C8"/>
    <w:rsid w:val="734C4B4C"/>
    <w:rsid w:val="74E70E3A"/>
    <w:rsid w:val="75CC670A"/>
    <w:rsid w:val="76FB038D"/>
    <w:rsid w:val="788744E2"/>
    <w:rsid w:val="78EF6C1C"/>
    <w:rsid w:val="7A8D59D4"/>
    <w:rsid w:val="7B3B2021"/>
    <w:rsid w:val="7C4F172C"/>
    <w:rsid w:val="7CEE0D51"/>
    <w:rsid w:val="7D066685"/>
    <w:rsid w:val="7EAF6033"/>
    <w:rsid w:val="7ECF58A0"/>
    <w:rsid w:val="7EF97BE0"/>
    <w:rsid w:val="7FEDAAB5"/>
    <w:rsid w:val="7FEE4047"/>
    <w:rsid w:val="7FF61F26"/>
    <w:rsid w:val="8B37247F"/>
    <w:rsid w:val="BC6E9E64"/>
    <w:rsid w:val="BFBF48D4"/>
    <w:rsid w:val="BFC7598D"/>
    <w:rsid w:val="CF72C820"/>
    <w:rsid w:val="DABF73BE"/>
    <w:rsid w:val="DDFD1956"/>
    <w:rsid w:val="EBD19C18"/>
    <w:rsid w:val="EBFC3CB4"/>
    <w:rsid w:val="EF0F9590"/>
    <w:rsid w:val="F6A7B4BA"/>
    <w:rsid w:val="F977ABB2"/>
    <w:rsid w:val="FFDCDCD7"/>
    <w:rsid w:val="FFEE7227"/>
    <w:rsid w:val="FFEF9A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仿宋_GB2312"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5">
    <w:name w:val="heading 1"/>
    <w:basedOn w:val="1"/>
    <w:next w:val="1"/>
    <w:link w:val="26"/>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1"/>
    <w:semiHidden/>
    <w:unhideWhenUsed/>
    <w:qFormat/>
    <w:uiPriority w:val="9"/>
    <w:pPr>
      <w:keepNext/>
      <w:keepLines/>
      <w:spacing w:before="260" w:after="260" w:line="416" w:lineRule="auto"/>
      <w:outlineLvl w:val="2"/>
    </w:pPr>
    <w:rPr>
      <w:b/>
      <w:bCs/>
      <w:sz w:val="32"/>
      <w:szCs w:val="32"/>
    </w:rPr>
  </w:style>
  <w:style w:type="paragraph" w:styleId="8">
    <w:name w:val="heading 4"/>
    <w:basedOn w:val="1"/>
    <w:next w:val="1"/>
    <w:link w:val="37"/>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link w:val="41"/>
    <w:qFormat/>
    <w:uiPriority w:val="0"/>
    <w:pPr>
      <w:ind w:firstLine="420" w:firstLineChars="200"/>
    </w:pPr>
    <w:rPr>
      <w:rFonts w:ascii="Times New Roman" w:hAnsi="Times New Roman" w:eastAsia="仿宋_GB2312" w:cs="仿宋_GB2312"/>
      <w:sz w:val="32"/>
      <w:szCs w:val="24"/>
    </w:rPr>
  </w:style>
  <w:style w:type="paragraph" w:styleId="3">
    <w:name w:val="Body Text Indent"/>
    <w:basedOn w:val="1"/>
    <w:next w:val="4"/>
    <w:link w:val="40"/>
    <w:semiHidden/>
    <w:unhideWhenUsed/>
    <w:qFormat/>
    <w:uiPriority w:val="99"/>
    <w:pPr>
      <w:spacing w:after="120"/>
      <w:ind w:left="420" w:leftChars="200"/>
    </w:pPr>
  </w:style>
  <w:style w:type="paragraph" w:styleId="4">
    <w:name w:val="envelope return"/>
    <w:basedOn w:val="1"/>
    <w:qFormat/>
    <w:uiPriority w:val="0"/>
    <w:pPr>
      <w:snapToGrid w:val="0"/>
    </w:pPr>
    <w:rPr>
      <w:rFonts w:ascii="Arial" w:hAnsi="Arial"/>
    </w:rPr>
  </w:style>
  <w:style w:type="paragraph" w:styleId="9">
    <w:name w:val="annotation text"/>
    <w:basedOn w:val="1"/>
    <w:link w:val="47"/>
    <w:unhideWhenUsed/>
    <w:qFormat/>
    <w:uiPriority w:val="99"/>
    <w:pPr>
      <w:jc w:val="left"/>
    </w:pPr>
  </w:style>
  <w:style w:type="paragraph" w:styleId="10">
    <w:name w:val="Date"/>
    <w:basedOn w:val="1"/>
    <w:next w:val="1"/>
    <w:link w:val="34"/>
    <w:semiHidden/>
    <w:unhideWhenUsed/>
    <w:qFormat/>
    <w:uiPriority w:val="99"/>
    <w:pPr>
      <w:ind w:left="100" w:leftChars="2500"/>
    </w:pPr>
  </w:style>
  <w:style w:type="paragraph" w:styleId="11">
    <w:name w:val="Body Text Indent 2"/>
    <w:basedOn w:val="1"/>
    <w:unhideWhenUsed/>
    <w:qFormat/>
    <w:uiPriority w:val="99"/>
    <w:pPr>
      <w:spacing w:after="120" w:line="480" w:lineRule="auto"/>
      <w:ind w:left="420" w:leftChars="200"/>
    </w:pPr>
    <w:rPr>
      <w:szCs w:val="24"/>
    </w:rPr>
  </w:style>
  <w:style w:type="paragraph" w:styleId="12">
    <w:name w:val="footer"/>
    <w:basedOn w:val="1"/>
    <w:link w:val="28"/>
    <w:unhideWhenUsed/>
    <w:qFormat/>
    <w:uiPriority w:val="99"/>
    <w:pPr>
      <w:tabs>
        <w:tab w:val="center" w:pos="4153"/>
        <w:tab w:val="right" w:pos="8306"/>
      </w:tabs>
      <w:snapToGrid w:val="0"/>
      <w:jc w:val="left"/>
    </w:pPr>
    <w:rPr>
      <w:sz w:val="18"/>
      <w:szCs w:val="18"/>
    </w:rPr>
  </w:style>
  <w:style w:type="paragraph" w:styleId="13">
    <w:name w:val="header"/>
    <w:basedOn w:val="1"/>
    <w:link w:val="27"/>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pPr>
      <w:spacing w:before="120" w:after="120" w:line="600" w:lineRule="exact"/>
      <w:ind w:firstLine="640" w:firstLineChars="200"/>
    </w:pPr>
    <w:rPr>
      <w:rFonts w:ascii="Times New Roman" w:hAnsi="Times New Roman" w:eastAsia="仿宋_GB2312" w:cs="仿宋_GB2312"/>
      <w:b/>
      <w:bCs/>
      <w:caps/>
      <w:sz w:val="20"/>
      <w:szCs w:val="20"/>
    </w:rPr>
  </w:style>
  <w:style w:type="paragraph" w:styleId="15">
    <w:name w:val="toc 2"/>
    <w:basedOn w:val="1"/>
    <w:next w:val="1"/>
    <w:unhideWhenUsed/>
    <w:qFormat/>
    <w:uiPriority w:val="39"/>
    <w:pPr>
      <w:spacing w:line="600" w:lineRule="exact"/>
      <w:ind w:left="240" w:firstLine="640" w:firstLineChars="200"/>
    </w:pPr>
    <w:rPr>
      <w:rFonts w:ascii="Times New Roman" w:hAnsi="Times New Roman" w:eastAsia="仿宋_GB2312" w:cs="仿宋_GB2312"/>
      <w:smallCaps/>
      <w:sz w:val="20"/>
      <w:szCs w:val="20"/>
    </w:rPr>
  </w:style>
  <w:style w:type="paragraph" w:styleId="16">
    <w:name w:val="Normal (Web)"/>
    <w:basedOn w:val="1"/>
    <w:qFormat/>
    <w:uiPriority w:val="0"/>
    <w:pPr>
      <w:widowControl/>
      <w:spacing w:beforeAutospacing="1" w:afterAutospacing="1"/>
      <w:jc w:val="left"/>
    </w:pPr>
    <w:rPr>
      <w:rFonts w:cs="Times New Roman"/>
      <w:kern w:val="0"/>
      <w:sz w:val="24"/>
      <w:szCs w:val="24"/>
    </w:rPr>
  </w:style>
  <w:style w:type="paragraph" w:styleId="17">
    <w:name w:val="annotation subject"/>
    <w:basedOn w:val="9"/>
    <w:next w:val="9"/>
    <w:link w:val="48"/>
    <w:semiHidden/>
    <w:unhideWhenUsed/>
    <w:qFormat/>
    <w:uiPriority w:val="99"/>
    <w:rPr>
      <w:b/>
      <w:bCs/>
    </w:rPr>
  </w:style>
  <w:style w:type="table" w:styleId="19">
    <w:name w:val="Table Grid"/>
    <w:basedOn w:val="1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22"/>
    <w:rPr>
      <w:b/>
      <w:bCs/>
    </w:rPr>
  </w:style>
  <w:style w:type="character" w:styleId="22">
    <w:name w:val="Hyperlink"/>
    <w:basedOn w:val="20"/>
    <w:unhideWhenUsed/>
    <w:qFormat/>
    <w:uiPriority w:val="99"/>
    <w:rPr>
      <w:color w:val="0563C1" w:themeColor="hyperlink"/>
      <w:u w:val="single"/>
      <w14:textFill>
        <w14:solidFill>
          <w14:schemeClr w14:val="hlink"/>
        </w14:solidFill>
      </w14:textFill>
    </w:rPr>
  </w:style>
  <w:style w:type="character" w:styleId="23">
    <w:name w:val="annotation reference"/>
    <w:basedOn w:val="20"/>
    <w:semiHidden/>
    <w:unhideWhenUsed/>
    <w:qFormat/>
    <w:uiPriority w:val="99"/>
    <w:rPr>
      <w:sz w:val="21"/>
      <w:szCs w:val="21"/>
    </w:rPr>
  </w:style>
  <w:style w:type="paragraph" w:customStyle="1" w:styleId="24">
    <w:name w:val="【新版】一级标题"/>
    <w:basedOn w:val="5"/>
    <w:next w:val="25"/>
    <w:qFormat/>
    <w:uiPriority w:val="0"/>
    <w:pPr>
      <w:spacing w:before="0" w:after="0" w:line="720" w:lineRule="exact"/>
      <w:jc w:val="center"/>
    </w:pPr>
    <w:rPr>
      <w:rFonts w:ascii="Times New Roman" w:hAnsi="Times New Roman" w:eastAsia="黑体" w:cs="Times New Roman"/>
      <w:b w:val="0"/>
      <w:bCs w:val="0"/>
      <w:sz w:val="36"/>
      <w:szCs w:val="21"/>
      <w:lang w:val="en-GB"/>
    </w:rPr>
  </w:style>
  <w:style w:type="paragraph" w:customStyle="1" w:styleId="25">
    <w:name w:val="【新版】正文"/>
    <w:basedOn w:val="1"/>
    <w:qFormat/>
    <w:uiPriority w:val="0"/>
    <w:pPr>
      <w:spacing w:line="600" w:lineRule="exact"/>
      <w:ind w:firstLine="200" w:firstLineChars="200"/>
    </w:pPr>
    <w:rPr>
      <w:rFonts w:eastAsia="仿宋"/>
      <w:sz w:val="30"/>
    </w:rPr>
  </w:style>
  <w:style w:type="character" w:customStyle="1" w:styleId="26">
    <w:name w:val="标题 1 字符"/>
    <w:basedOn w:val="20"/>
    <w:link w:val="5"/>
    <w:qFormat/>
    <w:uiPriority w:val="9"/>
    <w:rPr>
      <w:b/>
      <w:bCs/>
      <w:kern w:val="44"/>
      <w:sz w:val="44"/>
      <w:szCs w:val="44"/>
    </w:rPr>
  </w:style>
  <w:style w:type="character" w:customStyle="1" w:styleId="27">
    <w:name w:val="页眉 字符"/>
    <w:basedOn w:val="20"/>
    <w:link w:val="13"/>
    <w:qFormat/>
    <w:uiPriority w:val="99"/>
    <w:rPr>
      <w:sz w:val="18"/>
      <w:szCs w:val="18"/>
    </w:rPr>
  </w:style>
  <w:style w:type="character" w:customStyle="1" w:styleId="28">
    <w:name w:val="页脚 字符"/>
    <w:basedOn w:val="20"/>
    <w:link w:val="12"/>
    <w:qFormat/>
    <w:uiPriority w:val="99"/>
    <w:rPr>
      <w:sz w:val="18"/>
      <w:szCs w:val="18"/>
    </w:rPr>
  </w:style>
  <w:style w:type="paragraph" w:customStyle="1" w:styleId="29">
    <w:name w:val="【新版】二级标题"/>
    <w:basedOn w:val="6"/>
    <w:next w:val="25"/>
    <w:qFormat/>
    <w:uiPriority w:val="0"/>
    <w:pPr>
      <w:spacing w:before="0" w:after="0" w:line="720" w:lineRule="exact"/>
      <w:jc w:val="center"/>
    </w:pPr>
    <w:rPr>
      <w:rFonts w:eastAsia="黑体"/>
      <w:b w:val="0"/>
    </w:rPr>
  </w:style>
  <w:style w:type="paragraph" w:customStyle="1" w:styleId="30">
    <w:name w:val="【新版】三级标题"/>
    <w:basedOn w:val="7"/>
    <w:next w:val="25"/>
    <w:qFormat/>
    <w:uiPriority w:val="0"/>
    <w:pPr>
      <w:spacing w:before="0" w:after="0" w:line="720" w:lineRule="exact"/>
      <w:ind w:firstLine="200" w:firstLineChars="200"/>
      <w:jc w:val="left"/>
    </w:pPr>
    <w:rPr>
      <w:rFonts w:eastAsia="黑体"/>
      <w:b w:val="0"/>
      <w:sz w:val="30"/>
    </w:rPr>
  </w:style>
  <w:style w:type="character" w:customStyle="1" w:styleId="31">
    <w:name w:val="标题 3 字符"/>
    <w:basedOn w:val="20"/>
    <w:link w:val="7"/>
    <w:semiHidden/>
    <w:qFormat/>
    <w:uiPriority w:val="9"/>
    <w:rPr>
      <w:b/>
      <w:bCs/>
      <w:sz w:val="32"/>
      <w:szCs w:val="32"/>
    </w:rPr>
  </w:style>
  <w:style w:type="paragraph" w:customStyle="1" w:styleId="32">
    <w:name w:val="【新版】图表"/>
    <w:basedOn w:val="1"/>
    <w:next w:val="25"/>
    <w:qFormat/>
    <w:uiPriority w:val="0"/>
    <w:pPr>
      <w:spacing w:line="600" w:lineRule="exact"/>
      <w:jc w:val="center"/>
    </w:pPr>
    <w:rPr>
      <w:rFonts w:eastAsia="黑体"/>
      <w:sz w:val="24"/>
    </w:rPr>
  </w:style>
  <w:style w:type="character" w:customStyle="1" w:styleId="33">
    <w:name w:val="标题 2 字符"/>
    <w:basedOn w:val="20"/>
    <w:link w:val="6"/>
    <w:qFormat/>
    <w:uiPriority w:val="9"/>
    <w:rPr>
      <w:rFonts w:asciiTheme="majorHAnsi" w:hAnsiTheme="majorHAnsi" w:eastAsiaTheme="majorEastAsia" w:cstheme="majorBidi"/>
      <w:b/>
      <w:bCs/>
      <w:sz w:val="32"/>
      <w:szCs w:val="32"/>
    </w:rPr>
  </w:style>
  <w:style w:type="character" w:customStyle="1" w:styleId="34">
    <w:name w:val="日期 字符"/>
    <w:basedOn w:val="20"/>
    <w:link w:val="10"/>
    <w:semiHidden/>
    <w:qFormat/>
    <w:uiPriority w:val="99"/>
  </w:style>
  <w:style w:type="paragraph" w:customStyle="1" w:styleId="35">
    <w:name w:val="【新版】图"/>
    <w:basedOn w:val="25"/>
    <w:next w:val="25"/>
    <w:qFormat/>
    <w:uiPriority w:val="0"/>
    <w:pPr>
      <w:spacing w:line="240" w:lineRule="auto"/>
      <w:ind w:firstLine="0" w:firstLineChars="0"/>
      <w:jc w:val="center"/>
    </w:pPr>
  </w:style>
  <w:style w:type="character" w:customStyle="1" w:styleId="36">
    <w:name w:val="未处理的提及1"/>
    <w:basedOn w:val="20"/>
    <w:semiHidden/>
    <w:unhideWhenUsed/>
    <w:qFormat/>
    <w:uiPriority w:val="99"/>
    <w:rPr>
      <w:color w:val="605E5C"/>
      <w:shd w:val="clear" w:color="auto" w:fill="E1DFDD"/>
    </w:rPr>
  </w:style>
  <w:style w:type="character" w:customStyle="1" w:styleId="37">
    <w:name w:val="标题 4 字符"/>
    <w:basedOn w:val="20"/>
    <w:link w:val="8"/>
    <w:semiHidden/>
    <w:qFormat/>
    <w:uiPriority w:val="9"/>
    <w:rPr>
      <w:rFonts w:asciiTheme="majorHAnsi" w:hAnsiTheme="majorHAnsi" w:eastAsiaTheme="majorEastAsia" w:cstheme="majorBidi"/>
      <w:b/>
      <w:bCs/>
      <w:sz w:val="28"/>
      <w:szCs w:val="28"/>
    </w:rPr>
  </w:style>
  <w:style w:type="paragraph" w:customStyle="1" w:styleId="38">
    <w:name w:val="_Style 13"/>
    <w:qFormat/>
    <w:uiPriority w:val="0"/>
    <w:pPr>
      <w:spacing w:before="120" w:after="120" w:line="288" w:lineRule="auto"/>
    </w:pPr>
    <w:rPr>
      <w:rFonts w:ascii="Arial" w:hAnsi="Arial" w:eastAsia="等线" w:cs="Arial"/>
      <w:sz w:val="22"/>
      <w:szCs w:val="22"/>
      <w:lang w:val="en-US" w:eastAsia="zh-CN" w:bidi="ar-SA"/>
    </w:rPr>
  </w:style>
  <w:style w:type="paragraph" w:customStyle="1" w:styleId="39">
    <w:name w:val="BodyText"/>
    <w:basedOn w:val="1"/>
    <w:qFormat/>
    <w:uiPriority w:val="0"/>
    <w:pPr>
      <w:spacing w:after="120" w:line="600" w:lineRule="exact"/>
      <w:ind w:firstLine="640" w:firstLineChars="200"/>
    </w:pPr>
    <w:rPr>
      <w:rFonts w:ascii="Times New Roman" w:hAnsi="Times New Roman" w:eastAsia="仿宋_GB2312" w:cs="仿宋_GB2312"/>
      <w:sz w:val="32"/>
    </w:rPr>
  </w:style>
  <w:style w:type="character" w:customStyle="1" w:styleId="40">
    <w:name w:val="正文文本缩进 字符"/>
    <w:basedOn w:val="20"/>
    <w:link w:val="3"/>
    <w:semiHidden/>
    <w:qFormat/>
    <w:uiPriority w:val="99"/>
  </w:style>
  <w:style w:type="character" w:customStyle="1" w:styleId="41">
    <w:name w:val="正文文本首行缩进 2 字符"/>
    <w:basedOn w:val="40"/>
    <w:link w:val="2"/>
    <w:qFormat/>
    <w:uiPriority w:val="0"/>
    <w:rPr>
      <w:rFonts w:ascii="Times New Roman" w:hAnsi="Times New Roman" w:eastAsia="仿宋_GB2312" w:cs="仿宋_GB2312"/>
      <w:sz w:val="32"/>
      <w:szCs w:val="24"/>
    </w:rPr>
  </w:style>
  <w:style w:type="paragraph" w:styleId="42">
    <w:name w:val="List Paragraph"/>
    <w:basedOn w:val="1"/>
    <w:qFormat/>
    <w:uiPriority w:val="34"/>
    <w:pPr>
      <w:ind w:firstLine="420" w:firstLineChars="200"/>
    </w:pPr>
  </w:style>
  <w:style w:type="paragraph" w:customStyle="1" w:styleId="43">
    <w:name w:val="Table Text"/>
    <w:basedOn w:val="1"/>
    <w:qFormat/>
    <w:uiPriority w:val="0"/>
    <w:rPr>
      <w:rFonts w:ascii="宋体" w:hAnsi="宋体" w:eastAsia="宋体" w:cs="宋体"/>
      <w:szCs w:val="21"/>
      <w:lang w:eastAsia="en-US"/>
    </w:rPr>
  </w:style>
  <w:style w:type="table" w:customStyle="1" w:styleId="44">
    <w:name w:val="Table Normal"/>
    <w:qFormat/>
    <w:uiPriority w:val="0"/>
    <w:rPr>
      <w:rFonts w:ascii="Times New Roman" w:hAnsi="Times New Roman" w:eastAsia="宋体" w:cs="Times New Roman"/>
    </w:rPr>
    <w:tblPr>
      <w:tblCellMar>
        <w:top w:w="0" w:type="dxa"/>
        <w:left w:w="0" w:type="dxa"/>
        <w:bottom w:w="0" w:type="dxa"/>
        <w:right w:w="0" w:type="dxa"/>
      </w:tblCellMar>
    </w:tblPr>
  </w:style>
  <w:style w:type="paragraph" w:customStyle="1" w:styleId="45">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46">
    <w:name w:val="【新版】专栏"/>
    <w:basedOn w:val="25"/>
    <w:qFormat/>
    <w:uiPriority w:val="0"/>
    <w:pPr>
      <w:spacing w:line="520" w:lineRule="exact"/>
    </w:pPr>
    <w:rPr>
      <w:bCs/>
      <w:sz w:val="28"/>
    </w:rPr>
  </w:style>
  <w:style w:type="character" w:customStyle="1" w:styleId="47">
    <w:name w:val="批注文字 字符"/>
    <w:basedOn w:val="20"/>
    <w:link w:val="9"/>
    <w:qFormat/>
    <w:uiPriority w:val="99"/>
  </w:style>
  <w:style w:type="character" w:customStyle="1" w:styleId="48">
    <w:name w:val="批注主题 字符"/>
    <w:basedOn w:val="47"/>
    <w:link w:val="17"/>
    <w:semiHidden/>
    <w:qFormat/>
    <w:uiPriority w:val="99"/>
    <w:rPr>
      <w:b/>
      <w:bCs/>
    </w:rPr>
  </w:style>
  <w:style w:type="paragraph" w:customStyle="1" w:styleId="49">
    <w:name w:val="pf0"/>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50">
    <w:name w:val="cf01"/>
    <w:basedOn w:val="20"/>
    <w:qFormat/>
    <w:uiPriority w:val="0"/>
    <w:rPr>
      <w:rFonts w:hint="eastAsia" w:ascii="Microsoft YaHei UI" w:hAnsi="Microsoft YaHei UI" w:eastAsia="Microsoft YaHei UI"/>
      <w:sz w:val="18"/>
      <w:szCs w:val="18"/>
    </w:rPr>
  </w:style>
  <w:style w:type="paragraph" w:customStyle="1" w:styleId="51">
    <w:name w:val="Other|1"/>
    <w:basedOn w:val="1"/>
    <w:qFormat/>
    <w:uiPriority w:val="0"/>
    <w:pPr>
      <w:spacing w:line="480" w:lineRule="auto"/>
      <w:ind w:firstLine="400"/>
      <w:textAlignment w:val="baseline"/>
    </w:pPr>
    <w:rPr>
      <w:rFonts w:ascii="宋体" w:hAnsi="Times New Roman" w:eastAsia="宋体" w:cs="宋体"/>
      <w:sz w:val="26"/>
      <w:szCs w:val="26"/>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acb46293-12fc-464d-96ef-9964f2f8b6a1</errorID>
      <errorWord xmlns="http://schemas.wps.cn/vas-ai-hub/contract-review">增强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提升</item>
      </candidateList>
      <explain xmlns="http://schemas.wps.cn/vas-ai-hub/contract-review">“水平～增强”搭配不当，建议修改为“水平～提升”。</explain>
      <paraID xmlns="http://schemas.wps.cn/vas-ai-hub/contract-review">7180BE5B</paraID>
      <start xmlns="http://schemas.wps.cn/vas-ai-hub/contract-review">8</start>
      <end xmlns="http://schemas.wps.cn/vas-ai-hub/contract-review">10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8b4d753a-4183-4d27-b124-f105591ec386</errorID>
      <errorWord xmlns="http://schemas.wps.cn/vas-ai-hub/contract-review">晃牛</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黄牛</item>
      </candidateList>
      <explain xmlns="http://schemas.wps.cn/vas-ai-hub/contract-review">存在发音相同字词的误用。</explain>
      <paraID xmlns="http://schemas.wps.cn/vas-ai-hub/contract-review">7180BE5B</paraID>
      <start xmlns="http://schemas.wps.cn/vas-ai-hub/contract-review">139</start>
      <end xmlns="http://schemas.wps.cn/vas-ai-hub/contract-review">141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51c7a470-e84a-4eb0-af04-14618f365931</errorID>
      <errorWord xmlns="http://schemas.wps.cn/vas-ai-hub/contract-review">深化，“放管服”改革</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深化“放管服”改革</item>
      </candidateList>
      <explain xmlns="http://schemas.wps.cn/vas-ai-hub/contract-review">注意检查当前固定表述标点是否使用规范。</explain>
      <paraID xmlns="http://schemas.wps.cn/vas-ai-hub/contract-review">731390C2</paraID>
      <start xmlns="http://schemas.wps.cn/vas-ai-hub/contract-review">17</start>
      <end xmlns="http://schemas.wps.cn/vas-ai-hub/contract-review">27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ba76dd4c-87ce-49ed-9135-125142abde30</errorID>
      <errorWord xmlns="http://schemas.wps.cn/vas-ai-hub/contract-review">货运吞吐量</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货物吞吐量</item>
      </candidateList>
      <explain xmlns="http://schemas.wps.cn/vas-ai-hub/contract-review"/>
      <paraID xmlns="http://schemas.wps.cn/vas-ai-hub/contract-review">731390C2</paraID>
      <start xmlns="http://schemas.wps.cn/vas-ai-hub/contract-review">342</start>
      <end xmlns="http://schemas.wps.cn/vas-ai-hub/contract-review">347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98f2244f-45a2-48d5-9fd9-5c36c4a90c86</errorID>
      <errorWord xmlns="http://schemas.wps.cn/vas-ai-hub/contract-review">达</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达到</item>
      </candidateList>
      <explain xmlns="http://schemas.wps.cn/vas-ai-hub/contract-review">〈动〉到（多指抽象事物或程度）：达得到｜达不到｜目的没有～｜～国际水平。</explain>
      <paraID xmlns="http://schemas.wps.cn/vas-ai-hub/contract-review">7046A74E</paraID>
      <start xmlns="http://schemas.wps.cn/vas-ai-hub/contract-review">115</start>
      <end xmlns="http://schemas.wps.cn/vas-ai-hub/contract-review">116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98555a82-07b9-46f8-ae9d-3060f8f061ba</errorID>
      <errorWord xmlns="http://schemas.wps.cn/vas-ai-hub/contract-review">十三五</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‘十三五’</item>
      </candidateList>
      <explain xmlns="http://schemas.wps.cn/vas-ai-hub/contract-review">注意检查当前固定表述标点是否使用规范。</explain>
      <paraID xmlns="http://schemas.wps.cn/vas-ai-hub/contract-review">7046A74E</paraID>
      <start xmlns="http://schemas.wps.cn/vas-ai-hub/contract-review">170</start>
      <end xmlns="http://schemas.wps.cn/vas-ai-hub/contract-review">173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fc60627e-3c19-45f0-b8e6-e3fec542a610</errorID>
      <errorWord xmlns="http://schemas.wps.cn/vas-ai-hub/contract-review">新晃县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新晃侗族自治县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6E197591</paraID>
      <start xmlns="http://schemas.wps.cn/vas-ai-hub/contract-review">7</start>
      <end xmlns="http://schemas.wps.cn/vas-ai-hub/contract-review">10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ae4c0d39-3f5a-451e-924f-7b91d927e936</errorID>
      <errorWord xmlns="http://schemas.wps.cn/vas-ai-hub/contract-review">新一轮技术革命</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新一轮科技革命</item>
      </candidateList>
      <explain xmlns="http://schemas.wps.cn/vas-ai-hub/contract-review">词汇“新一轮科技革命”在特定场景下为固定表述形式，请确认此处的“新一轮技术革命”是否存在不当。</explain>
      <paraID xmlns="http://schemas.wps.cn/vas-ai-hub/contract-review">508ACEC6</paraID>
      <start xmlns="http://schemas.wps.cn/vas-ai-hub/contract-review">28</start>
      <end xmlns="http://schemas.wps.cn/vas-ai-hub/contract-review">35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005661f8-9802-43f4-9594-5ede1f06c57f</errorID>
      <errorWord xmlns="http://schemas.wps.cn/vas-ai-hub/contract-review">新晃县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新晃侗族自治县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508ACEC6</paraID>
      <start xmlns="http://schemas.wps.cn/vas-ai-hub/contract-review">169</start>
      <end xmlns="http://schemas.wps.cn/vas-ai-hub/contract-review">172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8394ce47-b391-41bc-adcf-6403f269513e</errorID>
      <errorWord xmlns="http://schemas.wps.cn/vas-ai-hub/contract-review">现代经济体系</errorWord>
      <group xmlns="http://schemas.wps.cn/vas-ai-hub/contract-review">L1_Political</group>
      <groupName xmlns="http://schemas.wps.cn/vas-ai-hub/contract-review">政治性问题</groupName>
      <ability xmlns="http://schemas.wps.cn/vas-ai-hub/contract-review">L2_Unpolitical</ability>
      <abilityName xmlns="http://schemas.wps.cn/vas-ai-hub/contract-review">政治敏感错误</abilityName>
      <candidateList xmlns="http://schemas.wps.cn/vas-ai-hub/contract-review">
        <item xmlns="http://schemas.wps.cn/vas-ai-hub/contract-review">现代化经济体系</item>
      </candidateList>
      <explain xmlns="http://schemas.wps.cn/vas-ai-hub/contract-review"/>
      <paraID xmlns="http://schemas.wps.cn/vas-ai-hub/contract-review">508ACEC6</paraID>
      <start xmlns="http://schemas.wps.cn/vas-ai-hub/contract-review">265</start>
      <end xmlns="http://schemas.wps.cn/vas-ai-hub/contract-review">272</end>
      <status xmlns="http://schemas.wps.cn/vas-ai-hub/contract-review">modified</status>
      <modifiedWord xmlns="http://schemas.wps.cn/vas-ai-hub/contract-review">现代化经济体系</modifiedWord>
      <trackRevisions xmlns="http://schemas.wps.cn/vas-ai-hub/contract-review">false</trackRevisions>
    </reviewItem>
    <reviewItem xmlns="http://schemas.wps.cn/vas-ai-hub/contract-review">
      <errorID xmlns="http://schemas.wps.cn/vas-ai-hub/contract-review">ea40bd7e-bf3d-4567-ac6a-3dccc317054a</errorID>
      <errorWord xmlns="http://schemas.wps.cn/vas-ai-hub/contract-review">重大战略机遇期</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重要战略机遇期</item>
      </candidateList>
      <explain xmlns="http://schemas.wps.cn/vas-ai-hub/contract-review">词汇“重要战略机遇期”在特定场景下为固定表述形式，请确认此处的“重大战略机遇期”是否存在不当。</explain>
      <paraID xmlns="http://schemas.wps.cn/vas-ai-hub/contract-review">782B57B8</paraID>
      <start xmlns="http://schemas.wps.cn/vas-ai-hub/contract-review">2</start>
      <end xmlns="http://schemas.wps.cn/vas-ai-hub/contract-review">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22b73926-0f88-4fca-93e6-9fb46f49a420</errorID>
      <errorWord xmlns="http://schemas.wps.cn/vas-ai-hub/contract-review">晃牛</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黄牛</item>
      </candidateList>
      <explain xmlns="http://schemas.wps.cn/vas-ai-hub/contract-review"/>
      <paraID xmlns="http://schemas.wps.cn/vas-ai-hub/contract-review">31D12D39</paraID>
      <start xmlns="http://schemas.wps.cn/vas-ai-hub/contract-review">254</start>
      <end xmlns="http://schemas.wps.cn/vas-ai-hub/contract-review">256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82ec5242-bcaf-43ce-9cf4-c2157366044b</errorID>
      <errorWord xmlns="http://schemas.wps.cn/vas-ai-hub/contract-review">获得感、幸福感和安全感</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获得感、幸福感、安全感</item>
      </candidateList>
      <explain xmlns="http://schemas.wps.cn/vas-ai-hub/contract-review">词汇“获得感、幸福感、安全感”在特定场景下为固定表述形式，请确认此处的“获得感、幸福感和安全感”是否存在不当。</explain>
      <paraID xmlns="http://schemas.wps.cn/vas-ai-hub/contract-review">40C0B574</paraID>
      <start xmlns="http://schemas.wps.cn/vas-ai-hub/contract-review">118</start>
      <end xmlns="http://schemas.wps.cn/vas-ai-hub/contract-review">129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d83bdbe9-0df3-4daa-9d32-1b2cc38b8ec1</errorID>
      <errorWord xmlns="http://schemas.wps.cn/vas-ai-hub/contract-review">、和</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和</item>
      </candidateList>
      <explain xmlns="http://schemas.wps.cn/vas-ai-hub/contract-review">“及”“和”“等”连词前不宜使用顿号，建议删除（或使用逗号）。</explain>
      <paraID xmlns="http://schemas.wps.cn/vas-ai-hub/contract-review">5877CAAD</paraID>
      <start xmlns="http://schemas.wps.cn/vas-ai-hub/contract-review">317</start>
      <end xmlns="http://schemas.wps.cn/vas-ai-hub/contract-review">319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a2a2f1ed-1d67-4636-949a-3ee5c3bf6da7</errorID>
      <errorWord xmlns="http://schemas.wps.cn/vas-ai-hub/contract-review">新晃县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新晃侗族自治县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2AED8094</paraID>
      <start xmlns="http://schemas.wps.cn/vas-ai-hub/contract-review">12</start>
      <end xmlns="http://schemas.wps.cn/vas-ai-hub/contract-review">15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fc0af514-facc-42f7-b12c-006bf6ac535e</errorID>
      <errorWord xmlns="http://schemas.wps.cn/vas-ai-hub/contract-review">成渝双城经济圈</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成渝地区双城经济圈</item>
      </candidateList>
      <explain xmlns="http://schemas.wps.cn/vas-ai-hub/contract-review">词汇“成渝地区双城经济圈”在特定场景下为固定表述形式，请确认此处的“成渝双城经济圈”是否存在不当。</explain>
      <paraID xmlns="http://schemas.wps.cn/vas-ai-hub/contract-review">78022A82</paraID>
      <start xmlns="http://schemas.wps.cn/vas-ai-hub/contract-review">105</start>
      <end xmlns="http://schemas.wps.cn/vas-ai-hub/contract-review">114</end>
      <status xmlns="http://schemas.wps.cn/vas-ai-hub/contract-review">modified</status>
      <modifiedWord xmlns="http://schemas.wps.cn/vas-ai-hub/contract-review">成渝地区双城经济圈</modifiedWord>
      <trackRevisions xmlns="http://schemas.wps.cn/vas-ai-hub/contract-review">false</trackRevisions>
    </reviewItem>
    <reviewItem xmlns="http://schemas.wps.cn/vas-ai-hub/contract-review">
      <errorID xmlns="http://schemas.wps.cn/vas-ai-hub/contract-review">61528b16-53f3-4f52-b7a8-d2abaa3ac6aa</errorID>
      <errorWord xmlns="http://schemas.wps.cn/vas-ai-hub/contract-review">二零三五年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二〇三五年</item>
      </candidateList>
      <explain xmlns="http://schemas.wps.cn/vas-ai-hub/contract-review"/>
      <paraID xmlns="http://schemas.wps.cn/vas-ai-hub/contract-review">1B3F0A99</paraID>
      <start xmlns="http://schemas.wps.cn/vas-ai-hub/contract-review">12</start>
      <end xmlns="http://schemas.wps.cn/vas-ai-hub/contract-review">17</end>
      <status xmlns="http://schemas.wps.cn/vas-ai-hub/contract-review">modified</status>
      <modifiedWord xmlns="http://schemas.wps.cn/vas-ai-hub/contract-review">二〇三五年</modifiedWord>
      <trackRevisions xmlns="http://schemas.wps.cn/vas-ai-hub/contract-review">false</trackRevisions>
    </reviewItem>
    <reviewItem xmlns="http://schemas.wps.cn/vas-ai-hub/contract-review">
      <errorID xmlns="http://schemas.wps.cn/vas-ai-hub/contract-review">47f9ddd7-076c-408d-aada-9dfb0ae93770</errorID>
      <errorWord xmlns="http://schemas.wps.cn/vas-ai-hub/contract-review">成渝双城经济圈</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成渝地区双城经济圈</item>
      </candidateList>
      <explain xmlns="http://schemas.wps.cn/vas-ai-hub/contract-review">词汇“成渝地区双城经济圈”在特定场景下为固定表述形式，请确认此处的“成渝双城经济圈”是否存在不当。</explain>
      <paraID xmlns="http://schemas.wps.cn/vas-ai-hub/contract-review">5B55C4FF</paraID>
      <start xmlns="http://schemas.wps.cn/vas-ai-hub/contract-review">279</start>
      <end xmlns="http://schemas.wps.cn/vas-ai-hub/contract-review">288</end>
      <status xmlns="http://schemas.wps.cn/vas-ai-hub/contract-review">modified</status>
      <modifiedWord xmlns="http://schemas.wps.cn/vas-ai-hub/contract-review">成渝地区双城经济圈</modifiedWord>
      <trackRevisions xmlns="http://schemas.wps.cn/vas-ai-hub/contract-review">false</trackRevisions>
    </reviewItem>
    <reviewItem xmlns="http://schemas.wps.cn/vas-ai-hub/contract-review">
      <errorID xmlns="http://schemas.wps.cn/vas-ai-hub/contract-review">5693cf64-8bad-4de4-a73b-480a1b6ce02d</errorID>
      <errorWord xmlns="http://schemas.wps.cn/vas-ai-hub/contract-review">作好</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做好</item>
      </candidateList>
      <explain xmlns="http://schemas.wps.cn/vas-ai-hub/contract-review"/>
      <paraID xmlns="http://schemas.wps.cn/vas-ai-hub/contract-review">704DBF0E</paraID>
      <start xmlns="http://schemas.wps.cn/vas-ai-hub/contract-review">109</start>
      <end xmlns="http://schemas.wps.cn/vas-ai-hub/contract-review">111</end>
      <status xmlns="http://schemas.wps.cn/vas-ai-hub/contract-review">modified</status>
      <modifiedWord xmlns="http://schemas.wps.cn/vas-ai-hub/contract-review">做好</modifiedWord>
      <trackRevisions xmlns="http://schemas.wps.cn/vas-ai-hub/contract-review">false</trackRevisions>
    </reviewItem>
    <reviewItem xmlns="http://schemas.wps.cn/vas-ai-hub/contract-review">
      <errorID xmlns="http://schemas.wps.cn/vas-ai-hub/contract-review">34de5c88-3f99-4985-8352-8b60da298636</errorID>
      <errorWord xmlns="http://schemas.wps.cn/vas-ai-hub/contract-review">核心关键技术</errorWord>
      <group xmlns="http://schemas.wps.cn/vas-ai-hub/contract-review">L1_Political</group>
      <groupName xmlns="http://schemas.wps.cn/vas-ai-hub/contract-review">政治性问题</groupName>
      <ability xmlns="http://schemas.wps.cn/vas-ai-hub/contract-review">L2_Unpolitical</ability>
      <abilityName xmlns="http://schemas.wps.cn/vas-ai-hub/contract-review">政治敏感错误</abilityName>
      <candidateList xmlns="http://schemas.wps.cn/vas-ai-hub/contract-review">
        <item xmlns="http://schemas.wps.cn/vas-ai-hub/contract-review">关键核心技术</item>
      </candidateList>
      <explain xmlns="http://schemas.wps.cn/vas-ai-hub/contract-review"/>
      <paraID xmlns="http://schemas.wps.cn/vas-ai-hub/contract-review">704DBF0E</paraID>
      <start xmlns="http://schemas.wps.cn/vas-ai-hub/contract-review">131</start>
      <end xmlns="http://schemas.wps.cn/vas-ai-hub/contract-review">137</end>
      <status xmlns="http://schemas.wps.cn/vas-ai-hub/contract-review">modified</status>
      <modifiedWord xmlns="http://schemas.wps.cn/vas-ai-hub/contract-review">关键核心技术</modifiedWord>
      <trackRevisions xmlns="http://schemas.wps.cn/vas-ai-hub/contract-review">false</trackRevisions>
    </reviewItem>
    <reviewItem xmlns="http://schemas.wps.cn/vas-ai-hub/contract-review">
      <errorID xmlns="http://schemas.wps.cn/vas-ai-hub/contract-review">e3b004e6-d857-4dc2-941a-eea11f357ccc</errorID>
      <errorWord xmlns="http://schemas.wps.cn/vas-ai-hub/contract-review">新晃县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新晃侗族自治县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20B7DC3A</paraID>
      <start xmlns="http://schemas.wps.cn/vas-ai-hub/contract-review">92</start>
      <end xmlns="http://schemas.wps.cn/vas-ai-hub/contract-review">95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730fa96a-6985-4340-ba14-d8a514f59c24</errorID>
      <errorWord xmlns="http://schemas.wps.cn/vas-ai-hub/contract-review">身行动</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省行动</item>
      </candidateList>
      <explain xmlns="http://schemas.wps.cn/vas-ai-hub/contract-review"/>
      <paraID xmlns="http://schemas.wps.cn/vas-ai-hub/contract-review">50DACEBE</paraID>
      <start xmlns="http://schemas.wps.cn/vas-ai-hub/contract-review">16</start>
      <end xmlns="http://schemas.wps.cn/vas-ai-hub/contract-review">19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436f8e39-c8e2-483a-af0d-d317c3feab11</errorID>
      <errorWord xmlns="http://schemas.wps.cn/vas-ai-hub/contract-review">“专精特新”“小巨人”企业</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专精特新“小巨人”企业</item>
      </candidateList>
      <explain xmlns="http://schemas.wps.cn/vas-ai-hub/contract-review">注意检查当前固定表述标点是否使用规范。</explain>
      <paraID xmlns="http://schemas.wps.cn/vas-ai-hub/contract-review">50DACEBE</paraID>
      <start xmlns="http://schemas.wps.cn/vas-ai-hub/contract-review">50</start>
      <end xmlns="http://schemas.wps.cn/vas-ai-hub/contract-review">61</end>
      <status xmlns="http://schemas.wps.cn/vas-ai-hub/contract-review">modified</status>
      <modifiedWord xmlns="http://schemas.wps.cn/vas-ai-hub/contract-review">专精特新“小巨人”企业</modifiedWord>
      <trackRevisions xmlns="http://schemas.wps.cn/vas-ai-hub/contract-review">false</trackRevisions>
    </reviewItem>
    <reviewItem xmlns="http://schemas.wps.cn/vas-ai-hub/contract-review">
      <errorID xmlns="http://schemas.wps.cn/vas-ai-hub/contract-review">384eb8be-ab2b-488a-a958-9239340e0463</errorID>
      <errorWord xmlns="http://schemas.wps.cn/vas-ai-hub/contract-review">行政处罚裁量权基准</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行政处罚裁量基准</item>
      </candidateList>
      <explain xmlns="http://schemas.wps.cn/vas-ai-hub/contract-review">词汇“行政处罚裁量基准”在特定场景下为固定表述形式，请确认此处的“行政处罚裁量权基准”是否存在不当。</explain>
      <paraID xmlns="http://schemas.wps.cn/vas-ai-hub/contract-review">469A48CC</paraID>
      <start xmlns="http://schemas.wps.cn/vas-ai-hub/contract-review">231</start>
      <end xmlns="http://schemas.wps.cn/vas-ai-hub/contract-review">239</end>
      <status xmlns="http://schemas.wps.cn/vas-ai-hub/contract-review">modified</status>
      <modifiedWord xmlns="http://schemas.wps.cn/vas-ai-hub/contract-review">行政处罚裁量基准</modifiedWord>
      <trackRevisions xmlns="http://schemas.wps.cn/vas-ai-hub/contract-review">false</trackRevisions>
    </reviewItem>
    <reviewItem xmlns="http://schemas.wps.cn/vas-ai-hub/contract-review">
      <errorID xmlns="http://schemas.wps.cn/vas-ai-hub/contract-review">775e071c-7c5d-42a2-8790-3e749c2f95b7</errorID>
      <errorWord xmlns="http://schemas.wps.cn/vas-ai-hub/contract-review">主特产业</errorWord>
      <group xmlns="http://schemas.wps.cn/vas-ai-hub/contract-review">L1_Knowledge</group>
      <groupName xmlns="http://schemas.wps.cn/vas-ai-hub/contract-review">知识性问题</groupName>
      <ability xmlns="http://schemas.wps.cn/vas-ai-hub/contract-review">L2_Term</ability>
      <abilityName xmlns="http://schemas.wps.cn/vas-ai-hub/contract-review">专业术语</abilityName>
      <candidateList xmlns="http://schemas.wps.cn/vas-ai-hub/contract-review">
        <item xmlns="http://schemas.wps.cn/vas-ai-hub/contract-review">主导产业</item>
      </candidateList>
      <explain xmlns="http://schemas.wps.cn/vas-ai-hub/contract-review"/>
      <paraID xmlns="http://schemas.wps.cn/vas-ai-hub/contract-review">776362A2</paraID>
      <start xmlns="http://schemas.wps.cn/vas-ai-hub/contract-review">75</start>
      <end xmlns="http://schemas.wps.cn/vas-ai-hub/contract-review">79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ff0906b1-bc20-47ee-99fb-17cb032e1bb8</errorID>
      <errorWord xmlns="http://schemas.wps.cn/vas-ai-hub/contract-review">特质</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特色</item>
      </candidateList>
      <explain xmlns="http://schemas.wps.cn/vas-ai-hub/contract-review">〈名〉事物所表现的独特的色彩、风格等：民族～｜艺术～｜他们的表演各有～。</explain>
      <paraID xmlns="http://schemas.wps.cn/vas-ai-hub/contract-review">776362A2</paraID>
      <start xmlns="http://schemas.wps.cn/vas-ai-hub/contract-review">178</start>
      <end xmlns="http://schemas.wps.cn/vas-ai-hub/contract-review">180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51392e1d-5a23-4ede-bf15-913598f1319e</errorID>
      <errorWord xmlns="http://schemas.wps.cn/vas-ai-hub/contract-review">成渝双城经济圈</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成渝地区双城经济圈</item>
      </candidateList>
      <explain xmlns="http://schemas.wps.cn/vas-ai-hub/contract-review">词汇“成渝地区双城经济圈”在特定场景下为固定表述形式，请确认此处的“成渝双城经济圈”是否存在不当。</explain>
      <paraID xmlns="http://schemas.wps.cn/vas-ai-hub/contract-review">70090522</paraID>
      <start xmlns="http://schemas.wps.cn/vas-ai-hub/contract-review">117</start>
      <end xmlns="http://schemas.wps.cn/vas-ai-hub/contract-review">126</end>
      <status xmlns="http://schemas.wps.cn/vas-ai-hub/contract-review">modified</status>
      <modifiedWord xmlns="http://schemas.wps.cn/vas-ai-hub/contract-review">成渝地区双城经济圈</modifiedWord>
      <trackRevisions xmlns="http://schemas.wps.cn/vas-ai-hub/contract-review">false</trackRevisions>
    </reviewItem>
    <reviewItem xmlns="http://schemas.wps.cn/vas-ai-hub/contract-review">
      <errorID xmlns="http://schemas.wps.cn/vas-ai-hub/contract-review">75a74e35-56f6-41a9-9ec5-7b4af53a14bf</errorID>
      <errorWord xmlns="http://schemas.wps.cn/vas-ai-hub/contract-review">新晃县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新晃侗族自治县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70090522</paraID>
      <start xmlns="http://schemas.wps.cn/vas-ai-hub/contract-review">256</start>
      <end xmlns="http://schemas.wps.cn/vas-ai-hub/contract-review">259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94ecd897-32bc-45b0-ba9a-8f6af50f2348</errorID>
      <errorWord xmlns="http://schemas.wps.cn/vas-ai-hub/contract-review">矿业集群</errorWord>
      <group xmlns="http://schemas.wps.cn/vas-ai-hub/contract-review">L1_Knowledge</group>
      <groupName xmlns="http://schemas.wps.cn/vas-ai-hub/contract-review">知识性问题</groupName>
      <ability xmlns="http://schemas.wps.cn/vas-ai-hub/contract-review">L2_Term</ability>
      <abilityName xmlns="http://schemas.wps.cn/vas-ai-hub/contract-review">专业术语</abilityName>
      <candidateList xmlns="http://schemas.wps.cn/vas-ai-hub/contract-review">
        <item xmlns="http://schemas.wps.cn/vas-ai-hub/contract-review">产业集群</item>
      </candidateList>
      <explain xmlns="http://schemas.wps.cn/vas-ai-hub/contract-review"/>
      <paraID xmlns="http://schemas.wps.cn/vas-ai-hub/contract-review">6F32F70C</paraID>
      <start xmlns="http://schemas.wps.cn/vas-ai-hub/contract-review">16</start>
      <end xmlns="http://schemas.wps.cn/vas-ai-hub/contract-review">20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ff02f7fe-0398-4f29-8ce0-6e5586c97530</errorID>
      <errorWord xmlns="http://schemas.wps.cn/vas-ai-hub/contract-review">晃牛</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黄牛</item>
      </candidateList>
      <explain xmlns="http://schemas.wps.cn/vas-ai-hub/contract-review"/>
      <paraID xmlns="http://schemas.wps.cn/vas-ai-hub/contract-review">7C521237</paraID>
      <start xmlns="http://schemas.wps.cn/vas-ai-hub/contract-review">459</start>
      <end xmlns="http://schemas.wps.cn/vas-ai-hub/contract-review">461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0c1a1b8a-f367-460e-b24a-9fd679224219</errorID>
      <errorWord xmlns="http://schemas.wps.cn/vas-ai-hub/contract-review">人民群众日益增长的美好生活需要</errorWord>
      <group xmlns="http://schemas.wps.cn/vas-ai-hub/contract-review">L1_Political</group>
      <groupName xmlns="http://schemas.wps.cn/vas-ai-hub/contract-review">政治性问题</groupName>
      <ability xmlns="http://schemas.wps.cn/vas-ai-hub/contract-review">L2_Unpolitical</ability>
      <abilityName xmlns="http://schemas.wps.cn/vas-ai-hub/contract-review">政治敏感错误</abilityName>
      <candidateList xmlns="http://schemas.wps.cn/vas-ai-hub/contract-review">
        <item xmlns="http://schemas.wps.cn/vas-ai-hub/contract-review">人民日益增长的美好生活需要</item>
      </candidateList>
      <explain xmlns="http://schemas.wps.cn/vas-ai-hub/contract-review"/>
      <paraID xmlns="http://schemas.wps.cn/vas-ai-hub/contract-review"> DE08D99</paraID>
      <start xmlns="http://schemas.wps.cn/vas-ai-hub/contract-review">51</start>
      <end xmlns="http://schemas.wps.cn/vas-ai-hub/contract-review">66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f2f54de9-e00a-4b38-902f-59c133739d68</errorID>
      <errorWord xmlns="http://schemas.wps.cn/vas-ai-hub/contract-review">加工产</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加工厂</item>
      </candidateList>
      <explain xmlns="http://schemas.wps.cn/vas-ai-hub/contract-review"/>
      <paraID xmlns="http://schemas.wps.cn/vas-ai-hub/contract-review"> BAE3EB7</paraID>
      <start xmlns="http://schemas.wps.cn/vas-ai-hub/contract-review">152</start>
      <end xmlns="http://schemas.wps.cn/vas-ai-hub/contract-review">155</end>
      <status xmlns="http://schemas.wps.cn/vas-ai-hub/contract-review">modified</status>
      <modifiedWord xmlns="http://schemas.wps.cn/vas-ai-hub/contract-review">加工厂</modifiedWord>
      <trackRevisions xmlns="http://schemas.wps.cn/vas-ai-hub/contract-review">false</trackRevisions>
    </reviewItem>
    <reviewItem xmlns="http://schemas.wps.cn/vas-ai-hub/contract-review">
      <errorID xmlns="http://schemas.wps.cn/vas-ai-hub/contract-review">7cb9a64c-becd-447d-961a-df949f8d2bb1</errorID>
      <errorWord xmlns="http://schemas.wps.cn/vas-ai-hub/contract-review">的</errorWord>
      <group xmlns="http://schemas.wps.cn/vas-ai-hub/contract-review">L1_Word</group>
      <groupName xmlns="http://schemas.wps.cn/vas-ai-hub/contract-review">字词问题</groupName>
      <ability xmlns="http://schemas.wps.cn/vas-ai-hub/contract-review">L2_DDD</ability>
      <abilityName xmlns="http://schemas.wps.cn/vas-ai-hub/contract-review">的地得用法</abilityName>
      <candidateList xmlns="http://schemas.wps.cn/vas-ai-hub/contract-review">
        <item xmlns="http://schemas.wps.cn/vas-ai-hub/contract-review">地</item>
      </candidateList>
      <explain xmlns="http://schemas.wps.cn/vas-ai-hub/contract-review">“地”常用于连接修饰语与动词性中心语，表示动作的方式、状态或程度。</explain>
      <paraID xmlns="http://schemas.wps.cn/vas-ai-hub/contract-review">4393B9DA</paraID>
      <start xmlns="http://schemas.wps.cn/vas-ai-hub/contract-review">45</start>
      <end xmlns="http://schemas.wps.cn/vas-ai-hub/contract-review">46</end>
      <status xmlns="http://schemas.wps.cn/vas-ai-hub/contract-review">modified</status>
      <modifiedWord xmlns="http://schemas.wps.cn/vas-ai-hub/contract-review">地</modifiedWord>
      <trackRevisions xmlns="http://schemas.wps.cn/vas-ai-hub/contract-review">false</trackRevisions>
    </reviewItem>
    <reviewItem xmlns="http://schemas.wps.cn/vas-ai-hub/contract-review">
      <errorID xmlns="http://schemas.wps.cn/vas-ai-hub/contract-review">db5fa019-9d09-4ae0-bed4-2d10edea1cfa</errorID>
      <errorWord xmlns="http://schemas.wps.cn/vas-ai-hub/contract-review">抓收</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抓手</item>
      </candidateList>
      <explain xmlns="http://schemas.wps.cn/vas-ai-hub/contract-review"/>
      <paraID xmlns="http://schemas.wps.cn/vas-ai-hub/contract-review">72DAB6BA</paraID>
      <start xmlns="http://schemas.wps.cn/vas-ai-hub/contract-review">57</start>
      <end xmlns="http://schemas.wps.cn/vas-ai-hub/contract-review">59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ccdbff08-4a4e-4d9b-a9a5-1c7b23306fe9</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，在</item>
      </candidateList>
      <explain xmlns="http://schemas.wps.cn/vas-ai-hub/contract-review"/>
      <paraID xmlns="http://schemas.wps.cn/vas-ai-hub/contract-review"> BE3CE96</paraID>
      <start xmlns="http://schemas.wps.cn/vas-ai-hub/contract-review">72</start>
      <end xmlns="http://schemas.wps.cn/vas-ai-hub/contract-review">73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a115697b-dcdf-417c-999b-9280149eaf04</errorID>
      <errorWord xmlns="http://schemas.wps.cn/vas-ai-hub/contract-review">提升的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提升</item>
      </candidateList>
      <explain xmlns="http://schemas.wps.cn/vas-ai-hub/contract-review"/>
      <paraID xmlns="http://schemas.wps.cn/vas-ai-hub/contract-review">234CAE9B</paraID>
      <start xmlns="http://schemas.wps.cn/vas-ai-hub/contract-review">30</start>
      <end xmlns="http://schemas.wps.cn/vas-ai-hub/contract-review">32</end>
      <status xmlns="http://schemas.wps.cn/vas-ai-hub/contract-review">modified</status>
      <modifiedWord xmlns="http://schemas.wps.cn/vas-ai-hub/contract-review">提升</modifiedWord>
      <trackRevisions xmlns="http://schemas.wps.cn/vas-ai-hub/contract-review">false</trackRevisions>
    </reviewItem>
    <reviewItem xmlns="http://schemas.wps.cn/vas-ai-hub/contract-review">
      <errorID xmlns="http://schemas.wps.cn/vas-ai-hub/contract-review">61b28938-9f4e-4ed0-a817-1140b9d07e1c</errorID>
      <errorWord xmlns="http://schemas.wps.cn/vas-ai-hub/contract-review">城乡结合部</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城乡接合部</item>
      </candidateList>
      <explain xmlns="http://schemas.wps.cn/vas-ai-hub/contract-review"/>
      <paraID xmlns="http://schemas.wps.cn/vas-ai-hub/contract-review">16298D3C</paraID>
      <start xmlns="http://schemas.wps.cn/vas-ai-hub/contract-review">102</start>
      <end xmlns="http://schemas.wps.cn/vas-ai-hub/contract-review">107</end>
      <status xmlns="http://schemas.wps.cn/vas-ai-hub/contract-review">modified</status>
      <modifiedWord xmlns="http://schemas.wps.cn/vas-ai-hub/contract-review">城乡接合部</modifiedWord>
      <trackRevisions xmlns="http://schemas.wps.cn/vas-ai-hub/contract-review">false</trackRevisions>
    </reviewItem>
    <reviewItem xmlns="http://schemas.wps.cn/vas-ai-hub/contract-review">
      <errorID xmlns="http://schemas.wps.cn/vas-ai-hub/contract-review">8b63891e-7202-4597-bea7-8535ab873071</errorID>
      <errorWord xmlns="http://schemas.wps.cn/vas-ai-hub/contract-review">留着</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留住</item>
      </candidateList>
      <explain xmlns="http://schemas.wps.cn/vas-ai-hub/contract-review">存在发音相近字词的误用。</explain>
      <paraID xmlns="http://schemas.wps.cn/vas-ai-hub/contract-review">4BE0BB5E</paraID>
      <start xmlns="http://schemas.wps.cn/vas-ai-hub/contract-review">112</start>
      <end xmlns="http://schemas.wps.cn/vas-ai-hub/contract-review">114</end>
      <status xmlns="http://schemas.wps.cn/vas-ai-hub/contract-review">modified</status>
      <modifiedWord xmlns="http://schemas.wps.cn/vas-ai-hub/contract-review">留住</modifiedWord>
      <trackRevisions xmlns="http://schemas.wps.cn/vas-ai-hub/contract-review">false</trackRevisions>
    </reviewItem>
    <reviewItem xmlns="http://schemas.wps.cn/vas-ai-hub/contract-review">
      <errorID xmlns="http://schemas.wps.cn/vas-ai-hub/contract-review">2e3a9947-0aa5-45bc-b443-bb92cd31b9d8</errorID>
      <errorWord xmlns="http://schemas.wps.cn/vas-ai-hub/contract-review">细</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细化</item>
      </candidateList>
      <explain xmlns="http://schemas.wps.cn/vas-ai-hub/contract-review"/>
      <paraID xmlns="http://schemas.wps.cn/vas-ai-hub/contract-review">19B704EC</paraID>
      <start xmlns="http://schemas.wps.cn/vas-ai-hub/contract-review">5</start>
      <end xmlns="http://schemas.wps.cn/vas-ai-hub/contract-review">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346ec049-350c-407c-aced-cbd44b6897f4</errorID>
      <errorWord xmlns="http://schemas.wps.cn/vas-ai-hub/contract-review">新晃县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新晃侗族自治县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 637181E</paraID>
      <start xmlns="http://schemas.wps.cn/vas-ai-hub/contract-review">106</start>
      <end xmlns="http://schemas.wps.cn/vas-ai-hub/contract-review">109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4119e590-3bd4-463a-ac4d-0edcaa917496</errorID>
      <errorWord xmlns="http://schemas.wps.cn/vas-ai-hub/contract-review">新晃县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新晃侗族自治县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 C2B19D5</paraID>
      <start xmlns="http://schemas.wps.cn/vas-ai-hub/contract-review">204</start>
      <end xmlns="http://schemas.wps.cn/vas-ai-hub/contract-review">207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f94a3579-3b53-4625-a2cc-e54a18765940</errorID>
      <errorWord xmlns="http://schemas.wps.cn/vas-ai-hub/contract-review">轻手</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轻</item>
      </candidateList>
      <explain xmlns="http://schemas.wps.cn/vas-ai-hub/contract-review"/>
      <paraID xmlns="http://schemas.wps.cn/vas-ai-hub/contract-review">79AE6996</paraID>
      <start xmlns="http://schemas.wps.cn/vas-ai-hub/contract-review">76</start>
      <end xmlns="http://schemas.wps.cn/vas-ai-hub/contract-review">78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851b04b7-b9c1-441d-83cc-2dd8f47c8cff</errorID>
      <errorWord xmlns="http://schemas.wps.cn/vas-ai-hub/contract-review">居民日益增长的美好生活需要</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人民日益增长的美好生活需要</item>
      </candidateList>
      <explain xmlns="http://schemas.wps.cn/vas-ai-hub/contract-review">词汇“人民日益增长的美好生活需要”在特定场景下为固定表述形式，请确认此处的“居民日益增长的美好生活需要”是否存在不当。</explain>
      <paraID xmlns="http://schemas.wps.cn/vas-ai-hub/contract-review">6593B291</paraID>
      <start xmlns="http://schemas.wps.cn/vas-ai-hub/contract-review">13</start>
      <end xmlns="http://schemas.wps.cn/vas-ai-hub/contract-review">26</end>
      <status xmlns="http://schemas.wps.cn/vas-ai-hub/contract-review">modified</status>
      <modifiedWord xmlns="http://schemas.wps.cn/vas-ai-hub/contract-review">人民日益增长的美好生活需要</modifiedWord>
      <trackRevisions xmlns="http://schemas.wps.cn/vas-ai-hub/contract-review">false</trackRevisions>
    </reviewItem>
    <reviewItem xmlns="http://schemas.wps.cn/vas-ai-hub/contract-review">
      <errorID xmlns="http://schemas.wps.cn/vas-ai-hub/contract-review">db691058-747b-4b5f-ade3-60fba17fe206</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6593B291</paraID>
      <start xmlns="http://schemas.wps.cn/vas-ai-hub/contract-review">244</start>
      <end xmlns="http://schemas.wps.cn/vas-ai-hub/contract-review">246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780b911e-f8f0-46a0-ac27-3f66bfb165d7</errorID>
      <errorWord xmlns="http://schemas.wps.cn/vas-ai-hub/contract-review">即食性</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即时性</item>
      </candidateList>
      <explain xmlns="http://schemas.wps.cn/vas-ai-hub/contract-review"/>
      <paraID xmlns="http://schemas.wps.cn/vas-ai-hub/contract-review">  510350</paraID>
      <start xmlns="http://schemas.wps.cn/vas-ai-hub/contract-review">111</start>
      <end xmlns="http://schemas.wps.cn/vas-ai-hub/contract-review">114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b8d2192c-c8f2-4eb8-8007-49d4b39d5571</errorID>
      <errorWord xmlns="http://schemas.wps.cn/vas-ai-hub/contract-review">组组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组</item>
      </candidateList>
      <explain xmlns="http://schemas.wps.cn/vas-ai-hub/contract-review"/>
      <paraID xmlns="http://schemas.wps.cn/vas-ai-hub/contract-review">32A38C47</paraID>
      <start xmlns="http://schemas.wps.cn/vas-ai-hub/contract-review">133</start>
      <end xmlns="http://schemas.wps.cn/vas-ai-hub/contract-review">135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8e7c48f2-4454-46a9-9e70-eff06232fdb4</errorID>
      <errorWord xmlns="http://schemas.wps.cn/vas-ai-hub/contract-review">新晃县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新晃侗族自治县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3AB2DA22</paraID>
      <start xmlns="http://schemas.wps.cn/vas-ai-hub/contract-review">40</start>
      <end xmlns="http://schemas.wps.cn/vas-ai-hub/contract-review">43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17e0151f-3bb8-4efd-a32d-5d3692e022fc</errorID>
      <errorWord xmlns="http://schemas.wps.cn/vas-ai-hub/contract-review">新晃县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新晃侗族自治县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3E3E4678</paraID>
      <start xmlns="http://schemas.wps.cn/vas-ai-hub/contract-review">143</start>
      <end xmlns="http://schemas.wps.cn/vas-ai-hub/contract-review">146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7725fbbe-e16d-462a-ab34-eb3e9b3a34f8</errorID>
      <errorWord xmlns="http://schemas.wps.cn/vas-ai-hub/contract-review">能</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能产</item>
      </candidateList>
      <explain xmlns="http://schemas.wps.cn/vas-ai-hub/contract-review"/>
      <paraID xmlns="http://schemas.wps.cn/vas-ai-hub/contract-review">769E9FD6</paraID>
      <start xmlns="http://schemas.wps.cn/vas-ai-hub/contract-review">116</start>
      <end xmlns="http://schemas.wps.cn/vas-ai-hub/contract-review">118</end>
      <status xmlns="http://schemas.wps.cn/vas-ai-hub/contract-review">modified</status>
      <modifiedWord xmlns="http://schemas.wps.cn/vas-ai-hub/contract-review">能产</modifiedWord>
      <trackRevisions xmlns="http://schemas.wps.cn/vas-ai-hub/contract-review">false</trackRevisions>
    </reviewItem>
    <reviewItem xmlns="http://schemas.wps.cn/vas-ai-hub/contract-review">
      <errorID xmlns="http://schemas.wps.cn/vas-ai-hub/contract-review">786a2060-56ee-49bc-af46-68cdbd7fb0dd</errorID>
      <errorWord xmlns="http://schemas.wps.cn/vas-ai-hub/contract-review">新晃县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新晃侗族自治县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769E9FD6</paraID>
      <start xmlns="http://schemas.wps.cn/vas-ai-hub/contract-review">130</start>
      <end xmlns="http://schemas.wps.cn/vas-ai-hub/contract-review">133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e654b58a-1196-465f-aa40-95afdb8e2e6a</errorID>
      <errorWord xmlns="http://schemas.wps.cn/vas-ai-hub/contract-review">新晃县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新晃侗族自治县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71A78E33</paraID>
      <start xmlns="http://schemas.wps.cn/vas-ai-hub/contract-review">46</start>
      <end xmlns="http://schemas.wps.cn/vas-ai-hub/contract-review">49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b34f3415-eb79-42ff-8d06-d0621c8c56c7</errorID>
      <errorWord xmlns="http://schemas.wps.cn/vas-ai-hub/contract-review">新晃县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新晃侗族自治县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71A78E33</paraID>
      <start xmlns="http://schemas.wps.cn/vas-ai-hub/contract-review">158</start>
      <end xmlns="http://schemas.wps.cn/vas-ai-hub/contract-review">161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e51a912d-ace8-4fba-95da-0a1214cf7bc8</errorID>
      <errorWord xmlns="http://schemas.wps.cn/vas-ai-hub/contract-review">“急难愁盼”问题</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急难愁盼问题</item>
      </candidateList>
      <explain xmlns="http://schemas.wps.cn/vas-ai-hub/contract-review">注意检查当前固定表述标点是否使用规范。</explain>
      <paraID xmlns="http://schemas.wps.cn/vas-ai-hub/contract-review">66473FF5</paraID>
      <start xmlns="http://schemas.wps.cn/vas-ai-hub/contract-review">37</start>
      <end xmlns="http://schemas.wps.cn/vas-ai-hub/contract-review">43</end>
      <status xmlns="http://schemas.wps.cn/vas-ai-hub/contract-review">modified</status>
      <modifiedWord xmlns="http://schemas.wps.cn/vas-ai-hub/contract-review">急难愁盼问题</modifiedWord>
      <trackRevisions xmlns="http://schemas.wps.cn/vas-ai-hub/contract-review">false</trackRevisions>
    </reviewItem>
    <reviewItem xmlns="http://schemas.wps.cn/vas-ai-hub/contract-review">
      <errorID xmlns="http://schemas.wps.cn/vas-ai-hub/contract-review">be41a02e-f4b0-4a21-bec4-d24a54446aab</errorID>
      <errorWord xmlns="http://schemas.wps.cn/vas-ai-hub/contract-review">的</errorWord>
      <group xmlns="http://schemas.wps.cn/vas-ai-hub/contract-review">L1_Word</group>
      <groupName xmlns="http://schemas.wps.cn/vas-ai-hub/contract-review">字词问题</groupName>
      <ability xmlns="http://schemas.wps.cn/vas-ai-hub/contract-review">L2_DDD</ability>
      <abilityName xmlns="http://schemas.wps.cn/vas-ai-hub/contract-review">的地得用法</abilityName>
      <candidateList xmlns="http://schemas.wps.cn/vas-ai-hub/contract-review">
        <item xmlns="http://schemas.wps.cn/vas-ai-hub/contract-review">地</item>
      </candidateList>
      <explain xmlns="http://schemas.wps.cn/vas-ai-hub/contract-review">“地”常用于连接修饰语与动词性中心语，表示动作的方式、状态或程度。</explain>
      <paraID xmlns="http://schemas.wps.cn/vas-ai-hub/contract-review"> 826B530</paraID>
      <start xmlns="http://schemas.wps.cn/vas-ai-hub/contract-review">104</start>
      <end xmlns="http://schemas.wps.cn/vas-ai-hub/contract-review">105</end>
      <status xmlns="http://schemas.wps.cn/vas-ai-hub/contract-review">modified</status>
      <modifiedWord xmlns="http://schemas.wps.cn/vas-ai-hub/contract-review">地</modifiedWord>
      <trackRevisions xmlns="http://schemas.wps.cn/vas-ai-hub/contract-review">false</trackRevisions>
    </reviewItem>
    <reviewItem xmlns="http://schemas.wps.cn/vas-ai-hub/contract-review">
      <errorID xmlns="http://schemas.wps.cn/vas-ai-hub/contract-review">4150d666-923c-4036-9d59-24836395c19a</errorID>
      <errorWord xmlns="http://schemas.wps.cn/vas-ai-hub/contract-review">城乡基本养老保险</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城乡居民基本养老保险</item>
      </candidateList>
      <explain xmlns="http://schemas.wps.cn/vas-ai-hub/contract-review"/>
      <paraID xmlns="http://schemas.wps.cn/vas-ai-hub/contract-review">60CA55A1</paraID>
      <start xmlns="http://schemas.wps.cn/vas-ai-hub/contract-review">83</start>
      <end xmlns="http://schemas.wps.cn/vas-ai-hub/contract-review">93</end>
      <status xmlns="http://schemas.wps.cn/vas-ai-hub/contract-review">modified</status>
      <modifiedWord xmlns="http://schemas.wps.cn/vas-ai-hub/contract-review">城乡居民基本养老保险</modifiedWord>
      <trackRevisions xmlns="http://schemas.wps.cn/vas-ai-hub/contract-review">false</trackRevisions>
    </reviewItem>
    <reviewItem xmlns="http://schemas.wps.cn/vas-ai-hub/contract-review">
      <errorID xmlns="http://schemas.wps.cn/vas-ai-hub/contract-review">78b5145d-d09a-4908-842e-bce31d85b85c</errorID>
      <errorWord xmlns="http://schemas.wps.cn/vas-ai-hub/contract-review">校院</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校园</item>
      </candidateList>
      <explain xmlns="http://schemas.wps.cn/vas-ai-hub/contract-review"/>
      <paraID xmlns="http://schemas.wps.cn/vas-ai-hub/contract-review">699E3F81</paraID>
      <start xmlns="http://schemas.wps.cn/vas-ai-hub/contract-review">55</start>
      <end xmlns="http://schemas.wps.cn/vas-ai-hub/contract-review">57</end>
      <status xmlns="http://schemas.wps.cn/vas-ai-hub/contract-review">modified</status>
      <modifiedWord xmlns="http://schemas.wps.cn/vas-ai-hub/contract-review">校园</modifiedWord>
      <trackRevisions xmlns="http://schemas.wps.cn/vas-ai-hub/contract-review">false</trackRevisions>
    </reviewItem>
    <reviewItem xmlns="http://schemas.wps.cn/vas-ai-hub/contract-review">
      <errorID xmlns="http://schemas.wps.cn/vas-ai-hub/contract-review">4380fea3-bbe1-4eb8-a57c-d6f7c72674a9</errorID>
      <errorWord xmlns="http://schemas.wps.cn/vas-ai-hub/contract-review">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构为</item>
      </candidateList>
      <explain xmlns="http://schemas.wps.cn/vas-ai-hub/contract-review"/>
      <paraID xmlns="http://schemas.wps.cn/vas-ai-hub/contract-review">28F70B9B</paraID>
      <start xmlns="http://schemas.wps.cn/vas-ai-hub/contract-review">129</start>
      <end xmlns="http://schemas.wps.cn/vas-ai-hub/contract-review">130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a32a1110-e874-4cb9-a58a-2f29ccac55be</errorID>
      <errorWord xmlns="http://schemas.wps.cn/vas-ai-hub/contract-review">文艺艺术作品</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文学艺术作品</item>
      </candidateList>
      <explain xmlns="http://schemas.wps.cn/vas-ai-hub/contract-review"/>
      <paraID xmlns="http://schemas.wps.cn/vas-ai-hub/contract-review">53525F61</paraID>
      <start xmlns="http://schemas.wps.cn/vas-ai-hub/contract-review">47</start>
      <end xmlns="http://schemas.wps.cn/vas-ai-hub/contract-review">53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435a3952-73e8-4c19-93ed-600c8c00708e</errorID>
      <errorWord xmlns="http://schemas.wps.cn/vas-ai-hub/contract-review">低质低效林改造</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低产低效林改造</item>
      </candidateList>
      <explain xmlns="http://schemas.wps.cn/vas-ai-hub/contract-review">词汇“低产低效林改造”在特定场景下为固定表述形式，请确认此处的“低质低效林改造”是否存在不当。</explain>
      <paraID xmlns="http://schemas.wps.cn/vas-ai-hub/contract-review">5E177E46</paraID>
      <start xmlns="http://schemas.wps.cn/vas-ai-hub/contract-review">192</start>
      <end xmlns="http://schemas.wps.cn/vas-ai-hub/contract-review">199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efdcefa0-55f2-4791-a132-52775cfdb871</errorID>
      <errorWord xmlns="http://schemas.wps.cn/vas-ai-hub/contract-review">战役</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战</item>
      </candidateList>
      <explain xmlns="http://schemas.wps.cn/vas-ai-hub/contract-review"/>
      <paraID xmlns="http://schemas.wps.cn/vas-ai-hub/contract-review">4D04FD5B</paraID>
      <start xmlns="http://schemas.wps.cn/vas-ai-hub/contract-review">8</start>
      <end xmlns="http://schemas.wps.cn/vas-ai-hub/contract-review">10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ea102a2c-318f-4f79-aaed-fc57f0d7bd79</errorID>
      <errorWord xmlns="http://schemas.wps.cn/vas-ai-hub/contract-review">美乡村建设</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美丽乡村建设</item>
      </candidateList>
      <explain xmlns="http://schemas.wps.cn/vas-ai-hub/contract-review">词汇“美丽乡村建设”在特定场景下为固定表述形式，请确认此处的“美乡村建设”是否存在不当。</explain>
      <paraID xmlns="http://schemas.wps.cn/vas-ai-hub/contract-review">70D335A2</paraID>
      <start xmlns="http://schemas.wps.cn/vas-ai-hub/contract-review">13</start>
      <end xmlns="http://schemas.wps.cn/vas-ai-hub/contract-review">18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1a9233f4-3426-4524-976d-47390d682ca5</errorID>
      <errorWord xmlns="http://schemas.wps.cn/vas-ai-hub/contract-review">法制教育</errorWord>
      <group xmlns="http://schemas.wps.cn/vas-ai-hub/contract-review">L1_Political</group>
      <groupName xmlns="http://schemas.wps.cn/vas-ai-hub/contract-review">政治性问题</groupName>
      <ability xmlns="http://schemas.wps.cn/vas-ai-hub/contract-review">L2_Unpolitical</ability>
      <abilityName xmlns="http://schemas.wps.cn/vas-ai-hub/contract-review">政治敏感错误</abilityName>
      <candidateList xmlns="http://schemas.wps.cn/vas-ai-hub/contract-review">
        <item xmlns="http://schemas.wps.cn/vas-ai-hub/contract-review">法治教育</item>
      </candidateList>
      <explain xmlns="http://schemas.wps.cn/vas-ai-hub/contract-review"/>
      <paraID xmlns="http://schemas.wps.cn/vas-ai-hub/contract-review"> 7A3FB32</paraID>
      <start xmlns="http://schemas.wps.cn/vas-ai-hub/contract-review">6</start>
      <end xmlns="http://schemas.wps.cn/vas-ai-hub/contract-review">10</end>
      <status xmlns="http://schemas.wps.cn/vas-ai-hub/contract-review">modified</status>
      <modifiedWord xmlns="http://schemas.wps.cn/vas-ai-hub/contract-review">法治教育</modifiedWord>
      <trackRevisions xmlns="http://schemas.wps.cn/vas-ai-hub/contract-review">false</trackRevisions>
    </reviewItem>
    <reviewItem xmlns="http://schemas.wps.cn/vas-ai-hub/contract-review">
      <errorID xmlns="http://schemas.wps.cn/vas-ai-hub/contract-review">83a27e6c-6739-4b4b-ba17-a8c6847448c5</errorID>
      <errorWord xmlns="http://schemas.wps.cn/vas-ai-hub/contract-review">行政化</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行政</item>
      </candidateList>
      <explain xmlns="http://schemas.wps.cn/vas-ai-hub/contract-review"/>
      <paraID xmlns="http://schemas.wps.cn/vas-ai-hub/contract-review">6F106385</paraID>
      <start xmlns="http://schemas.wps.cn/vas-ai-hub/contract-review">107</start>
      <end xmlns="http://schemas.wps.cn/vas-ai-hub/contract-review">109</end>
      <status xmlns="http://schemas.wps.cn/vas-ai-hub/contract-review">modified</status>
      <modifiedWord xmlns="http://schemas.wps.cn/vas-ai-hub/contract-review">行政</modifiedWord>
      <trackRevisions xmlns="http://schemas.wps.cn/vas-ai-hub/contract-review">false</trackRevisions>
    </reviewItem>
    <reviewItem xmlns="http://schemas.wps.cn/vas-ai-hub/contract-review">
      <errorID xmlns="http://schemas.wps.cn/vas-ai-hub/contract-review">45509a8c-60b5-44be-82ae-6e4584f1c6d2</errorID>
      <errorWord xmlns="http://schemas.wps.cn/vas-ai-hub/contract-review">发展全过程民主</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发展全过程人民民主</item>
      </candidateList>
      <explain xmlns="http://schemas.wps.cn/vas-ai-hub/contract-review">词汇“发展全过程人民民主”在特定场景下为固定表述形式，请确认此处的“发展全过程民主”是否存在不当。</explain>
      <paraID xmlns="http://schemas.wps.cn/vas-ai-hub/contract-review">2FDF3F0A</paraID>
      <start xmlns="http://schemas.wps.cn/vas-ai-hub/contract-review">0</start>
      <end xmlns="http://schemas.wps.cn/vas-ai-hub/contract-review">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8093eb4c-c396-4bab-9d1f-460f48953cd0</errorID>
      <errorWord xmlns="http://schemas.wps.cn/vas-ai-hub/contract-review">资源节约和环境保护</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节约资源和保护环境</item>
      </candidateList>
      <explain xmlns="http://schemas.wps.cn/vas-ai-hub/contract-review">词汇“节约资源和保护环境”在特定场景下为固定表述形式，请确认此处的“资源节约和环境保护”是否存在不当。</explain>
      <paraID xmlns="http://schemas.wps.cn/vas-ai-hub/contract-review">7052E2FB</paraID>
      <start xmlns="http://schemas.wps.cn/vas-ai-hub/contract-review">168</start>
      <end xmlns="http://schemas.wps.cn/vas-ai-hub/contract-review">177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695b554a-f94b-4991-bf5d-0e03d558bf61</errorID>
      <errorWord xmlns="http://schemas.wps.cn/vas-ai-hub/contract-review">现代化产业新体系</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现代化产业体系</item>
      </candidateList>
      <explain xmlns="http://schemas.wps.cn/vas-ai-hub/contract-review">词汇“现代化产业体系”在特定场景下为固定表述形式，请确认此处的“现代化产业新体系”是否存在不当。</explain>
      <paraID xmlns="http://schemas.wps.cn/vas-ai-hub/contract-review">13B84234</paraID>
      <start xmlns="http://schemas.wps.cn/vas-ai-hub/contract-review">49</start>
      <end xmlns="http://schemas.wps.cn/vas-ai-hub/contract-review">57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4e0211d8-2acd-40f3-9ce0-613974b62dea</errorID>
      <errorWord xmlns="http://schemas.wps.cn/vas-ai-hub/contract-review">发展方式新转型</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发展方式绿色转型</item>
      </candidateList>
      <explain xmlns="http://schemas.wps.cn/vas-ai-hub/contract-review">词汇“发展方式绿色转型”在特定场景下为固定表述形式，请确认此处的“发展方式新转型”是否存在不当。</explain>
      <paraID xmlns="http://schemas.wps.cn/vas-ai-hub/contract-review">13B84234</paraID>
      <start xmlns="http://schemas.wps.cn/vas-ai-hub/contract-review">76</start>
      <end xmlns="http://schemas.wps.cn/vas-ai-hub/contract-review">83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461edffc-1573-46d8-9185-d65ee019dfc9</errorID>
      <errorWord xmlns="http://schemas.wps.cn/vas-ai-hub/contract-review">新晃县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新晃侗族自治县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342A8DCA</paraID>
      <start xmlns="http://schemas.wps.cn/vas-ai-hub/contract-review">12</start>
      <end xmlns="http://schemas.wps.cn/vas-ai-hub/contract-review">15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fca6079d-ec3d-4088-b3f8-9ab06454021b</errorID>
      <errorWord xmlns="http://schemas.wps.cn/vas-ai-hub/contract-review">新晃县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新晃侗族自治县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7214FD4D</paraID>
      <start xmlns="http://schemas.wps.cn/vas-ai-hub/contract-review">12</start>
      <end xmlns="http://schemas.wps.cn/vas-ai-hub/contract-review">15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edc99029-077e-4c24-8cd8-fb895c53e313</errorID>
      <errorWord xmlns="http://schemas.wps.cn/vas-ai-hub/contract-review">等</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等一</item>
      </candidateList>
      <explain xmlns="http://schemas.wps.cn/vas-ai-hub/contract-review"/>
      <paraID xmlns="http://schemas.wps.cn/vas-ai-hub/contract-review">22C76839</paraID>
      <start xmlns="http://schemas.wps.cn/vas-ai-hub/contract-review">35</start>
      <end xmlns="http://schemas.wps.cn/vas-ai-hub/contract-review">36</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3.xml><?xml version="1.0" encoding="utf-8"?>
<b:Sources xmlns:b="http://schemas.openxmlformats.org/officeDocument/2006/bibliography" StyleName="APA" SelectedStyle="\APASixthEditionOfficeOnline.xsl"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536AB03-074E-4857-B7C0-B5A7FCE393A9}">
  <ds:schemaRefs/>
</ds:datastoreItem>
</file>

<file path=customXml/itemProps3.xml><?xml version="1.0" encoding="utf-8"?>
<ds:datastoreItem xmlns:ds="http://schemas.openxmlformats.org/officeDocument/2006/customXml" ds:itemID="{2908660D-3B90-464E-B7F9-7AD631D2D2C9}">
  <ds:schemaRefs/>
</ds:datastoreItem>
</file>

<file path=docProps/app.xml><?xml version="1.0" encoding="utf-8"?>
<Properties xmlns="http://schemas.openxmlformats.org/officeDocument/2006/extended-properties" xmlns:vt="http://schemas.openxmlformats.org/officeDocument/2006/docPropsVTypes">
  <Template>Normal.dotm</Template>
  <Pages>36</Pages>
  <Words>173</Words>
  <Characters>189</Characters>
  <Lines>1602</Lines>
  <Paragraphs>858</Paragraphs>
  <TotalTime>0</TotalTime>
  <ScaleCrop>false</ScaleCrop>
  <LinksUpToDate>false</LinksUpToDate>
  <CharactersWithSpaces>199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2025-12-20T07:43:00Z</dcterms:created>
  <dc:creator>10507</dc:creator>
  <cp:lastModifiedBy>时间</cp:lastModifiedBy>
  <cp:lastPrinted>2026-10-10T02:48:00Z</cp:lastPrinted>
  <dcterms:modified xsi:type="dcterms:W3CDTF">2026-11-03T07:23:28Z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38248241BFEF41E29BEB0FD0E3C43292_13</vt:lpwstr>
  </property>
  <property fmtid="{D5CDD505-2E9C-101B-9397-08002B2CF9AE}" pid="4" name="KSOTemplateDocerSaveRecord">
    <vt:lpwstr>eyJoZGlkIjoiOGMwYWQ0YTA5ZjQ5NmZlNjlhNGRiMjM0YWI3NjgyY2EiLCJ1c2VySWQiOiIzNzA0NjI4MDQifQ==</vt:lpwstr>
  </property>
</Properties>
</file>