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1E8A8">
      <w:pPr>
        <w:spacing w:before="240" w:line="340" w:lineRule="exact"/>
        <w:jc w:val="left"/>
        <w:rPr>
          <w:b/>
          <w:sz w:val="24"/>
        </w:rPr>
      </w:pPr>
      <w:r>
        <w:rPr>
          <w:rFonts w:hint="eastAsia" w:ascii="仿宋_GB2312" w:hAnsi="仿宋_GB2312" w:eastAsia="仿宋_GB2312" w:cs="仿宋_GB2312"/>
          <w:b/>
          <w:sz w:val="24"/>
        </w:rPr>
        <w:t>附件2-3 </w:t>
      </w:r>
    </w:p>
    <w:p w14:paraId="669F9A9A">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066011A2">
      <w:pPr>
        <w:spacing w:line="560" w:lineRule="exact"/>
        <w:ind w:firstLine="643" w:firstLineChars="200"/>
        <w:jc w:val="left"/>
        <w:rPr>
          <w:rFonts w:hint="eastAsia" w:ascii="宋体" w:hAnsi="宋体" w:eastAsia="宋体" w:cs="宋体"/>
          <w:b/>
          <w:bCs w:val="0"/>
          <w:sz w:val="32"/>
          <w:szCs w:val="32"/>
        </w:rPr>
      </w:pPr>
    </w:p>
    <w:p w14:paraId="3CA495B8">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1C60558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C5C6664">
      <w:pPr>
        <w:spacing w:line="560" w:lineRule="exact"/>
        <w:ind w:firstLine="630" w:firstLineChars="200"/>
        <w:jc w:val="left"/>
        <w:rPr>
          <w:rFonts w:hint="default" w:ascii="仿宋_GB2312" w:hAnsi="仿宋_GB2312" w:eastAsia="仿宋" w:cs="仿宋_GB2312"/>
          <w:sz w:val="32"/>
          <w:szCs w:val="32"/>
          <w:lang w:val="en-US" w:eastAsia="zh-CN"/>
        </w:rPr>
      </w:pPr>
      <w:r>
        <w:rPr>
          <w:rFonts w:ascii="仿宋" w:hAnsi="仿宋" w:eastAsia="仿宋" w:cs="仿宋"/>
          <w:i w:val="0"/>
          <w:iCs w:val="0"/>
          <w:caps w:val="0"/>
          <w:color w:val="333333"/>
          <w:spacing w:val="0"/>
          <w:sz w:val="31"/>
          <w:szCs w:val="31"/>
          <w:bdr w:val="none" w:color="auto" w:sz="0" w:space="0"/>
          <w:shd w:val="clear" w:fill="FFFFFF"/>
        </w:rPr>
        <w:t>县退役军人事务局</w:t>
      </w:r>
      <w:r>
        <w:rPr>
          <w:rFonts w:hint="eastAsia" w:ascii="仿宋" w:hAnsi="仿宋" w:eastAsia="仿宋" w:cs="仿宋"/>
          <w:i w:val="0"/>
          <w:iCs w:val="0"/>
          <w:caps w:val="0"/>
          <w:color w:val="333333"/>
          <w:spacing w:val="0"/>
          <w:sz w:val="31"/>
          <w:szCs w:val="31"/>
          <w:bdr w:val="none" w:color="auto" w:sz="0" w:space="0"/>
          <w:shd w:val="clear" w:fill="FFFFFF"/>
          <w:lang w:val="en-US" w:eastAsia="zh-CN"/>
        </w:rPr>
        <w:t>2024</w:t>
      </w:r>
      <w:r>
        <w:rPr>
          <w:rFonts w:hint="eastAsia" w:ascii="仿宋" w:hAnsi="仿宋" w:eastAsia="仿宋" w:cs="仿宋"/>
          <w:i w:val="0"/>
          <w:iCs w:val="0"/>
          <w:caps w:val="0"/>
          <w:color w:val="333333"/>
          <w:spacing w:val="0"/>
          <w:sz w:val="31"/>
          <w:szCs w:val="31"/>
          <w:bdr w:val="none" w:color="auto" w:sz="0" w:space="0"/>
          <w:shd w:val="clear" w:fill="FFFFFF"/>
        </w:rPr>
        <w:t>年退役士兵安置（上级资金）</w:t>
      </w:r>
      <w:r>
        <w:rPr>
          <w:rFonts w:hint="eastAsia" w:ascii="仿宋" w:hAnsi="仿宋" w:eastAsia="仿宋" w:cs="仿宋"/>
          <w:i w:val="0"/>
          <w:iCs w:val="0"/>
          <w:caps w:val="0"/>
          <w:color w:val="333333"/>
          <w:spacing w:val="0"/>
          <w:sz w:val="31"/>
          <w:szCs w:val="31"/>
          <w:bdr w:val="none" w:color="auto" w:sz="0" w:space="0"/>
          <w:shd w:val="clear" w:fill="FFFFFF"/>
          <w:lang w:eastAsia="zh-CN"/>
        </w:rPr>
        <w:t>项目</w:t>
      </w:r>
      <w:bookmarkStart w:id="0" w:name="_GoBack"/>
      <w:bookmarkEnd w:id="0"/>
      <w:r>
        <w:rPr>
          <w:rFonts w:hint="eastAsia" w:ascii="仿宋" w:hAnsi="仿宋" w:eastAsia="仿宋" w:cs="仿宋"/>
          <w:i w:val="0"/>
          <w:iCs w:val="0"/>
          <w:caps w:val="0"/>
          <w:color w:val="333333"/>
          <w:spacing w:val="0"/>
          <w:sz w:val="31"/>
          <w:szCs w:val="31"/>
          <w:bdr w:val="none" w:color="auto" w:sz="0" w:space="0"/>
          <w:shd w:val="clear" w:fill="FFFFFF"/>
          <w:lang w:eastAsia="zh-CN"/>
        </w:rPr>
        <w:t>预算</w:t>
      </w:r>
      <w:r>
        <w:rPr>
          <w:rFonts w:hint="eastAsia" w:ascii="仿宋" w:hAnsi="仿宋" w:eastAsia="仿宋" w:cs="仿宋"/>
          <w:i w:val="0"/>
          <w:iCs w:val="0"/>
          <w:caps w:val="0"/>
          <w:color w:val="333333"/>
          <w:spacing w:val="0"/>
          <w:sz w:val="31"/>
          <w:szCs w:val="31"/>
          <w:bdr w:val="none" w:color="auto" w:sz="0" w:space="0"/>
          <w:shd w:val="clear" w:fill="FFFFFF"/>
          <w:lang w:val="en-US" w:eastAsia="zh-CN"/>
        </w:rPr>
        <w:t>11.2</w:t>
      </w:r>
      <w:r>
        <w:rPr>
          <w:rFonts w:hint="eastAsia" w:ascii="仿宋" w:hAnsi="仿宋" w:eastAsia="仿宋" w:cs="仿宋"/>
          <w:i w:val="0"/>
          <w:iCs w:val="0"/>
          <w:caps w:val="0"/>
          <w:color w:val="333333"/>
          <w:spacing w:val="0"/>
          <w:sz w:val="31"/>
          <w:szCs w:val="31"/>
          <w:bdr w:val="none" w:color="auto" w:sz="0" w:space="0"/>
          <w:shd w:val="clear" w:fill="FFFFFF"/>
        </w:rPr>
        <w:t>万元，</w:t>
      </w:r>
      <w:r>
        <w:rPr>
          <w:rFonts w:hint="eastAsia" w:ascii="仿宋" w:hAnsi="仿宋" w:eastAsia="仿宋" w:cs="仿宋"/>
          <w:i w:val="0"/>
          <w:iCs w:val="0"/>
          <w:caps w:val="0"/>
          <w:color w:val="333333"/>
          <w:spacing w:val="0"/>
          <w:sz w:val="31"/>
          <w:szCs w:val="31"/>
          <w:bdr w:val="none" w:color="auto" w:sz="0" w:space="0"/>
          <w:shd w:val="clear" w:fill="FFFFFF"/>
          <w:lang w:eastAsia="zh-CN"/>
        </w:rPr>
        <w:t>全年预算数</w:t>
      </w:r>
      <w:r>
        <w:rPr>
          <w:rFonts w:hint="eastAsia" w:ascii="仿宋" w:hAnsi="仿宋" w:eastAsia="仿宋" w:cs="仿宋"/>
          <w:i w:val="0"/>
          <w:iCs w:val="0"/>
          <w:caps w:val="0"/>
          <w:color w:val="333333"/>
          <w:spacing w:val="0"/>
          <w:sz w:val="31"/>
          <w:szCs w:val="31"/>
          <w:bdr w:val="none" w:color="auto" w:sz="0" w:space="0"/>
          <w:shd w:val="clear" w:fill="FFFFFF"/>
          <w:lang w:val="en-US" w:eastAsia="zh-CN"/>
        </w:rPr>
        <w:t>11.2万元，全年执行数11.2万元。</w:t>
      </w:r>
      <w:r>
        <w:rPr>
          <w:rFonts w:hint="eastAsia" w:ascii="Times New Roman" w:hAnsi="Times New Roman" w:eastAsia="仿宋_GB2312" w:cs="Times New Roman"/>
          <w:sz w:val="32"/>
          <w:szCs w:val="32"/>
          <w:lang w:val="en-US" w:eastAsia="zh-CN" w:bidi="ar-SA"/>
        </w:rPr>
        <w:t>主要范围是用于自主就业士兵经济补助，技能培训，安置期间生活费社保费等。</w:t>
      </w:r>
    </w:p>
    <w:p w14:paraId="14A764B8">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14:paraId="339B4EB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好退役士兵就业安置工作，加强职业教育和技能培训，提高专业技能和就业能力，促进退役士兵自主就业，切实保障退役士兵在待安置期间和技能培训期间的生活，构建社会主义和谐社会，达到既保障其合法权益，又促进社会稳定和发展的目的。</w:t>
      </w:r>
    </w:p>
    <w:p w14:paraId="607CB2EC">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27FC4077">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47F9950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了解退役士兵安置、退役士兵待安置期间生活补助和职业教育和技能培训资金的使用和效益情况，为预算绩效管理和下年度预算安排提供决策参考。</w:t>
      </w:r>
    </w:p>
    <w:p w14:paraId="0717E30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49E94A09">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按照科学规范、公开公正、公级分类、绩效相关的原则，采用比较法、因素法、成本法、公众评判法等方法开展绩效评价。</w:t>
      </w:r>
    </w:p>
    <w:p w14:paraId="5E28121F">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p>
    <w:p w14:paraId="66B5E829">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p>
    <w:tbl>
      <w:tblPr>
        <w:tblStyle w:val="4"/>
        <w:tblW w:w="85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8"/>
        <w:gridCol w:w="2578"/>
        <w:gridCol w:w="2852"/>
        <w:gridCol w:w="1690"/>
      </w:tblGrid>
      <w:tr w14:paraId="3CDCB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78" w:type="dxa"/>
            <w:vMerge w:val="restart"/>
            <w:tcBorders>
              <w:top w:val="nil"/>
              <w:left w:val="single" w:color="000000" w:sz="8" w:space="0"/>
              <w:bottom w:val="single" w:color="000000" w:sz="8" w:space="0"/>
              <w:right w:val="single" w:color="000000" w:sz="8" w:space="0"/>
            </w:tcBorders>
            <w:shd w:val="clear" w:color="auto" w:fill="auto"/>
            <w:vAlign w:val="center"/>
          </w:tcPr>
          <w:p w14:paraId="3F485741">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578" w:type="dxa"/>
            <w:vMerge w:val="restart"/>
            <w:tcBorders>
              <w:top w:val="nil"/>
              <w:left w:val="single" w:color="000000" w:sz="8" w:space="0"/>
              <w:bottom w:val="single" w:color="000000" w:sz="8" w:space="0"/>
              <w:right w:val="single" w:color="000000" w:sz="8" w:space="0"/>
            </w:tcBorders>
            <w:shd w:val="clear" w:color="auto" w:fill="auto"/>
            <w:vAlign w:val="center"/>
          </w:tcPr>
          <w:p w14:paraId="4BD11A3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852" w:type="dxa"/>
            <w:vMerge w:val="restart"/>
            <w:tcBorders>
              <w:top w:val="nil"/>
              <w:left w:val="single" w:color="000000" w:sz="8" w:space="0"/>
              <w:bottom w:val="single" w:color="000000" w:sz="8" w:space="0"/>
              <w:right w:val="single" w:color="000000" w:sz="8" w:space="0"/>
            </w:tcBorders>
            <w:shd w:val="clear" w:color="auto" w:fill="auto"/>
            <w:vAlign w:val="center"/>
          </w:tcPr>
          <w:p w14:paraId="41495EF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690" w:type="dxa"/>
            <w:vMerge w:val="restart"/>
            <w:tcBorders>
              <w:top w:val="nil"/>
              <w:left w:val="nil"/>
              <w:bottom w:val="single" w:color="000000" w:sz="8" w:space="0"/>
              <w:right w:val="nil"/>
            </w:tcBorders>
            <w:shd w:val="clear" w:color="auto" w:fill="auto"/>
            <w:vAlign w:val="center"/>
          </w:tcPr>
          <w:p w14:paraId="42664F5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17FEC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46DBC606">
            <w:pPr>
              <w:jc w:val="center"/>
              <w:rPr>
                <w:rFonts w:hint="eastAsia" w:ascii="微软雅黑" w:hAnsi="微软雅黑" w:eastAsia="微软雅黑" w:cs="微软雅黑"/>
                <w:b/>
                <w:bCs/>
                <w:i w:val="0"/>
                <w:iCs w:val="0"/>
                <w:color w:val="000000"/>
                <w:sz w:val="22"/>
                <w:szCs w:val="22"/>
                <w:u w:val="none"/>
              </w:rPr>
            </w:pPr>
          </w:p>
        </w:tc>
        <w:tc>
          <w:tcPr>
            <w:tcW w:w="2578" w:type="dxa"/>
            <w:vMerge w:val="continue"/>
            <w:tcBorders>
              <w:top w:val="nil"/>
              <w:left w:val="single" w:color="000000" w:sz="8" w:space="0"/>
              <w:bottom w:val="single" w:color="000000" w:sz="8" w:space="0"/>
              <w:right w:val="single" w:color="000000" w:sz="8" w:space="0"/>
            </w:tcBorders>
            <w:shd w:val="clear" w:color="auto" w:fill="auto"/>
            <w:vAlign w:val="center"/>
          </w:tcPr>
          <w:p w14:paraId="228377E5">
            <w:pPr>
              <w:jc w:val="center"/>
              <w:rPr>
                <w:rFonts w:hint="eastAsia" w:ascii="微软雅黑" w:hAnsi="微软雅黑" w:eastAsia="微软雅黑" w:cs="微软雅黑"/>
                <w:b/>
                <w:bCs/>
                <w:i w:val="0"/>
                <w:iCs w:val="0"/>
                <w:color w:val="000000"/>
                <w:sz w:val="22"/>
                <w:szCs w:val="22"/>
                <w:u w:val="none"/>
              </w:rPr>
            </w:pPr>
          </w:p>
        </w:tc>
        <w:tc>
          <w:tcPr>
            <w:tcW w:w="2852" w:type="dxa"/>
            <w:vMerge w:val="continue"/>
            <w:tcBorders>
              <w:top w:val="nil"/>
              <w:left w:val="single" w:color="000000" w:sz="8" w:space="0"/>
              <w:bottom w:val="single" w:color="000000" w:sz="8" w:space="0"/>
              <w:right w:val="single" w:color="000000" w:sz="8" w:space="0"/>
            </w:tcBorders>
            <w:shd w:val="clear" w:color="auto" w:fill="auto"/>
            <w:vAlign w:val="center"/>
          </w:tcPr>
          <w:p w14:paraId="7ECD5EEB">
            <w:pPr>
              <w:jc w:val="center"/>
              <w:rPr>
                <w:rFonts w:hint="eastAsia" w:ascii="微软雅黑" w:hAnsi="微软雅黑" w:eastAsia="微软雅黑" w:cs="微软雅黑"/>
                <w:b/>
                <w:bCs/>
                <w:i w:val="0"/>
                <w:iCs w:val="0"/>
                <w:color w:val="000000"/>
                <w:sz w:val="22"/>
                <w:szCs w:val="22"/>
                <w:u w:val="none"/>
              </w:rPr>
            </w:pPr>
          </w:p>
        </w:tc>
        <w:tc>
          <w:tcPr>
            <w:tcW w:w="1690" w:type="dxa"/>
            <w:vMerge w:val="continue"/>
            <w:tcBorders>
              <w:top w:val="nil"/>
              <w:left w:val="nil"/>
              <w:bottom w:val="single" w:color="000000" w:sz="8" w:space="0"/>
              <w:right w:val="nil"/>
            </w:tcBorders>
            <w:shd w:val="clear" w:color="auto" w:fill="auto"/>
            <w:vAlign w:val="center"/>
          </w:tcPr>
          <w:p w14:paraId="789C3D60">
            <w:pPr>
              <w:jc w:val="center"/>
              <w:rPr>
                <w:rFonts w:hint="eastAsia" w:ascii="微软雅黑" w:hAnsi="微软雅黑" w:eastAsia="微软雅黑" w:cs="微软雅黑"/>
                <w:b/>
                <w:bCs/>
                <w:i w:val="0"/>
                <w:iCs w:val="0"/>
                <w:color w:val="000000"/>
                <w:sz w:val="22"/>
                <w:szCs w:val="22"/>
                <w:u w:val="none"/>
              </w:rPr>
            </w:pPr>
          </w:p>
        </w:tc>
      </w:tr>
      <w:tr w14:paraId="0EB01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1A55148A">
            <w:pPr>
              <w:jc w:val="center"/>
              <w:rPr>
                <w:rFonts w:hint="eastAsia" w:ascii="微软雅黑" w:hAnsi="微软雅黑" w:eastAsia="微软雅黑" w:cs="微软雅黑"/>
                <w:b/>
                <w:bCs/>
                <w:i w:val="0"/>
                <w:iCs w:val="0"/>
                <w:color w:val="000000"/>
                <w:sz w:val="22"/>
                <w:szCs w:val="22"/>
                <w:u w:val="none"/>
              </w:rPr>
            </w:pPr>
          </w:p>
        </w:tc>
        <w:tc>
          <w:tcPr>
            <w:tcW w:w="2578" w:type="dxa"/>
            <w:vMerge w:val="continue"/>
            <w:tcBorders>
              <w:top w:val="nil"/>
              <w:left w:val="single" w:color="000000" w:sz="8" w:space="0"/>
              <w:bottom w:val="single" w:color="000000" w:sz="8" w:space="0"/>
              <w:right w:val="single" w:color="000000" w:sz="8" w:space="0"/>
            </w:tcBorders>
            <w:shd w:val="clear" w:color="auto" w:fill="auto"/>
            <w:vAlign w:val="center"/>
          </w:tcPr>
          <w:p w14:paraId="038B41F7">
            <w:pPr>
              <w:jc w:val="center"/>
              <w:rPr>
                <w:rFonts w:hint="eastAsia" w:ascii="微软雅黑" w:hAnsi="微软雅黑" w:eastAsia="微软雅黑" w:cs="微软雅黑"/>
                <w:b/>
                <w:bCs/>
                <w:i w:val="0"/>
                <w:iCs w:val="0"/>
                <w:color w:val="000000"/>
                <w:sz w:val="22"/>
                <w:szCs w:val="22"/>
                <w:u w:val="none"/>
              </w:rPr>
            </w:pPr>
          </w:p>
        </w:tc>
        <w:tc>
          <w:tcPr>
            <w:tcW w:w="2852" w:type="dxa"/>
            <w:vMerge w:val="continue"/>
            <w:tcBorders>
              <w:top w:val="nil"/>
              <w:left w:val="single" w:color="000000" w:sz="8" w:space="0"/>
              <w:bottom w:val="single" w:color="000000" w:sz="8" w:space="0"/>
              <w:right w:val="single" w:color="000000" w:sz="8" w:space="0"/>
            </w:tcBorders>
            <w:shd w:val="clear" w:color="auto" w:fill="auto"/>
            <w:vAlign w:val="center"/>
          </w:tcPr>
          <w:p w14:paraId="0FABD213">
            <w:pPr>
              <w:jc w:val="center"/>
              <w:rPr>
                <w:rFonts w:hint="eastAsia" w:ascii="微软雅黑" w:hAnsi="微软雅黑" w:eastAsia="微软雅黑" w:cs="微软雅黑"/>
                <w:b/>
                <w:bCs/>
                <w:i w:val="0"/>
                <w:iCs w:val="0"/>
                <w:color w:val="000000"/>
                <w:sz w:val="22"/>
                <w:szCs w:val="22"/>
                <w:u w:val="none"/>
              </w:rPr>
            </w:pPr>
          </w:p>
        </w:tc>
        <w:tc>
          <w:tcPr>
            <w:tcW w:w="1690" w:type="dxa"/>
            <w:vMerge w:val="continue"/>
            <w:tcBorders>
              <w:top w:val="nil"/>
              <w:left w:val="nil"/>
              <w:bottom w:val="single" w:color="000000" w:sz="8" w:space="0"/>
              <w:right w:val="nil"/>
            </w:tcBorders>
            <w:shd w:val="clear" w:color="auto" w:fill="auto"/>
            <w:vAlign w:val="center"/>
          </w:tcPr>
          <w:p w14:paraId="25D835E8">
            <w:pPr>
              <w:jc w:val="center"/>
              <w:rPr>
                <w:rFonts w:hint="eastAsia" w:ascii="微软雅黑" w:hAnsi="微软雅黑" w:eastAsia="微软雅黑" w:cs="微软雅黑"/>
                <w:b/>
                <w:bCs/>
                <w:i w:val="0"/>
                <w:iCs w:val="0"/>
                <w:color w:val="000000"/>
                <w:sz w:val="22"/>
                <w:szCs w:val="22"/>
                <w:u w:val="none"/>
              </w:rPr>
            </w:pPr>
          </w:p>
        </w:tc>
      </w:tr>
      <w:tr w14:paraId="4C0BA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restart"/>
            <w:tcBorders>
              <w:top w:val="nil"/>
              <w:left w:val="single" w:color="000000" w:sz="8" w:space="0"/>
              <w:bottom w:val="single" w:color="000000" w:sz="8" w:space="0"/>
              <w:right w:val="single" w:color="000000" w:sz="8" w:space="0"/>
            </w:tcBorders>
            <w:shd w:val="clear" w:color="auto" w:fill="auto"/>
            <w:vAlign w:val="center"/>
          </w:tcPr>
          <w:p w14:paraId="248C4A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4358D9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2556347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退役士兵安置补助人数</w:t>
            </w:r>
          </w:p>
        </w:tc>
        <w:tc>
          <w:tcPr>
            <w:tcW w:w="1690" w:type="dxa"/>
            <w:tcBorders>
              <w:top w:val="nil"/>
              <w:left w:val="nil"/>
              <w:bottom w:val="single" w:color="000000" w:sz="8" w:space="0"/>
              <w:right w:val="nil"/>
            </w:tcBorders>
            <w:shd w:val="clear" w:color="auto" w:fill="auto"/>
            <w:vAlign w:val="center"/>
          </w:tcPr>
          <w:p w14:paraId="55E0DD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12人</w:t>
            </w:r>
          </w:p>
        </w:tc>
      </w:tr>
      <w:tr w14:paraId="7DBB5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784D0198">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6B8990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48EC7B7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补助资金发放准确率</w:t>
            </w:r>
          </w:p>
        </w:tc>
        <w:tc>
          <w:tcPr>
            <w:tcW w:w="1690" w:type="dxa"/>
            <w:tcBorders>
              <w:top w:val="nil"/>
              <w:left w:val="nil"/>
              <w:bottom w:val="single" w:color="000000" w:sz="8" w:space="0"/>
              <w:right w:val="nil"/>
            </w:tcBorders>
            <w:shd w:val="clear" w:color="auto" w:fill="auto"/>
            <w:vAlign w:val="center"/>
          </w:tcPr>
          <w:p w14:paraId="2044AC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650E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426F356B">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059D30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2F05EFC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补助资金发放及时率</w:t>
            </w:r>
          </w:p>
        </w:tc>
        <w:tc>
          <w:tcPr>
            <w:tcW w:w="1690" w:type="dxa"/>
            <w:tcBorders>
              <w:top w:val="nil"/>
              <w:left w:val="nil"/>
              <w:bottom w:val="single" w:color="000000" w:sz="8" w:space="0"/>
              <w:right w:val="nil"/>
            </w:tcBorders>
            <w:shd w:val="clear" w:color="auto" w:fill="auto"/>
            <w:vAlign w:val="center"/>
          </w:tcPr>
          <w:p w14:paraId="12180E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78557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restart"/>
            <w:tcBorders>
              <w:top w:val="nil"/>
              <w:left w:val="single" w:color="000000" w:sz="8" w:space="0"/>
              <w:bottom w:val="single" w:color="000000" w:sz="8" w:space="0"/>
              <w:right w:val="single" w:color="000000" w:sz="8" w:space="0"/>
            </w:tcBorders>
            <w:shd w:val="clear" w:color="auto" w:fill="auto"/>
            <w:vAlign w:val="center"/>
          </w:tcPr>
          <w:p w14:paraId="338253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4FD1A4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1DBB2C3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690" w:type="dxa"/>
            <w:tcBorders>
              <w:top w:val="nil"/>
              <w:left w:val="nil"/>
              <w:bottom w:val="single" w:color="000000" w:sz="8" w:space="0"/>
              <w:right w:val="nil"/>
            </w:tcBorders>
            <w:shd w:val="clear" w:color="auto" w:fill="auto"/>
            <w:vAlign w:val="center"/>
          </w:tcPr>
          <w:p w14:paraId="44EA00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24CE6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76F71DF7">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270A3A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7579D03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保障退役士兵的待遇</w:t>
            </w:r>
          </w:p>
        </w:tc>
        <w:tc>
          <w:tcPr>
            <w:tcW w:w="1690" w:type="dxa"/>
            <w:tcBorders>
              <w:top w:val="nil"/>
              <w:left w:val="nil"/>
              <w:bottom w:val="single" w:color="000000" w:sz="8" w:space="0"/>
              <w:right w:val="nil"/>
            </w:tcBorders>
            <w:shd w:val="clear" w:color="auto" w:fill="auto"/>
            <w:vAlign w:val="center"/>
          </w:tcPr>
          <w:p w14:paraId="0FB809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41AE5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34DD60DF">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01EAE4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47074E1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690" w:type="dxa"/>
            <w:tcBorders>
              <w:top w:val="nil"/>
              <w:left w:val="nil"/>
              <w:bottom w:val="single" w:color="000000" w:sz="8" w:space="0"/>
              <w:right w:val="nil"/>
            </w:tcBorders>
            <w:shd w:val="clear" w:color="auto" w:fill="auto"/>
            <w:vAlign w:val="center"/>
          </w:tcPr>
          <w:p w14:paraId="46F88F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0777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056A2AF6">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76FB54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31CA0EA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提高退役士兵的凝聚力</w:t>
            </w:r>
          </w:p>
        </w:tc>
        <w:tc>
          <w:tcPr>
            <w:tcW w:w="1690" w:type="dxa"/>
            <w:tcBorders>
              <w:top w:val="nil"/>
              <w:left w:val="nil"/>
              <w:bottom w:val="single" w:color="000000" w:sz="8" w:space="0"/>
              <w:right w:val="nil"/>
            </w:tcBorders>
            <w:shd w:val="clear" w:color="auto" w:fill="auto"/>
            <w:vAlign w:val="center"/>
          </w:tcPr>
          <w:p w14:paraId="5D9085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有效提高</w:t>
            </w:r>
          </w:p>
        </w:tc>
      </w:tr>
      <w:tr w14:paraId="10615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tcBorders>
              <w:top w:val="nil"/>
              <w:left w:val="single" w:color="000000" w:sz="8" w:space="0"/>
              <w:bottom w:val="single" w:color="000000" w:sz="8" w:space="0"/>
              <w:right w:val="single" w:color="000000" w:sz="8" w:space="0"/>
            </w:tcBorders>
            <w:shd w:val="clear" w:color="auto" w:fill="auto"/>
            <w:vAlign w:val="center"/>
          </w:tcPr>
          <w:p w14:paraId="697AFE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5B9C58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19B404C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690" w:type="dxa"/>
            <w:tcBorders>
              <w:top w:val="nil"/>
              <w:left w:val="nil"/>
              <w:bottom w:val="single" w:color="000000" w:sz="8" w:space="0"/>
              <w:right w:val="nil"/>
            </w:tcBorders>
            <w:shd w:val="clear" w:color="auto" w:fill="auto"/>
            <w:vAlign w:val="center"/>
          </w:tcPr>
          <w:p w14:paraId="7F3191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6FB7C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restart"/>
            <w:tcBorders>
              <w:top w:val="nil"/>
              <w:left w:val="single" w:color="000000" w:sz="8" w:space="0"/>
              <w:bottom w:val="single" w:color="000000" w:sz="8" w:space="0"/>
              <w:right w:val="single" w:color="000000" w:sz="8" w:space="0"/>
            </w:tcBorders>
            <w:shd w:val="clear" w:color="auto" w:fill="auto"/>
            <w:vAlign w:val="center"/>
          </w:tcPr>
          <w:p w14:paraId="514D38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147D0C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4E2EDC7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退役士兵补助标准</w:t>
            </w:r>
          </w:p>
        </w:tc>
        <w:tc>
          <w:tcPr>
            <w:tcW w:w="1690" w:type="dxa"/>
            <w:tcBorders>
              <w:top w:val="nil"/>
              <w:left w:val="nil"/>
              <w:bottom w:val="single" w:color="000000" w:sz="8" w:space="0"/>
              <w:right w:val="nil"/>
            </w:tcBorders>
            <w:shd w:val="clear" w:color="auto" w:fill="auto"/>
            <w:vAlign w:val="center"/>
          </w:tcPr>
          <w:p w14:paraId="6CA652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kern w:val="0"/>
                <w:sz w:val="20"/>
                <w:szCs w:val="20"/>
                <w:u w:val="none"/>
                <w:lang w:val="en-US" w:eastAsia="zh-CN" w:bidi="ar"/>
              </w:rPr>
              <w:t>4500元</w:t>
            </w:r>
          </w:p>
        </w:tc>
      </w:tr>
      <w:tr w14:paraId="54D28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5C737A88">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1C5FFB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02A3370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690" w:type="dxa"/>
            <w:tcBorders>
              <w:top w:val="nil"/>
              <w:left w:val="nil"/>
              <w:bottom w:val="single" w:color="000000" w:sz="8" w:space="0"/>
              <w:right w:val="nil"/>
            </w:tcBorders>
            <w:shd w:val="clear" w:color="auto" w:fill="auto"/>
            <w:vAlign w:val="center"/>
          </w:tcPr>
          <w:p w14:paraId="1C0FA4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6A44E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478" w:type="dxa"/>
            <w:vMerge w:val="continue"/>
            <w:tcBorders>
              <w:top w:val="nil"/>
              <w:left w:val="single" w:color="000000" w:sz="8" w:space="0"/>
              <w:bottom w:val="single" w:color="000000" w:sz="8" w:space="0"/>
              <w:right w:val="single" w:color="000000" w:sz="8" w:space="0"/>
            </w:tcBorders>
            <w:shd w:val="clear" w:color="auto" w:fill="auto"/>
            <w:vAlign w:val="center"/>
          </w:tcPr>
          <w:p w14:paraId="18BC85BE">
            <w:pPr>
              <w:jc w:val="center"/>
              <w:rPr>
                <w:rFonts w:hint="eastAsia" w:ascii="微软雅黑" w:hAnsi="微软雅黑" w:eastAsia="微软雅黑" w:cs="微软雅黑"/>
                <w:i w:val="0"/>
                <w:iCs w:val="0"/>
                <w:color w:val="000000"/>
                <w:sz w:val="20"/>
                <w:szCs w:val="20"/>
                <w:u w:val="none"/>
              </w:rPr>
            </w:pPr>
          </w:p>
        </w:tc>
        <w:tc>
          <w:tcPr>
            <w:tcW w:w="2578" w:type="dxa"/>
            <w:tcBorders>
              <w:top w:val="nil"/>
              <w:left w:val="single" w:color="000000" w:sz="8" w:space="0"/>
              <w:bottom w:val="single" w:color="000000" w:sz="8" w:space="0"/>
              <w:right w:val="single" w:color="000000" w:sz="8" w:space="0"/>
            </w:tcBorders>
            <w:shd w:val="clear" w:color="auto" w:fill="auto"/>
            <w:vAlign w:val="center"/>
          </w:tcPr>
          <w:p w14:paraId="28B367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852" w:type="dxa"/>
            <w:tcBorders>
              <w:top w:val="nil"/>
              <w:left w:val="single" w:color="000000" w:sz="8" w:space="0"/>
              <w:bottom w:val="single" w:color="000000" w:sz="8" w:space="0"/>
              <w:right w:val="single" w:color="000000" w:sz="8" w:space="0"/>
            </w:tcBorders>
            <w:shd w:val="clear" w:color="auto" w:fill="auto"/>
            <w:vAlign w:val="center"/>
          </w:tcPr>
          <w:p w14:paraId="636E52D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690" w:type="dxa"/>
            <w:tcBorders>
              <w:top w:val="nil"/>
              <w:left w:val="nil"/>
              <w:bottom w:val="single" w:color="000000" w:sz="8" w:space="0"/>
              <w:right w:val="nil"/>
            </w:tcBorders>
            <w:shd w:val="clear" w:color="auto" w:fill="auto"/>
            <w:vAlign w:val="center"/>
          </w:tcPr>
          <w:p w14:paraId="6EAF9C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bl>
    <w:p w14:paraId="4BB4569C">
      <w:pPr>
        <w:spacing w:line="560" w:lineRule="exact"/>
        <w:ind w:firstLine="640" w:firstLineChars="200"/>
        <w:jc w:val="left"/>
        <w:rPr>
          <w:rFonts w:hint="eastAsia" w:ascii="仿宋_GB2312" w:hAnsi="仿宋_GB2312" w:eastAsia="仿宋_GB2312" w:cs="仿宋_GB2312"/>
          <w:sz w:val="32"/>
          <w:szCs w:val="32"/>
        </w:rPr>
      </w:pPr>
    </w:p>
    <w:p w14:paraId="3E3E1F1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0395B5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val="en-US" w:eastAsia="zh-CN" w:bidi="ar-SA"/>
        </w:rPr>
        <w:t>、前期准备。单位自评，袁州区退役军人事务局抽调移交安置和就业创业股、局办公室财务口人员组成绩效评价小组，制定工作方案。</w:t>
      </w:r>
    </w:p>
    <w:p w14:paraId="4330B6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val="en-US" w:eastAsia="zh-CN" w:bidi="ar-SA"/>
        </w:rPr>
        <w:t>、组织实施。整理项目相关信息，确立项目绩效目标，设计绩效评价指标体系，查阅财务会计资料，面对面回访或电话回访。</w:t>
      </w:r>
    </w:p>
    <w:p w14:paraId="0BF4C7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3</w:t>
      </w:r>
      <w:r>
        <w:rPr>
          <w:rFonts w:hint="eastAsia" w:ascii="仿宋_GB2312" w:hAnsi="仿宋_GB2312" w:eastAsia="仿宋_GB2312" w:cs="仿宋_GB2312"/>
          <w:sz w:val="32"/>
          <w:szCs w:val="32"/>
          <w:lang w:val="en-US" w:eastAsia="zh-CN" w:bidi="ar-SA"/>
        </w:rPr>
        <w:t>、分析评价。分析项目管理情况和资金效益分，根据结果进行综合评价并提出建议。</w:t>
      </w:r>
    </w:p>
    <w:p w14:paraId="3CCCA82D">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50"/>
        <w:gridCol w:w="1830"/>
        <w:gridCol w:w="2025"/>
        <w:gridCol w:w="1200"/>
        <w:gridCol w:w="1200"/>
        <w:gridCol w:w="525"/>
        <w:gridCol w:w="900"/>
      </w:tblGrid>
      <w:tr w14:paraId="26AC2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5CA59BC3">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vAlign w:val="center"/>
          </w:tcPr>
          <w:p w14:paraId="74B85F6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2025" w:type="dxa"/>
            <w:vMerge w:val="restart"/>
            <w:tcBorders>
              <w:top w:val="nil"/>
              <w:left w:val="single" w:color="000000" w:sz="8" w:space="0"/>
              <w:bottom w:val="single" w:color="000000" w:sz="8" w:space="0"/>
              <w:right w:val="single" w:color="000000" w:sz="8" w:space="0"/>
            </w:tcBorders>
            <w:shd w:val="clear"/>
            <w:vAlign w:val="center"/>
          </w:tcPr>
          <w:p w14:paraId="52486A9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1200" w:type="dxa"/>
            <w:vMerge w:val="restart"/>
            <w:tcBorders>
              <w:top w:val="nil"/>
              <w:left w:val="nil"/>
              <w:bottom w:val="single" w:color="000000" w:sz="8" w:space="0"/>
              <w:right w:val="nil"/>
            </w:tcBorders>
            <w:shd w:val="clear"/>
            <w:vAlign w:val="center"/>
          </w:tcPr>
          <w:p w14:paraId="2575EA5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c>
          <w:tcPr>
            <w:tcW w:w="1200" w:type="dxa"/>
            <w:vMerge w:val="restart"/>
            <w:tcBorders>
              <w:top w:val="nil"/>
              <w:left w:val="single" w:color="000000" w:sz="8" w:space="0"/>
              <w:bottom w:val="single" w:color="000000" w:sz="8" w:space="0"/>
              <w:right w:val="nil"/>
            </w:tcBorders>
            <w:shd w:val="clear"/>
            <w:vAlign w:val="center"/>
          </w:tcPr>
          <w:p w14:paraId="5A43459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vAlign w:val="center"/>
          </w:tcPr>
          <w:p w14:paraId="0C80B37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分值</w:t>
            </w:r>
          </w:p>
        </w:tc>
        <w:tc>
          <w:tcPr>
            <w:tcW w:w="900" w:type="dxa"/>
            <w:vMerge w:val="restart"/>
            <w:tcBorders>
              <w:top w:val="nil"/>
              <w:left w:val="single" w:color="000000" w:sz="8" w:space="0"/>
              <w:bottom w:val="single" w:color="000000" w:sz="8" w:space="0"/>
              <w:right w:val="single" w:color="000000" w:sz="8" w:space="0"/>
            </w:tcBorders>
            <w:shd w:val="clear"/>
            <w:vAlign w:val="center"/>
          </w:tcPr>
          <w:p w14:paraId="4647A78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得分</w:t>
            </w:r>
          </w:p>
        </w:tc>
      </w:tr>
      <w:tr w14:paraId="4420D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75B88E05">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vAlign w:val="center"/>
          </w:tcPr>
          <w:p w14:paraId="314A255E">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vAlign w:val="center"/>
          </w:tcPr>
          <w:p w14:paraId="05E612F8">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vAlign w:val="center"/>
          </w:tcPr>
          <w:p w14:paraId="019A2143">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vAlign w:val="center"/>
          </w:tcPr>
          <w:p w14:paraId="0C961DE4">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vAlign w:val="center"/>
          </w:tcPr>
          <w:p w14:paraId="11AE2E09">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vAlign w:val="center"/>
          </w:tcPr>
          <w:p w14:paraId="4BE3FA62">
            <w:pPr>
              <w:jc w:val="center"/>
              <w:rPr>
                <w:rFonts w:hint="eastAsia" w:ascii="微软雅黑" w:hAnsi="微软雅黑" w:eastAsia="微软雅黑" w:cs="微软雅黑"/>
                <w:b/>
                <w:bCs/>
                <w:i w:val="0"/>
                <w:iCs w:val="0"/>
                <w:color w:val="000000"/>
                <w:sz w:val="22"/>
                <w:szCs w:val="22"/>
                <w:u w:val="none"/>
              </w:rPr>
            </w:pPr>
          </w:p>
        </w:tc>
      </w:tr>
      <w:tr w14:paraId="24DAF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635E86BE">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vAlign w:val="center"/>
          </w:tcPr>
          <w:p w14:paraId="7BFB7372">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vAlign w:val="center"/>
          </w:tcPr>
          <w:p w14:paraId="019D5060">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vAlign w:val="center"/>
          </w:tcPr>
          <w:p w14:paraId="04C102C2">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vAlign w:val="center"/>
          </w:tcPr>
          <w:p w14:paraId="327A82F8">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vAlign w:val="center"/>
          </w:tcPr>
          <w:p w14:paraId="45E4BC24">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vAlign w:val="center"/>
          </w:tcPr>
          <w:p w14:paraId="36EF4CD4">
            <w:pPr>
              <w:jc w:val="center"/>
              <w:rPr>
                <w:rFonts w:hint="eastAsia" w:ascii="微软雅黑" w:hAnsi="微软雅黑" w:eastAsia="微软雅黑" w:cs="微软雅黑"/>
                <w:b/>
                <w:bCs/>
                <w:i w:val="0"/>
                <w:iCs w:val="0"/>
                <w:color w:val="000000"/>
                <w:sz w:val="22"/>
                <w:szCs w:val="22"/>
                <w:u w:val="none"/>
              </w:rPr>
            </w:pPr>
          </w:p>
        </w:tc>
      </w:tr>
      <w:tr w14:paraId="749DC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47769B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vAlign w:val="center"/>
          </w:tcPr>
          <w:p w14:paraId="63C9F3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2025" w:type="dxa"/>
            <w:tcBorders>
              <w:top w:val="nil"/>
              <w:left w:val="single" w:color="000000" w:sz="8" w:space="0"/>
              <w:bottom w:val="single" w:color="000000" w:sz="8" w:space="0"/>
              <w:right w:val="single" w:color="000000" w:sz="8" w:space="0"/>
            </w:tcBorders>
            <w:shd w:val="clear"/>
            <w:vAlign w:val="center"/>
          </w:tcPr>
          <w:p w14:paraId="1F75120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退役士兵安置补助人数</w:t>
            </w:r>
          </w:p>
        </w:tc>
        <w:tc>
          <w:tcPr>
            <w:tcW w:w="1200" w:type="dxa"/>
            <w:tcBorders>
              <w:top w:val="nil"/>
              <w:left w:val="nil"/>
              <w:bottom w:val="single" w:color="000000" w:sz="8" w:space="0"/>
              <w:right w:val="nil"/>
            </w:tcBorders>
            <w:shd w:val="clear"/>
            <w:vAlign w:val="center"/>
          </w:tcPr>
          <w:p w14:paraId="20AE09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12人</w:t>
            </w:r>
          </w:p>
        </w:tc>
        <w:tc>
          <w:tcPr>
            <w:tcW w:w="1200" w:type="dxa"/>
            <w:tcBorders>
              <w:top w:val="nil"/>
              <w:left w:val="single" w:color="000000" w:sz="8" w:space="0"/>
              <w:bottom w:val="single" w:color="000000" w:sz="8" w:space="0"/>
              <w:right w:val="nil"/>
            </w:tcBorders>
            <w:shd w:val="clear"/>
            <w:vAlign w:val="center"/>
          </w:tcPr>
          <w:p w14:paraId="0B6945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15人</w:t>
            </w:r>
          </w:p>
        </w:tc>
        <w:tc>
          <w:tcPr>
            <w:tcW w:w="525" w:type="dxa"/>
            <w:tcBorders>
              <w:top w:val="nil"/>
              <w:left w:val="single" w:color="000000" w:sz="8" w:space="0"/>
              <w:bottom w:val="single" w:color="000000" w:sz="8" w:space="0"/>
              <w:right w:val="single" w:color="000000" w:sz="8" w:space="0"/>
            </w:tcBorders>
            <w:shd w:val="clear"/>
            <w:vAlign w:val="center"/>
          </w:tcPr>
          <w:p w14:paraId="4EFCBE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w:t>
            </w:r>
          </w:p>
        </w:tc>
        <w:tc>
          <w:tcPr>
            <w:tcW w:w="900" w:type="dxa"/>
            <w:tcBorders>
              <w:top w:val="nil"/>
              <w:left w:val="single" w:color="000000" w:sz="8" w:space="0"/>
              <w:bottom w:val="single" w:color="000000" w:sz="8" w:space="0"/>
              <w:right w:val="single" w:color="000000" w:sz="8" w:space="0"/>
            </w:tcBorders>
            <w:shd w:val="clear"/>
            <w:vAlign w:val="center"/>
          </w:tcPr>
          <w:p w14:paraId="0015CC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20.00</w:t>
            </w:r>
          </w:p>
        </w:tc>
      </w:tr>
      <w:tr w14:paraId="44A29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3BDDA2D5">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03F59C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2025" w:type="dxa"/>
            <w:tcBorders>
              <w:top w:val="nil"/>
              <w:left w:val="single" w:color="000000" w:sz="8" w:space="0"/>
              <w:bottom w:val="single" w:color="000000" w:sz="8" w:space="0"/>
              <w:right w:val="single" w:color="000000" w:sz="8" w:space="0"/>
            </w:tcBorders>
            <w:shd w:val="clear"/>
            <w:vAlign w:val="center"/>
          </w:tcPr>
          <w:p w14:paraId="503F448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补助资金发放准确率</w:t>
            </w:r>
          </w:p>
        </w:tc>
        <w:tc>
          <w:tcPr>
            <w:tcW w:w="1200" w:type="dxa"/>
            <w:tcBorders>
              <w:top w:val="nil"/>
              <w:left w:val="nil"/>
              <w:bottom w:val="single" w:color="000000" w:sz="8" w:space="0"/>
              <w:right w:val="nil"/>
            </w:tcBorders>
            <w:shd w:val="clear"/>
            <w:vAlign w:val="center"/>
          </w:tcPr>
          <w:p w14:paraId="13D1B4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3ECF4E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0A58F2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278427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0D9DF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130E5D27">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2D99CF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2025" w:type="dxa"/>
            <w:tcBorders>
              <w:top w:val="nil"/>
              <w:left w:val="single" w:color="000000" w:sz="8" w:space="0"/>
              <w:bottom w:val="single" w:color="000000" w:sz="8" w:space="0"/>
              <w:right w:val="single" w:color="000000" w:sz="8" w:space="0"/>
            </w:tcBorders>
            <w:shd w:val="clear"/>
            <w:vAlign w:val="center"/>
          </w:tcPr>
          <w:p w14:paraId="536A7C2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补助资金发放及时率</w:t>
            </w:r>
          </w:p>
        </w:tc>
        <w:tc>
          <w:tcPr>
            <w:tcW w:w="1200" w:type="dxa"/>
            <w:tcBorders>
              <w:top w:val="nil"/>
              <w:left w:val="nil"/>
              <w:bottom w:val="single" w:color="000000" w:sz="8" w:space="0"/>
              <w:right w:val="nil"/>
            </w:tcBorders>
            <w:shd w:val="clear"/>
            <w:vAlign w:val="center"/>
          </w:tcPr>
          <w:p w14:paraId="56EE8A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33B0D6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78BA9A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01F633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32B20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3EBFAE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效益指标</w:t>
            </w:r>
          </w:p>
        </w:tc>
        <w:tc>
          <w:tcPr>
            <w:tcW w:w="1830" w:type="dxa"/>
            <w:tcBorders>
              <w:top w:val="nil"/>
              <w:left w:val="single" w:color="000000" w:sz="8" w:space="0"/>
              <w:bottom w:val="single" w:color="000000" w:sz="8" w:space="0"/>
              <w:right w:val="single" w:color="000000" w:sz="8" w:space="0"/>
            </w:tcBorders>
            <w:shd w:val="clear"/>
            <w:vAlign w:val="center"/>
          </w:tcPr>
          <w:p w14:paraId="286EDF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经济效益指标</w:t>
            </w:r>
          </w:p>
        </w:tc>
        <w:tc>
          <w:tcPr>
            <w:tcW w:w="2025" w:type="dxa"/>
            <w:tcBorders>
              <w:top w:val="nil"/>
              <w:left w:val="single" w:color="000000" w:sz="8" w:space="0"/>
              <w:bottom w:val="single" w:color="000000" w:sz="8" w:space="0"/>
              <w:right w:val="single" w:color="000000" w:sz="8" w:space="0"/>
            </w:tcBorders>
            <w:shd w:val="clear"/>
            <w:vAlign w:val="center"/>
          </w:tcPr>
          <w:p w14:paraId="21892D7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42DFCE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5323D8C4">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10164685">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4E081911">
            <w:pPr>
              <w:jc w:val="center"/>
              <w:rPr>
                <w:rFonts w:hint="eastAsia" w:ascii="微软雅黑" w:hAnsi="微软雅黑" w:eastAsia="微软雅黑" w:cs="微软雅黑"/>
                <w:i w:val="0"/>
                <w:iCs w:val="0"/>
                <w:color w:val="000000"/>
                <w:sz w:val="20"/>
                <w:szCs w:val="20"/>
                <w:u w:val="none"/>
              </w:rPr>
            </w:pPr>
          </w:p>
        </w:tc>
      </w:tr>
      <w:tr w14:paraId="7DB52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548A2057">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5D6809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2025" w:type="dxa"/>
            <w:tcBorders>
              <w:top w:val="nil"/>
              <w:left w:val="single" w:color="000000" w:sz="8" w:space="0"/>
              <w:bottom w:val="single" w:color="000000" w:sz="8" w:space="0"/>
              <w:right w:val="single" w:color="000000" w:sz="8" w:space="0"/>
            </w:tcBorders>
            <w:shd w:val="clear"/>
            <w:vAlign w:val="center"/>
          </w:tcPr>
          <w:p w14:paraId="635CFD6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保障退役士兵的待遇</w:t>
            </w:r>
          </w:p>
        </w:tc>
        <w:tc>
          <w:tcPr>
            <w:tcW w:w="1200" w:type="dxa"/>
            <w:tcBorders>
              <w:top w:val="nil"/>
              <w:left w:val="nil"/>
              <w:bottom w:val="single" w:color="000000" w:sz="8" w:space="0"/>
              <w:right w:val="nil"/>
            </w:tcBorders>
            <w:shd w:val="clear"/>
            <w:vAlign w:val="center"/>
          </w:tcPr>
          <w:p w14:paraId="6B5FA8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50FDD6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09D648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900" w:type="dxa"/>
            <w:tcBorders>
              <w:top w:val="nil"/>
              <w:left w:val="single" w:color="000000" w:sz="8" w:space="0"/>
              <w:bottom w:val="single" w:color="000000" w:sz="8" w:space="0"/>
              <w:right w:val="single" w:color="000000" w:sz="8" w:space="0"/>
            </w:tcBorders>
            <w:shd w:val="clear"/>
            <w:vAlign w:val="center"/>
          </w:tcPr>
          <w:p w14:paraId="25FF33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15.00</w:t>
            </w:r>
          </w:p>
        </w:tc>
      </w:tr>
      <w:tr w14:paraId="6D61B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1F5A4109">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74305C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生态效益指标</w:t>
            </w:r>
          </w:p>
        </w:tc>
        <w:tc>
          <w:tcPr>
            <w:tcW w:w="2025" w:type="dxa"/>
            <w:tcBorders>
              <w:top w:val="nil"/>
              <w:left w:val="single" w:color="000000" w:sz="8" w:space="0"/>
              <w:bottom w:val="single" w:color="000000" w:sz="8" w:space="0"/>
              <w:right w:val="single" w:color="000000" w:sz="8" w:space="0"/>
            </w:tcBorders>
            <w:shd w:val="clear"/>
            <w:vAlign w:val="center"/>
          </w:tcPr>
          <w:p w14:paraId="1578077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4843B7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64E445A3">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0038F0B6">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5DE01982">
            <w:pPr>
              <w:jc w:val="center"/>
              <w:rPr>
                <w:rFonts w:hint="eastAsia" w:ascii="微软雅黑" w:hAnsi="微软雅黑" w:eastAsia="微软雅黑" w:cs="微软雅黑"/>
                <w:i w:val="0"/>
                <w:iCs w:val="0"/>
                <w:color w:val="000000"/>
                <w:sz w:val="20"/>
                <w:szCs w:val="20"/>
                <w:u w:val="none"/>
              </w:rPr>
            </w:pPr>
          </w:p>
        </w:tc>
      </w:tr>
      <w:tr w14:paraId="7BADB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28A71C41">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79C8F0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2025" w:type="dxa"/>
            <w:tcBorders>
              <w:top w:val="nil"/>
              <w:left w:val="single" w:color="000000" w:sz="8" w:space="0"/>
              <w:bottom w:val="single" w:color="000000" w:sz="8" w:space="0"/>
              <w:right w:val="single" w:color="000000" w:sz="8" w:space="0"/>
            </w:tcBorders>
            <w:shd w:val="clear"/>
            <w:vAlign w:val="center"/>
          </w:tcPr>
          <w:p w14:paraId="70C0939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提高退役士兵的凝聚力</w:t>
            </w:r>
          </w:p>
        </w:tc>
        <w:tc>
          <w:tcPr>
            <w:tcW w:w="1200" w:type="dxa"/>
            <w:tcBorders>
              <w:top w:val="nil"/>
              <w:left w:val="nil"/>
              <w:bottom w:val="single" w:color="000000" w:sz="8" w:space="0"/>
              <w:right w:val="nil"/>
            </w:tcBorders>
            <w:shd w:val="clear"/>
            <w:vAlign w:val="center"/>
          </w:tcPr>
          <w:p w14:paraId="26BB85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有效提高</w:t>
            </w:r>
          </w:p>
        </w:tc>
        <w:tc>
          <w:tcPr>
            <w:tcW w:w="1200" w:type="dxa"/>
            <w:tcBorders>
              <w:top w:val="nil"/>
              <w:left w:val="single" w:color="000000" w:sz="8" w:space="0"/>
              <w:bottom w:val="single" w:color="000000" w:sz="8" w:space="0"/>
              <w:right w:val="nil"/>
            </w:tcBorders>
            <w:shd w:val="clear"/>
            <w:vAlign w:val="center"/>
          </w:tcPr>
          <w:p w14:paraId="7AA2E5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有效提高</w:t>
            </w:r>
          </w:p>
        </w:tc>
        <w:tc>
          <w:tcPr>
            <w:tcW w:w="525" w:type="dxa"/>
            <w:tcBorders>
              <w:top w:val="nil"/>
              <w:left w:val="single" w:color="000000" w:sz="8" w:space="0"/>
              <w:bottom w:val="single" w:color="000000" w:sz="8" w:space="0"/>
              <w:right w:val="single" w:color="000000" w:sz="8" w:space="0"/>
            </w:tcBorders>
            <w:shd w:val="clear"/>
            <w:vAlign w:val="center"/>
          </w:tcPr>
          <w:p w14:paraId="0516CA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900" w:type="dxa"/>
            <w:tcBorders>
              <w:top w:val="nil"/>
              <w:left w:val="single" w:color="000000" w:sz="8" w:space="0"/>
              <w:bottom w:val="single" w:color="000000" w:sz="8" w:space="0"/>
              <w:right w:val="single" w:color="000000" w:sz="8" w:space="0"/>
            </w:tcBorders>
            <w:shd w:val="clear"/>
            <w:vAlign w:val="center"/>
          </w:tcPr>
          <w:p w14:paraId="535425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15.00</w:t>
            </w:r>
          </w:p>
        </w:tc>
      </w:tr>
      <w:tr w14:paraId="2C254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vAlign w:val="center"/>
          </w:tcPr>
          <w:p w14:paraId="48D23F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vAlign w:val="center"/>
          </w:tcPr>
          <w:p w14:paraId="404C42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2025" w:type="dxa"/>
            <w:tcBorders>
              <w:top w:val="nil"/>
              <w:left w:val="single" w:color="000000" w:sz="8" w:space="0"/>
              <w:bottom w:val="single" w:color="000000" w:sz="8" w:space="0"/>
              <w:right w:val="single" w:color="000000" w:sz="8" w:space="0"/>
            </w:tcBorders>
            <w:shd w:val="clear"/>
            <w:vAlign w:val="center"/>
          </w:tcPr>
          <w:p w14:paraId="3DF7272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w:t>
            </w:r>
          </w:p>
        </w:tc>
        <w:tc>
          <w:tcPr>
            <w:tcW w:w="1200" w:type="dxa"/>
            <w:tcBorders>
              <w:top w:val="nil"/>
              <w:left w:val="nil"/>
              <w:bottom w:val="single" w:color="000000" w:sz="8" w:space="0"/>
              <w:right w:val="nil"/>
            </w:tcBorders>
            <w:shd w:val="clear"/>
            <w:vAlign w:val="center"/>
          </w:tcPr>
          <w:p w14:paraId="254472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1200" w:type="dxa"/>
            <w:tcBorders>
              <w:top w:val="nil"/>
              <w:left w:val="single" w:color="000000" w:sz="8" w:space="0"/>
              <w:bottom w:val="single" w:color="000000" w:sz="8" w:space="0"/>
              <w:right w:val="nil"/>
            </w:tcBorders>
            <w:shd w:val="clear"/>
            <w:vAlign w:val="center"/>
          </w:tcPr>
          <w:p w14:paraId="4033C5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525" w:type="dxa"/>
            <w:tcBorders>
              <w:top w:val="nil"/>
              <w:left w:val="single" w:color="000000" w:sz="8" w:space="0"/>
              <w:bottom w:val="single" w:color="000000" w:sz="8" w:space="0"/>
              <w:right w:val="single" w:color="000000" w:sz="8" w:space="0"/>
            </w:tcBorders>
            <w:shd w:val="clear"/>
            <w:vAlign w:val="center"/>
          </w:tcPr>
          <w:p w14:paraId="5F1EDE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3689F6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255E7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119994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vAlign w:val="center"/>
          </w:tcPr>
          <w:p w14:paraId="2EDF99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2025" w:type="dxa"/>
            <w:tcBorders>
              <w:top w:val="nil"/>
              <w:left w:val="single" w:color="000000" w:sz="8" w:space="0"/>
              <w:bottom w:val="single" w:color="000000" w:sz="8" w:space="0"/>
              <w:right w:val="single" w:color="000000" w:sz="8" w:space="0"/>
            </w:tcBorders>
            <w:shd w:val="clear"/>
            <w:vAlign w:val="center"/>
          </w:tcPr>
          <w:p w14:paraId="563CB02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退役士兵补助标准</w:t>
            </w:r>
          </w:p>
        </w:tc>
        <w:tc>
          <w:tcPr>
            <w:tcW w:w="1200" w:type="dxa"/>
            <w:tcBorders>
              <w:top w:val="nil"/>
              <w:left w:val="nil"/>
              <w:bottom w:val="single" w:color="000000" w:sz="8" w:space="0"/>
              <w:right w:val="nil"/>
            </w:tcBorders>
            <w:shd w:val="clear"/>
            <w:vAlign w:val="center"/>
          </w:tcPr>
          <w:p w14:paraId="47F3D8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4500</w:t>
            </w:r>
          </w:p>
        </w:tc>
        <w:tc>
          <w:tcPr>
            <w:tcW w:w="1200" w:type="dxa"/>
            <w:tcBorders>
              <w:top w:val="nil"/>
              <w:left w:val="single" w:color="000000" w:sz="8" w:space="0"/>
              <w:bottom w:val="single" w:color="000000" w:sz="8" w:space="0"/>
              <w:right w:val="nil"/>
            </w:tcBorders>
            <w:shd w:val="clear"/>
            <w:vAlign w:val="center"/>
          </w:tcPr>
          <w:p w14:paraId="68C8E4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4500元</w:t>
            </w:r>
          </w:p>
        </w:tc>
        <w:tc>
          <w:tcPr>
            <w:tcW w:w="525" w:type="dxa"/>
            <w:tcBorders>
              <w:top w:val="nil"/>
              <w:left w:val="single" w:color="000000" w:sz="8" w:space="0"/>
              <w:bottom w:val="single" w:color="000000" w:sz="8" w:space="0"/>
              <w:right w:val="single" w:color="000000" w:sz="8" w:space="0"/>
            </w:tcBorders>
            <w:shd w:val="clear"/>
            <w:vAlign w:val="center"/>
          </w:tcPr>
          <w:p w14:paraId="2E95A2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0F79E6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1066B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23687B6A">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5FEF68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社会成本指标</w:t>
            </w:r>
          </w:p>
        </w:tc>
        <w:tc>
          <w:tcPr>
            <w:tcW w:w="2025" w:type="dxa"/>
            <w:tcBorders>
              <w:top w:val="nil"/>
              <w:left w:val="single" w:color="000000" w:sz="8" w:space="0"/>
              <w:bottom w:val="single" w:color="000000" w:sz="8" w:space="0"/>
              <w:right w:val="single" w:color="000000" w:sz="8" w:space="0"/>
            </w:tcBorders>
            <w:shd w:val="clear"/>
            <w:vAlign w:val="center"/>
          </w:tcPr>
          <w:p w14:paraId="471CEA3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66EF53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1FE5413F">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5901FA82">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5A099949">
            <w:pPr>
              <w:jc w:val="center"/>
              <w:rPr>
                <w:rFonts w:hint="eastAsia" w:ascii="微软雅黑" w:hAnsi="微软雅黑" w:eastAsia="微软雅黑" w:cs="微软雅黑"/>
                <w:i w:val="0"/>
                <w:iCs w:val="0"/>
                <w:color w:val="000000"/>
                <w:sz w:val="20"/>
                <w:szCs w:val="20"/>
                <w:u w:val="none"/>
              </w:rPr>
            </w:pPr>
          </w:p>
        </w:tc>
      </w:tr>
      <w:tr w14:paraId="0A36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13C7A233">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3BC16F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生态环境成本指标</w:t>
            </w:r>
          </w:p>
        </w:tc>
        <w:tc>
          <w:tcPr>
            <w:tcW w:w="2025" w:type="dxa"/>
            <w:tcBorders>
              <w:top w:val="nil"/>
              <w:left w:val="single" w:color="000000" w:sz="8" w:space="0"/>
              <w:bottom w:val="single" w:color="000000" w:sz="8" w:space="0"/>
              <w:right w:val="single" w:color="000000" w:sz="8" w:space="0"/>
            </w:tcBorders>
            <w:shd w:val="clear"/>
            <w:vAlign w:val="center"/>
          </w:tcPr>
          <w:p w14:paraId="4567A1C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2AE5A6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4383DE8D">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281D45D2">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4FDDDA5A">
            <w:pPr>
              <w:jc w:val="center"/>
              <w:rPr>
                <w:rFonts w:hint="eastAsia" w:ascii="微软雅黑" w:hAnsi="微软雅黑" w:eastAsia="微软雅黑" w:cs="微软雅黑"/>
                <w:i w:val="0"/>
                <w:iCs w:val="0"/>
                <w:color w:val="000000"/>
                <w:sz w:val="20"/>
                <w:szCs w:val="20"/>
                <w:u w:val="none"/>
              </w:rPr>
            </w:pPr>
          </w:p>
        </w:tc>
      </w:tr>
    </w:tbl>
    <w:p w14:paraId="2F4CA06B">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相关指标，逐一对应指标值数进行综合评价，自评分数为100分，评价结果为优秀。</w:t>
      </w:r>
    </w:p>
    <w:p w14:paraId="27C229FB">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6C8B8D3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68E0DD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20119E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3F84E0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41BFA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default" w:ascii="Times New Roman" w:hAnsi="Times New Roman" w:eastAsia="方正粗宋简体"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（4）2024年度退役士兵安置（上级资金）项目1个，涉及资金11.2万元，主要范围是用于自主就业士兵经济补助，技能培训，安置期间生活费社保费等。</w:t>
      </w:r>
    </w:p>
    <w:p w14:paraId="0AA259B1">
      <w:pPr>
        <w:spacing w:line="560" w:lineRule="exact"/>
        <w:ind w:firstLine="640" w:firstLineChars="200"/>
        <w:jc w:val="left"/>
        <w:rPr>
          <w:rFonts w:hint="eastAsia" w:ascii="仿宋_GB2312" w:hAnsi="仿宋_GB2312" w:eastAsia="仿宋_GB2312" w:cs="仿宋_GB2312"/>
          <w:sz w:val="32"/>
          <w:szCs w:val="32"/>
        </w:rPr>
      </w:pPr>
    </w:p>
    <w:p w14:paraId="38DBBBE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01E3B5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41FA6F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3BD19E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103DF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p w14:paraId="713FFAD8">
      <w:pPr>
        <w:spacing w:line="560" w:lineRule="exact"/>
        <w:ind w:firstLine="640" w:firstLineChars="200"/>
        <w:jc w:val="left"/>
        <w:rPr>
          <w:rFonts w:hint="eastAsia" w:ascii="仿宋_GB2312" w:hAnsi="仿宋_GB2312" w:eastAsia="仿宋_GB2312" w:cs="仿宋_GB2312"/>
          <w:sz w:val="32"/>
          <w:szCs w:val="32"/>
        </w:rPr>
      </w:pPr>
    </w:p>
    <w:p w14:paraId="665BEC9E">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0559A623">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从综合评价得分情况看，此项目综合评价满分为100分，实际得分100分，无扣分项目，各项绩效目标按质按量按时完成。</w:t>
      </w:r>
    </w:p>
    <w:p w14:paraId="54A30AC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79327F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val="en-US" w:eastAsia="zh-CN" w:bidi="ar-SA"/>
        </w:rPr>
        <w:t>）社会效益。维护了广大退役士兵合法权益，增强了退役士兵就业能力，缓解了退役士兵就业难和待就业期间生活困难的问题。</w:t>
      </w:r>
    </w:p>
    <w:p w14:paraId="7D7E89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val="en-US" w:eastAsia="zh-CN" w:bidi="ar-SA"/>
        </w:rPr>
        <w:t>）可持续影响方面。促进了国防建设，维护了社会稳定。</w:t>
      </w:r>
    </w:p>
    <w:p w14:paraId="402919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3</w:t>
      </w:r>
      <w:r>
        <w:rPr>
          <w:rFonts w:hint="eastAsia" w:ascii="仿宋_GB2312" w:hAnsi="仿宋_GB2312" w:eastAsia="仿宋_GB2312" w:cs="仿宋_GB2312"/>
          <w:sz w:val="32"/>
          <w:szCs w:val="32"/>
          <w:lang w:val="en-US" w:eastAsia="zh-CN" w:bidi="ar-SA"/>
        </w:rPr>
        <w:t>）服务对象满意度方面。本次回访退役士兵满意度为90</w:t>
      </w:r>
      <w:r>
        <w:rPr>
          <w:rFonts w:hint="default"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en-US" w:eastAsia="zh-CN" w:bidi="ar-SA"/>
        </w:rPr>
        <w:t>。</w:t>
      </w:r>
    </w:p>
    <w:p w14:paraId="2ED0B9E6">
      <w:pPr>
        <w:spacing w:line="560" w:lineRule="exact"/>
        <w:ind w:firstLine="640" w:firstLineChars="200"/>
        <w:jc w:val="left"/>
        <w:rPr>
          <w:rFonts w:hint="eastAsia" w:ascii="仿宋_GB2312" w:hAnsi="仿宋_GB2312" w:eastAsia="仿宋_GB2312" w:cs="仿宋_GB2312"/>
          <w:sz w:val="32"/>
          <w:szCs w:val="32"/>
        </w:rPr>
      </w:pPr>
    </w:p>
    <w:p w14:paraId="6A082262">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3DCB4679">
      <w:pPr>
        <w:spacing w:line="560" w:lineRule="exact"/>
        <w:ind w:firstLine="560" w:firstLineChars="200"/>
        <w:jc w:val="left"/>
        <w:rPr>
          <w:rFonts w:hint="eastAsia" w:ascii="宋体" w:hAnsi="宋体" w:eastAsia="宋体" w:cs="宋体"/>
          <w:b/>
          <w:bCs w:val="0"/>
          <w:sz w:val="32"/>
          <w:szCs w:val="32"/>
        </w:rPr>
      </w:pPr>
      <w:r>
        <w:rPr>
          <w:rFonts w:hint="eastAsia" w:ascii="宋体" w:hAnsi="宋体" w:eastAsia="宋体" w:cs="宋体"/>
          <w:i w:val="0"/>
          <w:iCs w:val="0"/>
          <w:caps w:val="0"/>
          <w:color w:val="333333"/>
          <w:spacing w:val="0"/>
          <w:sz w:val="28"/>
          <w:szCs w:val="28"/>
          <w:shd w:val="clear" w:fill="FFFFFF"/>
        </w:rPr>
        <w:t>我局作为该项目的实施单位，严格发放程序，明确发放时限，适时督导检查工作进展情况。</w:t>
      </w:r>
    </w:p>
    <w:p w14:paraId="622FABC8">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1FF7E276">
      <w:pPr>
        <w:spacing w:line="560" w:lineRule="exact"/>
        <w:ind w:firstLine="560" w:firstLineChars="200"/>
        <w:jc w:val="left"/>
        <w:rPr>
          <w:rFonts w:hint="eastAsia" w:ascii="宋体" w:hAnsi="宋体" w:eastAsia="宋体" w:cs="宋体"/>
          <w:b/>
          <w:bCs w:val="0"/>
          <w:sz w:val="32"/>
          <w:szCs w:val="32"/>
        </w:rPr>
      </w:pPr>
      <w:r>
        <w:rPr>
          <w:rFonts w:hint="eastAsia" w:ascii="宋体" w:hAnsi="宋体" w:eastAsia="宋体" w:cs="宋体"/>
          <w:i w:val="0"/>
          <w:iCs w:val="0"/>
          <w:caps w:val="0"/>
          <w:color w:val="333333"/>
          <w:spacing w:val="0"/>
          <w:sz w:val="28"/>
          <w:szCs w:val="28"/>
          <w:shd w:val="clear" w:fill="FFFFFF"/>
        </w:rPr>
        <w:t>鉴于该项目的实施有利于国防建设，对于促进社会稳定、维护社会和谐方面起到了重要作用，建议在预算中继续保留该项目。</w:t>
      </w:r>
    </w:p>
    <w:p w14:paraId="2D5D1173">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62339CC1">
      <w:pPr>
        <w:spacing w:line="560" w:lineRule="exact"/>
        <w:ind w:firstLine="643" w:firstLineChars="200"/>
        <w:jc w:val="left"/>
        <w:rPr>
          <w:rFonts w:hint="eastAsia" w:ascii="宋体" w:hAnsi="宋体" w:eastAsia="宋体" w:cs="宋体"/>
          <w:b/>
          <w:bCs w:val="0"/>
          <w:sz w:val="32"/>
          <w:szCs w:val="32"/>
          <w:lang w:eastAsia="zh-CN"/>
        </w:rPr>
      </w:pPr>
      <w:r>
        <w:rPr>
          <w:rFonts w:hint="eastAsia" w:ascii="宋体" w:hAnsi="宋体" w:cs="宋体"/>
          <w:b/>
          <w:bCs w:val="0"/>
          <w:sz w:val="32"/>
          <w:szCs w:val="32"/>
          <w:lang w:eastAsia="zh-CN"/>
        </w:rPr>
        <w:t>无</w:t>
      </w:r>
    </w:p>
    <w:p w14:paraId="33A8EE59">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546F9E85">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新晃县退役军人事务局</w:t>
      </w:r>
      <w:r>
        <w:rPr>
          <w:rFonts w:hint="eastAsia" w:ascii="仿宋_GB2312" w:hAnsi="仿宋_GB2312" w:eastAsia="仿宋_GB2312" w:cs="仿宋_GB2312"/>
          <w:sz w:val="32"/>
          <w:szCs w:val="32"/>
        </w:rPr>
        <w:t xml:space="preserve">                        </w:t>
      </w:r>
    </w:p>
    <w:p w14:paraId="03AB3811">
      <w:pPr>
        <w:ind w:firstLine="5440" w:firstLineChars="17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03C67D71"/>
    <w:rsid w:val="1373304F"/>
    <w:rsid w:val="37732970"/>
    <w:rsid w:val="56A360DC"/>
    <w:rsid w:val="6FD33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Words>
  <Characters>287</Characters>
  <Lines>0</Lines>
  <Paragraphs>0</Paragraphs>
  <TotalTime>3</TotalTime>
  <ScaleCrop>false</ScaleCrop>
  <LinksUpToDate>false</LinksUpToDate>
  <CharactersWithSpaces>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2025-03-26T00:45:41Z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