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01E8A8">
      <w:pPr>
        <w:spacing w:before="240" w:line="340" w:lineRule="exact"/>
        <w:jc w:val="left"/>
        <w:rPr>
          <w:b/>
          <w:sz w:val="24"/>
        </w:rPr>
      </w:pPr>
      <w:r>
        <w:rPr>
          <w:rFonts w:hint="eastAsia" w:ascii="仿宋_GB2312" w:hAnsi="仿宋_GB2312" w:eastAsia="仿宋_GB2312" w:cs="仿宋_GB2312"/>
          <w:b/>
          <w:sz w:val="24"/>
        </w:rPr>
        <w:t>附件2-3 </w:t>
      </w:r>
    </w:p>
    <w:p w14:paraId="669F9A9A">
      <w:pPr>
        <w:spacing w:line="600" w:lineRule="exact"/>
        <w:jc w:val="center"/>
        <w:rPr>
          <w:rFonts w:hint="eastAsia" w:ascii="宋体" w:hAnsi="宋体"/>
          <w:b/>
          <w:w w:val="85"/>
          <w:sz w:val="36"/>
          <w:szCs w:val="36"/>
        </w:rPr>
      </w:pPr>
      <w:r>
        <w:rPr>
          <w:rFonts w:eastAsia="方正粗宋简体"/>
          <w:w w:val="85"/>
          <w:sz w:val="44"/>
          <w:szCs w:val="44"/>
        </w:rPr>
        <w:t> </w:t>
      </w:r>
      <w:r>
        <w:rPr>
          <w:rFonts w:hint="eastAsia" w:ascii="宋体" w:hAnsi="宋体" w:eastAsia="方正粗宋简体"/>
          <w:b/>
          <w:w w:val="85"/>
          <w:sz w:val="36"/>
          <w:szCs w:val="36"/>
          <w:lang w:eastAsia="zh-CN"/>
        </w:rPr>
        <w:t>202</w:t>
      </w:r>
      <w:r>
        <w:rPr>
          <w:rFonts w:hint="eastAsia" w:ascii="宋体" w:hAnsi="宋体" w:eastAsia="方正粗宋简体"/>
          <w:b/>
          <w:w w:val="85"/>
          <w:sz w:val="36"/>
          <w:szCs w:val="36"/>
          <w:lang w:val="en-US" w:eastAsia="zh-CN"/>
        </w:rPr>
        <w:t>4</w:t>
      </w:r>
      <w:r>
        <w:rPr>
          <w:rFonts w:ascii="宋体" w:hAnsi="宋体"/>
          <w:b/>
          <w:w w:val="85"/>
          <w:sz w:val="36"/>
          <w:szCs w:val="36"/>
        </w:rPr>
        <w:t>年度新晃县</w:t>
      </w:r>
      <w:r>
        <w:rPr>
          <w:rFonts w:hint="eastAsia" w:ascii="宋体" w:hAnsi="宋体"/>
          <w:b/>
          <w:w w:val="85"/>
          <w:sz w:val="36"/>
          <w:szCs w:val="36"/>
        </w:rPr>
        <w:t>项目</w:t>
      </w:r>
      <w:r>
        <w:rPr>
          <w:rFonts w:ascii="宋体" w:hAnsi="宋体"/>
          <w:b/>
          <w:w w:val="85"/>
          <w:sz w:val="36"/>
          <w:szCs w:val="36"/>
        </w:rPr>
        <w:t>支出</w:t>
      </w:r>
      <w:r>
        <w:rPr>
          <w:rFonts w:hint="eastAsia" w:ascii="宋体" w:hAnsi="宋体"/>
          <w:b/>
          <w:w w:val="85"/>
          <w:sz w:val="36"/>
          <w:szCs w:val="36"/>
        </w:rPr>
        <w:t>绩效</w:t>
      </w:r>
      <w:r>
        <w:rPr>
          <w:rFonts w:ascii="宋体" w:hAnsi="宋体"/>
          <w:b/>
          <w:w w:val="85"/>
          <w:sz w:val="36"/>
          <w:szCs w:val="36"/>
        </w:rPr>
        <w:t>自评报告</w:t>
      </w:r>
    </w:p>
    <w:p w14:paraId="066011A2">
      <w:pPr>
        <w:spacing w:line="560" w:lineRule="exact"/>
        <w:ind w:firstLine="643" w:firstLineChars="200"/>
        <w:jc w:val="left"/>
        <w:rPr>
          <w:rFonts w:hint="eastAsia" w:ascii="宋体" w:hAnsi="宋体" w:eastAsia="宋体" w:cs="宋体"/>
          <w:b/>
          <w:bCs w:val="0"/>
          <w:sz w:val="32"/>
          <w:szCs w:val="32"/>
        </w:rPr>
      </w:pPr>
      <w:bookmarkStart w:id="0" w:name="_GoBack"/>
      <w:bookmarkEnd w:id="0"/>
    </w:p>
    <w:p w14:paraId="3CA495B8">
      <w:pPr>
        <w:spacing w:line="560" w:lineRule="exact"/>
        <w:ind w:firstLine="643" w:firstLineChars="200"/>
        <w:jc w:val="left"/>
        <w:rPr>
          <w:rFonts w:hint="eastAsia" w:ascii="仿宋_GB2312" w:hAnsi="仿宋_GB2312" w:eastAsia="仿宋_GB2312" w:cs="仿宋_GB2312"/>
          <w:bCs/>
          <w:sz w:val="32"/>
          <w:szCs w:val="32"/>
        </w:rPr>
      </w:pPr>
      <w:r>
        <w:rPr>
          <w:rFonts w:hint="eastAsia" w:ascii="宋体" w:hAnsi="宋体" w:eastAsia="宋体" w:cs="宋体"/>
          <w:b/>
          <w:bCs w:val="0"/>
          <w:sz w:val="32"/>
          <w:szCs w:val="32"/>
        </w:rPr>
        <w:t>一、基本情况</w:t>
      </w:r>
    </w:p>
    <w:p w14:paraId="1C60558B">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（一）项目概况。包括项目背景、主要内容及实施情况、资金投入和使用情况等。</w:t>
      </w:r>
    </w:p>
    <w:p w14:paraId="6C5C6664">
      <w:pPr>
        <w:spacing w:line="560" w:lineRule="exact"/>
        <w:ind w:firstLine="620" w:firstLineChars="200"/>
        <w:jc w:val="left"/>
        <w:rPr>
          <w:rFonts w:hint="default" w:ascii="仿宋_GB2312" w:hAnsi="仿宋_GB2312" w:eastAsia="仿宋" w:cs="仿宋_GB2312"/>
          <w:sz w:val="32"/>
          <w:szCs w:val="32"/>
          <w:lang w:val="en-US" w:eastAsia="zh-CN"/>
        </w:rPr>
      </w:pPr>
      <w:r>
        <w:rPr>
          <w:rFonts w:ascii="仿宋" w:hAnsi="仿宋" w:eastAsia="仿宋" w:cs="仿宋"/>
          <w:i w:val="0"/>
          <w:iCs w:val="0"/>
          <w:caps w:val="0"/>
          <w:color w:val="333333"/>
          <w:spacing w:val="0"/>
          <w:sz w:val="31"/>
          <w:szCs w:val="31"/>
          <w:shd w:val="clear" w:fill="FFFFFF"/>
        </w:rPr>
        <w:t>县退役军人事务局</w:t>
      </w:r>
      <w:r>
        <w:rPr>
          <w:rFonts w:hint="eastAsia" w:ascii="仿宋" w:hAnsi="仿宋" w:eastAsia="仿宋" w:cs="仿宋"/>
          <w:i w:val="0"/>
          <w:iCs w:val="0"/>
          <w:caps w:val="0"/>
          <w:color w:val="333333"/>
          <w:spacing w:val="0"/>
          <w:sz w:val="31"/>
          <w:szCs w:val="31"/>
          <w:shd w:val="clear" w:fill="FFFFFF"/>
          <w:lang w:val="en-US" w:eastAsia="zh-CN"/>
        </w:rPr>
        <w:t>2024</w:t>
      </w:r>
      <w:r>
        <w:rPr>
          <w:rFonts w:hint="eastAsia" w:ascii="仿宋" w:hAnsi="仿宋" w:eastAsia="仿宋" w:cs="仿宋"/>
          <w:i w:val="0"/>
          <w:iCs w:val="0"/>
          <w:caps w:val="0"/>
          <w:color w:val="333333"/>
          <w:spacing w:val="0"/>
          <w:sz w:val="31"/>
          <w:szCs w:val="31"/>
          <w:shd w:val="clear" w:fill="FFFFFF"/>
        </w:rPr>
        <w:t>年退役士兵安置</w:t>
      </w:r>
      <w:r>
        <w:rPr>
          <w:rFonts w:hint="eastAsia" w:ascii="仿宋" w:hAnsi="仿宋" w:eastAsia="仿宋" w:cs="仿宋"/>
          <w:i w:val="0"/>
          <w:iCs w:val="0"/>
          <w:caps w:val="0"/>
          <w:color w:val="333333"/>
          <w:spacing w:val="0"/>
          <w:sz w:val="31"/>
          <w:szCs w:val="31"/>
          <w:shd w:val="clear" w:fill="FFFFFF"/>
          <w:lang w:eastAsia="zh-CN"/>
        </w:rPr>
        <w:t>项目预算</w:t>
      </w:r>
      <w:r>
        <w:rPr>
          <w:rFonts w:hint="eastAsia" w:ascii="仿宋" w:hAnsi="仿宋" w:eastAsia="仿宋" w:cs="仿宋"/>
          <w:i w:val="0"/>
          <w:iCs w:val="0"/>
          <w:caps w:val="0"/>
          <w:color w:val="333333"/>
          <w:spacing w:val="0"/>
          <w:sz w:val="31"/>
          <w:szCs w:val="31"/>
          <w:shd w:val="clear" w:fill="FFFFFF"/>
          <w:lang w:val="en-US" w:eastAsia="zh-CN"/>
        </w:rPr>
        <w:t>3</w:t>
      </w:r>
      <w:r>
        <w:rPr>
          <w:rFonts w:hint="eastAsia" w:ascii="仿宋" w:hAnsi="仿宋" w:eastAsia="仿宋" w:cs="仿宋"/>
          <w:i w:val="0"/>
          <w:iCs w:val="0"/>
          <w:caps w:val="0"/>
          <w:color w:val="333333"/>
          <w:spacing w:val="0"/>
          <w:sz w:val="31"/>
          <w:szCs w:val="31"/>
          <w:shd w:val="clear" w:fill="FFFFFF"/>
        </w:rPr>
        <w:t>万元，</w:t>
      </w:r>
      <w:r>
        <w:rPr>
          <w:rFonts w:hint="eastAsia" w:ascii="仿宋" w:hAnsi="仿宋" w:eastAsia="仿宋" w:cs="仿宋"/>
          <w:i w:val="0"/>
          <w:iCs w:val="0"/>
          <w:caps w:val="0"/>
          <w:color w:val="333333"/>
          <w:spacing w:val="0"/>
          <w:sz w:val="31"/>
          <w:szCs w:val="31"/>
          <w:shd w:val="clear" w:fill="FFFFFF"/>
          <w:lang w:eastAsia="zh-CN"/>
        </w:rPr>
        <w:t>全年预算数</w:t>
      </w:r>
      <w:r>
        <w:rPr>
          <w:rFonts w:hint="eastAsia" w:ascii="仿宋" w:hAnsi="仿宋" w:eastAsia="仿宋" w:cs="仿宋"/>
          <w:i w:val="0"/>
          <w:iCs w:val="0"/>
          <w:caps w:val="0"/>
          <w:color w:val="333333"/>
          <w:spacing w:val="0"/>
          <w:sz w:val="31"/>
          <w:szCs w:val="31"/>
          <w:shd w:val="clear" w:fill="FFFFFF"/>
          <w:lang w:val="en-US" w:eastAsia="zh-CN"/>
        </w:rPr>
        <w:t>3万元，全年执行数3万元。</w:t>
      </w:r>
      <w:r>
        <w:rPr>
          <w:rFonts w:hint="eastAsia" w:ascii="Times New Roman" w:hAnsi="Times New Roman" w:eastAsia="仿宋_GB2312" w:cs="Times New Roman"/>
          <w:sz w:val="32"/>
          <w:szCs w:val="32"/>
          <w:lang w:val="en-US" w:eastAsia="zh-CN" w:bidi="ar-SA"/>
        </w:rPr>
        <w:t>主要范围是用于自主就业士兵经济补助，技能培训，安置期间生活费社保费等。</w:t>
      </w:r>
    </w:p>
    <w:p w14:paraId="14A764B8">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（二）项目绩效目标。包括总体目标和阶段性目标。</w:t>
      </w:r>
    </w:p>
    <w:p w14:paraId="339B4EB9">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做好退役士兵就业安置工作，加强职业教育和技能培训，提高专业技能和就业能力，促进退役士兵自主就业，切实保障退役士兵在待安置期间和技能培训期间的生活，构建社会主义和谐社会，达到既保障其合法权益，又促进社会稳定和发展的目的。</w:t>
      </w:r>
    </w:p>
    <w:p w14:paraId="607CB2EC">
      <w:pPr>
        <w:spacing w:line="560" w:lineRule="exact"/>
        <w:ind w:firstLine="643" w:firstLineChars="200"/>
        <w:jc w:val="left"/>
        <w:rPr>
          <w:rFonts w:hint="eastAsia" w:ascii="宋体" w:hAnsi="宋体" w:eastAsia="宋体" w:cs="宋体"/>
          <w:b/>
          <w:bCs w:val="0"/>
          <w:sz w:val="32"/>
          <w:szCs w:val="32"/>
        </w:rPr>
      </w:pPr>
      <w:r>
        <w:rPr>
          <w:rFonts w:hint="eastAsia" w:ascii="宋体" w:hAnsi="宋体" w:eastAsia="宋体" w:cs="宋体"/>
          <w:b/>
          <w:bCs w:val="0"/>
          <w:sz w:val="32"/>
          <w:szCs w:val="32"/>
        </w:rPr>
        <w:t>二、绩效评价工作开展情况</w:t>
      </w:r>
    </w:p>
    <w:p w14:paraId="27FC4077">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（一）绩效评价目的、对象和范围。</w:t>
      </w:r>
    </w:p>
    <w:p w14:paraId="47F9950F">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了解退役士兵安置、退役士兵待安置期间生活补助和职业教育和技能培训资金的使用和效益情况，为预算绩效管理和下年度预算安排提供决策参考。</w:t>
      </w:r>
    </w:p>
    <w:p w14:paraId="0717E30B">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（二）绩效评价原则、评价指标体系（附表说明）、评价方法、评价标准等。</w:t>
      </w:r>
    </w:p>
    <w:p w14:paraId="49E94A09">
      <w:pPr>
        <w:spacing w:line="560" w:lineRule="exact"/>
        <w:ind w:firstLine="560" w:firstLineChars="200"/>
        <w:jc w:val="left"/>
        <w:rPr>
          <w:rFonts w:hint="eastAsia" w:ascii="宋体" w:hAnsi="宋体" w:eastAsia="宋体" w:cs="宋体"/>
          <w:i w:val="0"/>
          <w:iCs w:val="0"/>
          <w:caps w:val="0"/>
          <w:color w:val="333333"/>
          <w:spacing w:val="0"/>
          <w:sz w:val="28"/>
          <w:szCs w:val="28"/>
          <w:shd w:val="clear" w:fill="FFFFFF"/>
        </w:rPr>
      </w:pPr>
      <w:r>
        <w:rPr>
          <w:rFonts w:hint="eastAsia" w:ascii="宋体" w:hAnsi="宋体" w:eastAsia="宋体" w:cs="宋体"/>
          <w:i w:val="0"/>
          <w:iCs w:val="0"/>
          <w:caps w:val="0"/>
          <w:color w:val="333333"/>
          <w:spacing w:val="0"/>
          <w:sz w:val="28"/>
          <w:szCs w:val="28"/>
          <w:shd w:val="clear" w:fill="FFFFFF"/>
        </w:rPr>
        <w:t>按照科学规范、公开公正、公级分类、绩效相关的原则，采用比较法、因素法、成本法、公众评判法等方法开展绩效评价。</w:t>
      </w:r>
    </w:p>
    <w:p w14:paraId="5E28121F">
      <w:pPr>
        <w:spacing w:line="560" w:lineRule="exact"/>
        <w:ind w:firstLine="560" w:firstLineChars="200"/>
        <w:jc w:val="left"/>
        <w:rPr>
          <w:rFonts w:hint="eastAsia" w:ascii="宋体" w:hAnsi="宋体" w:eastAsia="宋体" w:cs="宋体"/>
          <w:i w:val="0"/>
          <w:iCs w:val="0"/>
          <w:caps w:val="0"/>
          <w:color w:val="333333"/>
          <w:spacing w:val="0"/>
          <w:sz w:val="28"/>
          <w:szCs w:val="28"/>
          <w:shd w:val="clear" w:fill="FFFFFF"/>
        </w:rPr>
      </w:pPr>
    </w:p>
    <w:p w14:paraId="66B5E829">
      <w:pPr>
        <w:spacing w:line="560" w:lineRule="exact"/>
        <w:ind w:firstLine="560" w:firstLineChars="200"/>
        <w:jc w:val="left"/>
        <w:rPr>
          <w:rFonts w:hint="eastAsia" w:ascii="宋体" w:hAnsi="宋体" w:eastAsia="宋体" w:cs="宋体"/>
          <w:i w:val="0"/>
          <w:iCs w:val="0"/>
          <w:caps w:val="0"/>
          <w:color w:val="333333"/>
          <w:spacing w:val="0"/>
          <w:sz w:val="28"/>
          <w:szCs w:val="28"/>
          <w:shd w:val="clear" w:fill="FFFFFF"/>
        </w:rPr>
      </w:pPr>
    </w:p>
    <w:tbl>
      <w:tblPr>
        <w:tblW w:w="865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1489"/>
        <w:gridCol w:w="2595"/>
        <w:gridCol w:w="2872"/>
        <w:gridCol w:w="1702"/>
      </w:tblGrid>
      <w:tr w14:paraId="6F5936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2" w:hRule="atLeast"/>
        </w:trPr>
        <w:tc>
          <w:tcPr>
            <w:tcW w:w="1489" w:type="dxa"/>
            <w:vMerge w:val="restart"/>
            <w:tcBorders>
              <w:top w:val="nil"/>
              <w:left w:val="single" w:color="000000" w:sz="8" w:space="0"/>
              <w:bottom w:val="single" w:color="000000" w:sz="8" w:space="0"/>
              <w:right w:val="single" w:color="000000" w:sz="8" w:space="0"/>
            </w:tcBorders>
            <w:shd w:val="clear"/>
            <w:vAlign w:val="center"/>
          </w:tcPr>
          <w:p w14:paraId="3D930028">
            <w:pPr>
              <w:keepNext w:val="0"/>
              <w:keepLines w:val="0"/>
              <w:widowControl/>
              <w:suppressLineNumbers w:val="0"/>
              <w:jc w:val="center"/>
              <w:textAlignment w:val="center"/>
              <w:rPr>
                <w:rFonts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bdr w:val="none" w:color="auto" w:sz="0" w:space="0"/>
                <w:lang w:val="en-US" w:eastAsia="zh-CN" w:bidi="ar"/>
              </w:rPr>
              <w:t>一级指标</w:t>
            </w:r>
          </w:p>
        </w:tc>
        <w:tc>
          <w:tcPr>
            <w:tcW w:w="2595" w:type="dxa"/>
            <w:vMerge w:val="restart"/>
            <w:tcBorders>
              <w:top w:val="nil"/>
              <w:left w:val="single" w:color="000000" w:sz="8" w:space="0"/>
              <w:bottom w:val="single" w:color="000000" w:sz="8" w:space="0"/>
              <w:right w:val="single" w:color="000000" w:sz="8" w:space="0"/>
            </w:tcBorders>
            <w:shd w:val="clear"/>
            <w:vAlign w:val="center"/>
          </w:tcPr>
          <w:p w14:paraId="2D99E222">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bdr w:val="none" w:color="auto" w:sz="0" w:space="0"/>
                <w:lang w:val="en-US" w:eastAsia="zh-CN" w:bidi="ar"/>
              </w:rPr>
              <w:t>二级指标</w:t>
            </w:r>
          </w:p>
        </w:tc>
        <w:tc>
          <w:tcPr>
            <w:tcW w:w="2872" w:type="dxa"/>
            <w:vMerge w:val="restart"/>
            <w:tcBorders>
              <w:top w:val="nil"/>
              <w:left w:val="single" w:color="000000" w:sz="8" w:space="0"/>
              <w:bottom w:val="single" w:color="000000" w:sz="8" w:space="0"/>
              <w:right w:val="single" w:color="000000" w:sz="8" w:space="0"/>
            </w:tcBorders>
            <w:shd w:val="clear"/>
            <w:vAlign w:val="center"/>
          </w:tcPr>
          <w:p w14:paraId="17523614">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bdr w:val="none" w:color="auto" w:sz="0" w:space="0"/>
                <w:lang w:val="en-US" w:eastAsia="zh-CN" w:bidi="ar"/>
              </w:rPr>
              <w:t>三级指标</w:t>
            </w:r>
          </w:p>
        </w:tc>
        <w:tc>
          <w:tcPr>
            <w:tcW w:w="1702" w:type="dxa"/>
            <w:vMerge w:val="restart"/>
            <w:tcBorders>
              <w:top w:val="nil"/>
              <w:left w:val="nil"/>
              <w:bottom w:val="single" w:color="000000" w:sz="8" w:space="0"/>
              <w:right w:val="nil"/>
            </w:tcBorders>
            <w:shd w:val="clear"/>
            <w:vAlign w:val="center"/>
          </w:tcPr>
          <w:p w14:paraId="5F8849ED">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bdr w:val="none" w:color="auto" w:sz="0" w:space="0"/>
                <w:lang w:val="en-US" w:eastAsia="zh-CN" w:bidi="ar"/>
              </w:rPr>
              <w:t>年度指标值</w:t>
            </w:r>
          </w:p>
        </w:tc>
      </w:tr>
      <w:tr w14:paraId="0326AC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89" w:type="dxa"/>
            <w:vMerge w:val="continue"/>
            <w:tcBorders>
              <w:top w:val="nil"/>
              <w:left w:val="single" w:color="000000" w:sz="8" w:space="0"/>
              <w:bottom w:val="single" w:color="000000" w:sz="8" w:space="0"/>
              <w:right w:val="single" w:color="000000" w:sz="8" w:space="0"/>
            </w:tcBorders>
            <w:shd w:val="clear"/>
            <w:vAlign w:val="center"/>
          </w:tcPr>
          <w:p w14:paraId="4CC758AD">
            <w:pPr>
              <w:jc w:val="center"/>
              <w:rPr>
                <w:rFonts w:hint="eastAsia" w:ascii="微软雅黑" w:hAnsi="微软雅黑" w:eastAsia="微软雅黑" w:cs="微软雅黑"/>
                <w:b/>
                <w:bCs/>
                <w:i w:val="0"/>
                <w:iCs w:val="0"/>
                <w:color w:val="000000"/>
                <w:sz w:val="22"/>
                <w:szCs w:val="22"/>
                <w:u w:val="none"/>
              </w:rPr>
            </w:pPr>
          </w:p>
        </w:tc>
        <w:tc>
          <w:tcPr>
            <w:tcW w:w="2595" w:type="dxa"/>
            <w:vMerge w:val="continue"/>
            <w:tcBorders>
              <w:top w:val="nil"/>
              <w:left w:val="single" w:color="000000" w:sz="8" w:space="0"/>
              <w:bottom w:val="single" w:color="000000" w:sz="8" w:space="0"/>
              <w:right w:val="single" w:color="000000" w:sz="8" w:space="0"/>
            </w:tcBorders>
            <w:shd w:val="clear"/>
            <w:vAlign w:val="center"/>
          </w:tcPr>
          <w:p w14:paraId="52EF3F66">
            <w:pPr>
              <w:jc w:val="center"/>
              <w:rPr>
                <w:rFonts w:hint="eastAsia" w:ascii="微软雅黑" w:hAnsi="微软雅黑" w:eastAsia="微软雅黑" w:cs="微软雅黑"/>
                <w:b/>
                <w:bCs/>
                <w:i w:val="0"/>
                <w:iCs w:val="0"/>
                <w:color w:val="000000"/>
                <w:sz w:val="22"/>
                <w:szCs w:val="22"/>
                <w:u w:val="none"/>
              </w:rPr>
            </w:pPr>
          </w:p>
        </w:tc>
        <w:tc>
          <w:tcPr>
            <w:tcW w:w="2872" w:type="dxa"/>
            <w:vMerge w:val="continue"/>
            <w:tcBorders>
              <w:top w:val="nil"/>
              <w:left w:val="single" w:color="000000" w:sz="8" w:space="0"/>
              <w:bottom w:val="single" w:color="000000" w:sz="8" w:space="0"/>
              <w:right w:val="single" w:color="000000" w:sz="8" w:space="0"/>
            </w:tcBorders>
            <w:shd w:val="clear"/>
            <w:vAlign w:val="center"/>
          </w:tcPr>
          <w:p w14:paraId="5E630A1C">
            <w:pPr>
              <w:jc w:val="center"/>
              <w:rPr>
                <w:rFonts w:hint="eastAsia" w:ascii="微软雅黑" w:hAnsi="微软雅黑" w:eastAsia="微软雅黑" w:cs="微软雅黑"/>
                <w:b/>
                <w:bCs/>
                <w:i w:val="0"/>
                <w:iCs w:val="0"/>
                <w:color w:val="000000"/>
                <w:sz w:val="22"/>
                <w:szCs w:val="22"/>
                <w:u w:val="none"/>
              </w:rPr>
            </w:pPr>
          </w:p>
        </w:tc>
        <w:tc>
          <w:tcPr>
            <w:tcW w:w="1702" w:type="dxa"/>
            <w:vMerge w:val="continue"/>
            <w:tcBorders>
              <w:top w:val="nil"/>
              <w:left w:val="nil"/>
              <w:bottom w:val="single" w:color="000000" w:sz="8" w:space="0"/>
              <w:right w:val="nil"/>
            </w:tcBorders>
            <w:shd w:val="clear"/>
            <w:vAlign w:val="center"/>
          </w:tcPr>
          <w:p w14:paraId="032BE93E">
            <w:pPr>
              <w:jc w:val="center"/>
              <w:rPr>
                <w:rFonts w:hint="eastAsia" w:ascii="微软雅黑" w:hAnsi="微软雅黑" w:eastAsia="微软雅黑" w:cs="微软雅黑"/>
                <w:b/>
                <w:bCs/>
                <w:i w:val="0"/>
                <w:iCs w:val="0"/>
                <w:color w:val="000000"/>
                <w:sz w:val="22"/>
                <w:szCs w:val="22"/>
                <w:u w:val="none"/>
              </w:rPr>
            </w:pPr>
          </w:p>
        </w:tc>
      </w:tr>
      <w:tr w14:paraId="545CA3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trPr>
        <w:tc>
          <w:tcPr>
            <w:tcW w:w="1489" w:type="dxa"/>
            <w:vMerge w:val="continue"/>
            <w:tcBorders>
              <w:top w:val="nil"/>
              <w:left w:val="single" w:color="000000" w:sz="8" w:space="0"/>
              <w:bottom w:val="single" w:color="000000" w:sz="8" w:space="0"/>
              <w:right w:val="single" w:color="000000" w:sz="8" w:space="0"/>
            </w:tcBorders>
            <w:shd w:val="clear"/>
            <w:vAlign w:val="center"/>
          </w:tcPr>
          <w:p w14:paraId="58BF3BA3">
            <w:pPr>
              <w:jc w:val="center"/>
              <w:rPr>
                <w:rFonts w:hint="eastAsia" w:ascii="微软雅黑" w:hAnsi="微软雅黑" w:eastAsia="微软雅黑" w:cs="微软雅黑"/>
                <w:b/>
                <w:bCs/>
                <w:i w:val="0"/>
                <w:iCs w:val="0"/>
                <w:color w:val="000000"/>
                <w:sz w:val="22"/>
                <w:szCs w:val="22"/>
                <w:u w:val="none"/>
              </w:rPr>
            </w:pPr>
          </w:p>
        </w:tc>
        <w:tc>
          <w:tcPr>
            <w:tcW w:w="2595" w:type="dxa"/>
            <w:vMerge w:val="continue"/>
            <w:tcBorders>
              <w:top w:val="nil"/>
              <w:left w:val="single" w:color="000000" w:sz="8" w:space="0"/>
              <w:bottom w:val="single" w:color="000000" w:sz="8" w:space="0"/>
              <w:right w:val="single" w:color="000000" w:sz="8" w:space="0"/>
            </w:tcBorders>
            <w:shd w:val="clear"/>
            <w:vAlign w:val="center"/>
          </w:tcPr>
          <w:p w14:paraId="73BF1523">
            <w:pPr>
              <w:jc w:val="center"/>
              <w:rPr>
                <w:rFonts w:hint="eastAsia" w:ascii="微软雅黑" w:hAnsi="微软雅黑" w:eastAsia="微软雅黑" w:cs="微软雅黑"/>
                <w:b/>
                <w:bCs/>
                <w:i w:val="0"/>
                <w:iCs w:val="0"/>
                <w:color w:val="000000"/>
                <w:sz w:val="22"/>
                <w:szCs w:val="22"/>
                <w:u w:val="none"/>
              </w:rPr>
            </w:pPr>
          </w:p>
        </w:tc>
        <w:tc>
          <w:tcPr>
            <w:tcW w:w="2872" w:type="dxa"/>
            <w:vMerge w:val="continue"/>
            <w:tcBorders>
              <w:top w:val="nil"/>
              <w:left w:val="single" w:color="000000" w:sz="8" w:space="0"/>
              <w:bottom w:val="single" w:color="000000" w:sz="8" w:space="0"/>
              <w:right w:val="single" w:color="000000" w:sz="8" w:space="0"/>
            </w:tcBorders>
            <w:shd w:val="clear"/>
            <w:vAlign w:val="center"/>
          </w:tcPr>
          <w:p w14:paraId="2A2BFC76">
            <w:pPr>
              <w:jc w:val="center"/>
              <w:rPr>
                <w:rFonts w:hint="eastAsia" w:ascii="微软雅黑" w:hAnsi="微软雅黑" w:eastAsia="微软雅黑" w:cs="微软雅黑"/>
                <w:b/>
                <w:bCs/>
                <w:i w:val="0"/>
                <w:iCs w:val="0"/>
                <w:color w:val="000000"/>
                <w:sz w:val="22"/>
                <w:szCs w:val="22"/>
                <w:u w:val="none"/>
              </w:rPr>
            </w:pPr>
          </w:p>
        </w:tc>
        <w:tc>
          <w:tcPr>
            <w:tcW w:w="1702" w:type="dxa"/>
            <w:vMerge w:val="continue"/>
            <w:tcBorders>
              <w:top w:val="nil"/>
              <w:left w:val="nil"/>
              <w:bottom w:val="single" w:color="000000" w:sz="8" w:space="0"/>
              <w:right w:val="nil"/>
            </w:tcBorders>
            <w:shd w:val="clear"/>
            <w:vAlign w:val="center"/>
          </w:tcPr>
          <w:p w14:paraId="3EC264C2">
            <w:pPr>
              <w:jc w:val="center"/>
              <w:rPr>
                <w:rFonts w:hint="eastAsia" w:ascii="微软雅黑" w:hAnsi="微软雅黑" w:eastAsia="微软雅黑" w:cs="微软雅黑"/>
                <w:b/>
                <w:bCs/>
                <w:i w:val="0"/>
                <w:iCs w:val="0"/>
                <w:color w:val="000000"/>
                <w:sz w:val="22"/>
                <w:szCs w:val="22"/>
                <w:u w:val="none"/>
              </w:rPr>
            </w:pPr>
          </w:p>
        </w:tc>
      </w:tr>
      <w:tr w14:paraId="2266FF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489" w:type="dxa"/>
            <w:vMerge w:val="restart"/>
            <w:tcBorders>
              <w:top w:val="nil"/>
              <w:left w:val="single" w:color="000000" w:sz="8" w:space="0"/>
              <w:bottom w:val="single" w:color="000000" w:sz="8" w:space="0"/>
              <w:right w:val="single" w:color="000000" w:sz="8" w:space="0"/>
            </w:tcBorders>
            <w:shd w:val="clear"/>
            <w:vAlign w:val="center"/>
          </w:tcPr>
          <w:p w14:paraId="289B181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产出指标</w:t>
            </w:r>
          </w:p>
        </w:tc>
        <w:tc>
          <w:tcPr>
            <w:tcW w:w="2595" w:type="dxa"/>
            <w:tcBorders>
              <w:top w:val="nil"/>
              <w:left w:val="single" w:color="000000" w:sz="8" w:space="0"/>
              <w:bottom w:val="single" w:color="000000" w:sz="8" w:space="0"/>
              <w:right w:val="single" w:color="000000" w:sz="8" w:space="0"/>
            </w:tcBorders>
            <w:shd w:val="clear"/>
            <w:vAlign w:val="center"/>
          </w:tcPr>
          <w:p w14:paraId="5053A15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数量指标</w:t>
            </w:r>
          </w:p>
        </w:tc>
        <w:tc>
          <w:tcPr>
            <w:tcW w:w="2872" w:type="dxa"/>
            <w:tcBorders>
              <w:top w:val="nil"/>
              <w:left w:val="single" w:color="000000" w:sz="8" w:space="0"/>
              <w:bottom w:val="single" w:color="000000" w:sz="8" w:space="0"/>
              <w:right w:val="single" w:color="000000" w:sz="8" w:space="0"/>
            </w:tcBorders>
            <w:shd w:val="clear"/>
            <w:vAlign w:val="center"/>
          </w:tcPr>
          <w:p w14:paraId="42ED2658">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退役士兵安置补助人数</w:t>
            </w:r>
          </w:p>
        </w:tc>
        <w:tc>
          <w:tcPr>
            <w:tcW w:w="1702" w:type="dxa"/>
            <w:tcBorders>
              <w:top w:val="nil"/>
              <w:left w:val="nil"/>
              <w:bottom w:val="single" w:color="000000" w:sz="8" w:space="0"/>
              <w:right w:val="nil"/>
            </w:tcBorders>
            <w:shd w:val="clear"/>
            <w:vAlign w:val="center"/>
          </w:tcPr>
          <w:p w14:paraId="534AB12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3人</w:t>
            </w:r>
          </w:p>
        </w:tc>
      </w:tr>
      <w:tr w14:paraId="6AD492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1489" w:type="dxa"/>
            <w:vMerge w:val="continue"/>
            <w:tcBorders>
              <w:top w:val="nil"/>
              <w:left w:val="single" w:color="000000" w:sz="8" w:space="0"/>
              <w:bottom w:val="single" w:color="000000" w:sz="8" w:space="0"/>
              <w:right w:val="single" w:color="000000" w:sz="8" w:space="0"/>
            </w:tcBorders>
            <w:shd w:val="clear"/>
            <w:vAlign w:val="center"/>
          </w:tcPr>
          <w:p w14:paraId="4B58CA28">
            <w:pPr>
              <w:jc w:val="center"/>
              <w:rPr>
                <w:rFonts w:hint="eastAsia" w:ascii="微软雅黑" w:hAnsi="微软雅黑" w:eastAsia="微软雅黑" w:cs="微软雅黑"/>
                <w:i w:val="0"/>
                <w:iCs w:val="0"/>
                <w:color w:val="000000"/>
                <w:sz w:val="20"/>
                <w:szCs w:val="20"/>
                <w:u w:val="none"/>
              </w:rPr>
            </w:pPr>
          </w:p>
        </w:tc>
        <w:tc>
          <w:tcPr>
            <w:tcW w:w="2595" w:type="dxa"/>
            <w:tcBorders>
              <w:top w:val="nil"/>
              <w:left w:val="single" w:color="000000" w:sz="8" w:space="0"/>
              <w:bottom w:val="single" w:color="000000" w:sz="8" w:space="0"/>
              <w:right w:val="single" w:color="000000" w:sz="8" w:space="0"/>
            </w:tcBorders>
            <w:shd w:val="clear"/>
            <w:vAlign w:val="center"/>
          </w:tcPr>
          <w:p w14:paraId="395D0FA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质量指标</w:t>
            </w:r>
          </w:p>
        </w:tc>
        <w:tc>
          <w:tcPr>
            <w:tcW w:w="2872" w:type="dxa"/>
            <w:tcBorders>
              <w:top w:val="nil"/>
              <w:left w:val="single" w:color="000000" w:sz="8" w:space="0"/>
              <w:bottom w:val="single" w:color="000000" w:sz="8" w:space="0"/>
              <w:right w:val="single" w:color="000000" w:sz="8" w:space="0"/>
            </w:tcBorders>
            <w:shd w:val="clear"/>
            <w:vAlign w:val="center"/>
          </w:tcPr>
          <w:p w14:paraId="79E89926">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补助资金发放准确率</w:t>
            </w:r>
          </w:p>
        </w:tc>
        <w:tc>
          <w:tcPr>
            <w:tcW w:w="1702" w:type="dxa"/>
            <w:tcBorders>
              <w:top w:val="nil"/>
              <w:left w:val="nil"/>
              <w:bottom w:val="single" w:color="000000" w:sz="8" w:space="0"/>
              <w:right w:val="nil"/>
            </w:tcBorders>
            <w:shd w:val="clear"/>
            <w:vAlign w:val="center"/>
          </w:tcPr>
          <w:p w14:paraId="636994F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100%</w:t>
            </w:r>
          </w:p>
        </w:tc>
      </w:tr>
      <w:tr w14:paraId="1EB8C5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1489" w:type="dxa"/>
            <w:vMerge w:val="continue"/>
            <w:tcBorders>
              <w:top w:val="nil"/>
              <w:left w:val="single" w:color="000000" w:sz="8" w:space="0"/>
              <w:bottom w:val="single" w:color="000000" w:sz="8" w:space="0"/>
              <w:right w:val="single" w:color="000000" w:sz="8" w:space="0"/>
            </w:tcBorders>
            <w:shd w:val="clear"/>
            <w:vAlign w:val="center"/>
          </w:tcPr>
          <w:p w14:paraId="5F90E0AE">
            <w:pPr>
              <w:jc w:val="center"/>
              <w:rPr>
                <w:rFonts w:hint="eastAsia" w:ascii="微软雅黑" w:hAnsi="微软雅黑" w:eastAsia="微软雅黑" w:cs="微软雅黑"/>
                <w:i w:val="0"/>
                <w:iCs w:val="0"/>
                <w:color w:val="000000"/>
                <w:sz w:val="20"/>
                <w:szCs w:val="20"/>
                <w:u w:val="none"/>
              </w:rPr>
            </w:pPr>
          </w:p>
        </w:tc>
        <w:tc>
          <w:tcPr>
            <w:tcW w:w="2595" w:type="dxa"/>
            <w:tcBorders>
              <w:top w:val="nil"/>
              <w:left w:val="single" w:color="000000" w:sz="8" w:space="0"/>
              <w:bottom w:val="single" w:color="000000" w:sz="8" w:space="0"/>
              <w:right w:val="single" w:color="000000" w:sz="8" w:space="0"/>
            </w:tcBorders>
            <w:shd w:val="clear"/>
            <w:vAlign w:val="center"/>
          </w:tcPr>
          <w:p w14:paraId="7070C1E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时效指标</w:t>
            </w:r>
          </w:p>
        </w:tc>
        <w:tc>
          <w:tcPr>
            <w:tcW w:w="2872" w:type="dxa"/>
            <w:tcBorders>
              <w:top w:val="nil"/>
              <w:left w:val="single" w:color="000000" w:sz="8" w:space="0"/>
              <w:bottom w:val="single" w:color="000000" w:sz="8" w:space="0"/>
              <w:right w:val="single" w:color="000000" w:sz="8" w:space="0"/>
            </w:tcBorders>
            <w:shd w:val="clear"/>
            <w:vAlign w:val="center"/>
          </w:tcPr>
          <w:p w14:paraId="7222B6B6">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补助资金发放及时率</w:t>
            </w:r>
          </w:p>
        </w:tc>
        <w:tc>
          <w:tcPr>
            <w:tcW w:w="1702" w:type="dxa"/>
            <w:tcBorders>
              <w:top w:val="nil"/>
              <w:left w:val="nil"/>
              <w:bottom w:val="single" w:color="000000" w:sz="8" w:space="0"/>
              <w:right w:val="nil"/>
            </w:tcBorders>
            <w:shd w:val="clear"/>
            <w:vAlign w:val="center"/>
          </w:tcPr>
          <w:p w14:paraId="1AA6782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100%</w:t>
            </w:r>
          </w:p>
        </w:tc>
      </w:tr>
      <w:tr w14:paraId="2872FE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1489" w:type="dxa"/>
            <w:vMerge w:val="restart"/>
            <w:tcBorders>
              <w:top w:val="nil"/>
              <w:left w:val="single" w:color="000000" w:sz="8" w:space="0"/>
              <w:bottom w:val="single" w:color="000000" w:sz="8" w:space="0"/>
              <w:right w:val="single" w:color="000000" w:sz="8" w:space="0"/>
            </w:tcBorders>
            <w:shd w:val="clear"/>
            <w:vAlign w:val="center"/>
          </w:tcPr>
          <w:p w14:paraId="66824DD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效益指标</w:t>
            </w:r>
          </w:p>
        </w:tc>
        <w:tc>
          <w:tcPr>
            <w:tcW w:w="2595" w:type="dxa"/>
            <w:tcBorders>
              <w:top w:val="nil"/>
              <w:left w:val="single" w:color="000000" w:sz="8" w:space="0"/>
              <w:bottom w:val="single" w:color="000000" w:sz="8" w:space="0"/>
              <w:right w:val="single" w:color="000000" w:sz="8" w:space="0"/>
            </w:tcBorders>
            <w:shd w:val="clear"/>
            <w:vAlign w:val="center"/>
          </w:tcPr>
          <w:p w14:paraId="635C83A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经济效益指标</w:t>
            </w:r>
          </w:p>
        </w:tc>
        <w:tc>
          <w:tcPr>
            <w:tcW w:w="2872" w:type="dxa"/>
            <w:tcBorders>
              <w:top w:val="nil"/>
              <w:left w:val="single" w:color="000000" w:sz="8" w:space="0"/>
              <w:bottom w:val="single" w:color="000000" w:sz="8" w:space="0"/>
              <w:right w:val="single" w:color="000000" w:sz="8" w:space="0"/>
            </w:tcBorders>
            <w:shd w:val="clear"/>
            <w:vAlign w:val="center"/>
          </w:tcPr>
          <w:p w14:paraId="53C6FD47">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不适用</w:t>
            </w:r>
          </w:p>
        </w:tc>
        <w:tc>
          <w:tcPr>
            <w:tcW w:w="1702" w:type="dxa"/>
            <w:tcBorders>
              <w:top w:val="nil"/>
              <w:left w:val="nil"/>
              <w:bottom w:val="single" w:color="000000" w:sz="8" w:space="0"/>
              <w:right w:val="nil"/>
            </w:tcBorders>
            <w:shd w:val="clear"/>
            <w:vAlign w:val="center"/>
          </w:tcPr>
          <w:p w14:paraId="6E0F5F7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无</w:t>
            </w:r>
          </w:p>
        </w:tc>
      </w:tr>
      <w:tr w14:paraId="19196E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1489" w:type="dxa"/>
            <w:vMerge w:val="continue"/>
            <w:tcBorders>
              <w:top w:val="nil"/>
              <w:left w:val="single" w:color="000000" w:sz="8" w:space="0"/>
              <w:bottom w:val="single" w:color="000000" w:sz="8" w:space="0"/>
              <w:right w:val="single" w:color="000000" w:sz="8" w:space="0"/>
            </w:tcBorders>
            <w:shd w:val="clear"/>
            <w:vAlign w:val="center"/>
          </w:tcPr>
          <w:p w14:paraId="28265055">
            <w:pPr>
              <w:jc w:val="center"/>
              <w:rPr>
                <w:rFonts w:hint="eastAsia" w:ascii="微软雅黑" w:hAnsi="微软雅黑" w:eastAsia="微软雅黑" w:cs="微软雅黑"/>
                <w:i w:val="0"/>
                <w:iCs w:val="0"/>
                <w:color w:val="000000"/>
                <w:sz w:val="20"/>
                <w:szCs w:val="20"/>
                <w:u w:val="none"/>
              </w:rPr>
            </w:pPr>
          </w:p>
        </w:tc>
        <w:tc>
          <w:tcPr>
            <w:tcW w:w="2595" w:type="dxa"/>
            <w:tcBorders>
              <w:top w:val="nil"/>
              <w:left w:val="single" w:color="000000" w:sz="8" w:space="0"/>
              <w:bottom w:val="single" w:color="000000" w:sz="8" w:space="0"/>
              <w:right w:val="single" w:color="000000" w:sz="8" w:space="0"/>
            </w:tcBorders>
            <w:shd w:val="clear"/>
            <w:vAlign w:val="center"/>
          </w:tcPr>
          <w:p w14:paraId="2CB173A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社会效益指标</w:t>
            </w:r>
          </w:p>
        </w:tc>
        <w:tc>
          <w:tcPr>
            <w:tcW w:w="2872" w:type="dxa"/>
            <w:tcBorders>
              <w:top w:val="nil"/>
              <w:left w:val="single" w:color="000000" w:sz="8" w:space="0"/>
              <w:bottom w:val="single" w:color="000000" w:sz="8" w:space="0"/>
              <w:right w:val="single" w:color="000000" w:sz="8" w:space="0"/>
            </w:tcBorders>
            <w:shd w:val="clear"/>
            <w:vAlign w:val="center"/>
          </w:tcPr>
          <w:p w14:paraId="103AAF91">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保障退役士兵的待遇</w:t>
            </w:r>
          </w:p>
        </w:tc>
        <w:tc>
          <w:tcPr>
            <w:tcW w:w="1702" w:type="dxa"/>
            <w:tcBorders>
              <w:top w:val="nil"/>
              <w:left w:val="nil"/>
              <w:bottom w:val="single" w:color="000000" w:sz="8" w:space="0"/>
              <w:right w:val="nil"/>
            </w:tcBorders>
            <w:shd w:val="clear"/>
            <w:vAlign w:val="center"/>
          </w:tcPr>
          <w:p w14:paraId="10CCF82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100%</w:t>
            </w:r>
          </w:p>
        </w:tc>
      </w:tr>
      <w:tr w14:paraId="74BBB5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1489" w:type="dxa"/>
            <w:vMerge w:val="continue"/>
            <w:tcBorders>
              <w:top w:val="nil"/>
              <w:left w:val="single" w:color="000000" w:sz="8" w:space="0"/>
              <w:bottom w:val="single" w:color="000000" w:sz="8" w:space="0"/>
              <w:right w:val="single" w:color="000000" w:sz="8" w:space="0"/>
            </w:tcBorders>
            <w:shd w:val="clear"/>
            <w:vAlign w:val="center"/>
          </w:tcPr>
          <w:p w14:paraId="481EA8CC">
            <w:pPr>
              <w:jc w:val="center"/>
              <w:rPr>
                <w:rFonts w:hint="eastAsia" w:ascii="微软雅黑" w:hAnsi="微软雅黑" w:eastAsia="微软雅黑" w:cs="微软雅黑"/>
                <w:i w:val="0"/>
                <w:iCs w:val="0"/>
                <w:color w:val="000000"/>
                <w:sz w:val="20"/>
                <w:szCs w:val="20"/>
                <w:u w:val="none"/>
              </w:rPr>
            </w:pPr>
          </w:p>
        </w:tc>
        <w:tc>
          <w:tcPr>
            <w:tcW w:w="2595" w:type="dxa"/>
            <w:tcBorders>
              <w:top w:val="nil"/>
              <w:left w:val="single" w:color="000000" w:sz="8" w:space="0"/>
              <w:bottom w:val="single" w:color="000000" w:sz="8" w:space="0"/>
              <w:right w:val="single" w:color="000000" w:sz="8" w:space="0"/>
            </w:tcBorders>
            <w:shd w:val="clear"/>
            <w:vAlign w:val="center"/>
          </w:tcPr>
          <w:p w14:paraId="0854C11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生态效益指标</w:t>
            </w:r>
          </w:p>
        </w:tc>
        <w:tc>
          <w:tcPr>
            <w:tcW w:w="2872" w:type="dxa"/>
            <w:tcBorders>
              <w:top w:val="nil"/>
              <w:left w:val="single" w:color="000000" w:sz="8" w:space="0"/>
              <w:bottom w:val="single" w:color="000000" w:sz="8" w:space="0"/>
              <w:right w:val="single" w:color="000000" w:sz="8" w:space="0"/>
            </w:tcBorders>
            <w:shd w:val="clear"/>
            <w:vAlign w:val="center"/>
          </w:tcPr>
          <w:p w14:paraId="13496BA9">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不适用</w:t>
            </w:r>
          </w:p>
        </w:tc>
        <w:tc>
          <w:tcPr>
            <w:tcW w:w="1702" w:type="dxa"/>
            <w:tcBorders>
              <w:top w:val="nil"/>
              <w:left w:val="nil"/>
              <w:bottom w:val="single" w:color="000000" w:sz="8" w:space="0"/>
              <w:right w:val="nil"/>
            </w:tcBorders>
            <w:shd w:val="clear"/>
            <w:vAlign w:val="center"/>
          </w:tcPr>
          <w:p w14:paraId="613D517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无</w:t>
            </w:r>
          </w:p>
        </w:tc>
      </w:tr>
      <w:tr w14:paraId="70DA8D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489" w:type="dxa"/>
            <w:vMerge w:val="continue"/>
            <w:tcBorders>
              <w:top w:val="nil"/>
              <w:left w:val="single" w:color="000000" w:sz="8" w:space="0"/>
              <w:bottom w:val="single" w:color="000000" w:sz="8" w:space="0"/>
              <w:right w:val="single" w:color="000000" w:sz="8" w:space="0"/>
            </w:tcBorders>
            <w:shd w:val="clear"/>
            <w:vAlign w:val="center"/>
          </w:tcPr>
          <w:p w14:paraId="646F4DDF">
            <w:pPr>
              <w:jc w:val="center"/>
              <w:rPr>
                <w:rFonts w:hint="eastAsia" w:ascii="微软雅黑" w:hAnsi="微软雅黑" w:eastAsia="微软雅黑" w:cs="微软雅黑"/>
                <w:i w:val="0"/>
                <w:iCs w:val="0"/>
                <w:color w:val="000000"/>
                <w:sz w:val="20"/>
                <w:szCs w:val="20"/>
                <w:u w:val="none"/>
              </w:rPr>
            </w:pPr>
          </w:p>
        </w:tc>
        <w:tc>
          <w:tcPr>
            <w:tcW w:w="2595" w:type="dxa"/>
            <w:tcBorders>
              <w:top w:val="nil"/>
              <w:left w:val="single" w:color="000000" w:sz="8" w:space="0"/>
              <w:bottom w:val="single" w:color="000000" w:sz="8" w:space="0"/>
              <w:right w:val="single" w:color="000000" w:sz="8" w:space="0"/>
            </w:tcBorders>
            <w:shd w:val="clear"/>
            <w:vAlign w:val="center"/>
          </w:tcPr>
          <w:p w14:paraId="2C58E94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可持续影响指标</w:t>
            </w:r>
          </w:p>
        </w:tc>
        <w:tc>
          <w:tcPr>
            <w:tcW w:w="2872" w:type="dxa"/>
            <w:tcBorders>
              <w:top w:val="nil"/>
              <w:left w:val="single" w:color="000000" w:sz="8" w:space="0"/>
              <w:bottom w:val="single" w:color="000000" w:sz="8" w:space="0"/>
              <w:right w:val="single" w:color="000000" w:sz="8" w:space="0"/>
            </w:tcBorders>
            <w:shd w:val="clear"/>
            <w:vAlign w:val="center"/>
          </w:tcPr>
          <w:p w14:paraId="1A01EF21">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提高退役士兵的凝聚力</w:t>
            </w:r>
          </w:p>
        </w:tc>
        <w:tc>
          <w:tcPr>
            <w:tcW w:w="1702" w:type="dxa"/>
            <w:tcBorders>
              <w:top w:val="nil"/>
              <w:left w:val="nil"/>
              <w:bottom w:val="single" w:color="000000" w:sz="8" w:space="0"/>
              <w:right w:val="nil"/>
            </w:tcBorders>
            <w:shd w:val="clear"/>
            <w:vAlign w:val="center"/>
          </w:tcPr>
          <w:p w14:paraId="782BABE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有效提高</w:t>
            </w:r>
          </w:p>
        </w:tc>
      </w:tr>
      <w:tr w14:paraId="6809E1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489" w:type="dxa"/>
            <w:tcBorders>
              <w:top w:val="nil"/>
              <w:left w:val="single" w:color="000000" w:sz="8" w:space="0"/>
              <w:bottom w:val="single" w:color="000000" w:sz="8" w:space="0"/>
              <w:right w:val="single" w:color="000000" w:sz="8" w:space="0"/>
            </w:tcBorders>
            <w:shd w:val="clear"/>
            <w:vAlign w:val="center"/>
          </w:tcPr>
          <w:p w14:paraId="3DD8A86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满意度指标</w:t>
            </w:r>
          </w:p>
        </w:tc>
        <w:tc>
          <w:tcPr>
            <w:tcW w:w="2595" w:type="dxa"/>
            <w:tcBorders>
              <w:top w:val="nil"/>
              <w:left w:val="single" w:color="000000" w:sz="8" w:space="0"/>
              <w:bottom w:val="single" w:color="000000" w:sz="8" w:space="0"/>
              <w:right w:val="single" w:color="000000" w:sz="8" w:space="0"/>
            </w:tcBorders>
            <w:shd w:val="clear"/>
            <w:vAlign w:val="center"/>
          </w:tcPr>
          <w:p w14:paraId="5110492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服务对象满意度指标</w:t>
            </w:r>
          </w:p>
        </w:tc>
        <w:tc>
          <w:tcPr>
            <w:tcW w:w="2872" w:type="dxa"/>
            <w:tcBorders>
              <w:top w:val="nil"/>
              <w:left w:val="single" w:color="000000" w:sz="8" w:space="0"/>
              <w:bottom w:val="single" w:color="000000" w:sz="8" w:space="0"/>
              <w:right w:val="single" w:color="000000" w:sz="8" w:space="0"/>
            </w:tcBorders>
            <w:shd w:val="clear"/>
            <w:vAlign w:val="center"/>
          </w:tcPr>
          <w:p w14:paraId="435175E2">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服务对象满意度</w:t>
            </w:r>
          </w:p>
        </w:tc>
        <w:tc>
          <w:tcPr>
            <w:tcW w:w="1702" w:type="dxa"/>
            <w:tcBorders>
              <w:top w:val="nil"/>
              <w:left w:val="nil"/>
              <w:bottom w:val="single" w:color="000000" w:sz="8" w:space="0"/>
              <w:right w:val="nil"/>
            </w:tcBorders>
            <w:shd w:val="clear"/>
            <w:vAlign w:val="center"/>
          </w:tcPr>
          <w:p w14:paraId="7B644DC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90%</w:t>
            </w:r>
          </w:p>
        </w:tc>
      </w:tr>
      <w:tr w14:paraId="3E2477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1489" w:type="dxa"/>
            <w:vMerge w:val="restart"/>
            <w:tcBorders>
              <w:top w:val="nil"/>
              <w:left w:val="single" w:color="000000" w:sz="8" w:space="0"/>
              <w:bottom w:val="single" w:color="000000" w:sz="8" w:space="0"/>
              <w:right w:val="single" w:color="000000" w:sz="8" w:space="0"/>
            </w:tcBorders>
            <w:shd w:val="clear"/>
            <w:vAlign w:val="center"/>
          </w:tcPr>
          <w:p w14:paraId="2E7B3A3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成本指标</w:t>
            </w:r>
          </w:p>
        </w:tc>
        <w:tc>
          <w:tcPr>
            <w:tcW w:w="2595" w:type="dxa"/>
            <w:tcBorders>
              <w:top w:val="nil"/>
              <w:left w:val="single" w:color="000000" w:sz="8" w:space="0"/>
              <w:bottom w:val="single" w:color="000000" w:sz="8" w:space="0"/>
              <w:right w:val="single" w:color="000000" w:sz="8" w:space="0"/>
            </w:tcBorders>
            <w:shd w:val="clear"/>
            <w:vAlign w:val="center"/>
          </w:tcPr>
          <w:p w14:paraId="320ED20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经济成本指标</w:t>
            </w:r>
          </w:p>
        </w:tc>
        <w:tc>
          <w:tcPr>
            <w:tcW w:w="2872" w:type="dxa"/>
            <w:tcBorders>
              <w:top w:val="nil"/>
              <w:left w:val="single" w:color="000000" w:sz="8" w:space="0"/>
              <w:bottom w:val="single" w:color="000000" w:sz="8" w:space="0"/>
              <w:right w:val="single" w:color="000000" w:sz="8" w:space="0"/>
            </w:tcBorders>
            <w:shd w:val="clear"/>
            <w:vAlign w:val="center"/>
          </w:tcPr>
          <w:p w14:paraId="51355B9C">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退役士兵补助标准</w:t>
            </w:r>
          </w:p>
        </w:tc>
        <w:tc>
          <w:tcPr>
            <w:tcW w:w="1702" w:type="dxa"/>
            <w:tcBorders>
              <w:top w:val="nil"/>
              <w:left w:val="nil"/>
              <w:bottom w:val="single" w:color="000000" w:sz="8" w:space="0"/>
              <w:right w:val="nil"/>
            </w:tcBorders>
            <w:shd w:val="clear"/>
            <w:vAlign w:val="center"/>
          </w:tcPr>
          <w:p w14:paraId="1FE3C91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4500</w:t>
            </w:r>
          </w:p>
        </w:tc>
      </w:tr>
      <w:tr w14:paraId="739DB0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1489" w:type="dxa"/>
            <w:vMerge w:val="continue"/>
            <w:tcBorders>
              <w:top w:val="nil"/>
              <w:left w:val="single" w:color="000000" w:sz="8" w:space="0"/>
              <w:bottom w:val="single" w:color="000000" w:sz="8" w:space="0"/>
              <w:right w:val="single" w:color="000000" w:sz="8" w:space="0"/>
            </w:tcBorders>
            <w:shd w:val="clear"/>
            <w:vAlign w:val="center"/>
          </w:tcPr>
          <w:p w14:paraId="5D9B8BFE">
            <w:pPr>
              <w:jc w:val="center"/>
              <w:rPr>
                <w:rFonts w:hint="eastAsia" w:ascii="微软雅黑" w:hAnsi="微软雅黑" w:eastAsia="微软雅黑" w:cs="微软雅黑"/>
                <w:i w:val="0"/>
                <w:iCs w:val="0"/>
                <w:color w:val="000000"/>
                <w:sz w:val="20"/>
                <w:szCs w:val="20"/>
                <w:u w:val="none"/>
              </w:rPr>
            </w:pPr>
          </w:p>
        </w:tc>
        <w:tc>
          <w:tcPr>
            <w:tcW w:w="2595" w:type="dxa"/>
            <w:tcBorders>
              <w:top w:val="nil"/>
              <w:left w:val="single" w:color="000000" w:sz="8" w:space="0"/>
              <w:bottom w:val="single" w:color="000000" w:sz="8" w:space="0"/>
              <w:right w:val="single" w:color="000000" w:sz="8" w:space="0"/>
            </w:tcBorders>
            <w:shd w:val="clear"/>
            <w:vAlign w:val="center"/>
          </w:tcPr>
          <w:p w14:paraId="1258046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社会成本指标</w:t>
            </w:r>
          </w:p>
        </w:tc>
        <w:tc>
          <w:tcPr>
            <w:tcW w:w="2872" w:type="dxa"/>
            <w:tcBorders>
              <w:top w:val="nil"/>
              <w:left w:val="single" w:color="000000" w:sz="8" w:space="0"/>
              <w:bottom w:val="single" w:color="000000" w:sz="8" w:space="0"/>
              <w:right w:val="single" w:color="000000" w:sz="8" w:space="0"/>
            </w:tcBorders>
            <w:shd w:val="clear"/>
            <w:vAlign w:val="center"/>
          </w:tcPr>
          <w:p w14:paraId="10D68823">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不适用</w:t>
            </w:r>
          </w:p>
        </w:tc>
        <w:tc>
          <w:tcPr>
            <w:tcW w:w="1702" w:type="dxa"/>
            <w:tcBorders>
              <w:top w:val="nil"/>
              <w:left w:val="nil"/>
              <w:bottom w:val="single" w:color="000000" w:sz="8" w:space="0"/>
              <w:right w:val="nil"/>
            </w:tcBorders>
            <w:shd w:val="clear"/>
            <w:vAlign w:val="center"/>
          </w:tcPr>
          <w:p w14:paraId="77068BF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无</w:t>
            </w:r>
          </w:p>
        </w:tc>
      </w:tr>
      <w:tr w14:paraId="35C4C3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1489" w:type="dxa"/>
            <w:vMerge w:val="continue"/>
            <w:tcBorders>
              <w:top w:val="nil"/>
              <w:left w:val="single" w:color="000000" w:sz="8" w:space="0"/>
              <w:bottom w:val="single" w:color="000000" w:sz="8" w:space="0"/>
              <w:right w:val="single" w:color="000000" w:sz="8" w:space="0"/>
            </w:tcBorders>
            <w:shd w:val="clear"/>
            <w:vAlign w:val="center"/>
          </w:tcPr>
          <w:p w14:paraId="2A8F1689">
            <w:pPr>
              <w:jc w:val="center"/>
              <w:rPr>
                <w:rFonts w:hint="eastAsia" w:ascii="微软雅黑" w:hAnsi="微软雅黑" w:eastAsia="微软雅黑" w:cs="微软雅黑"/>
                <w:i w:val="0"/>
                <w:iCs w:val="0"/>
                <w:color w:val="000000"/>
                <w:sz w:val="20"/>
                <w:szCs w:val="20"/>
                <w:u w:val="none"/>
              </w:rPr>
            </w:pPr>
          </w:p>
        </w:tc>
        <w:tc>
          <w:tcPr>
            <w:tcW w:w="2595" w:type="dxa"/>
            <w:tcBorders>
              <w:top w:val="nil"/>
              <w:left w:val="single" w:color="000000" w:sz="8" w:space="0"/>
              <w:bottom w:val="single" w:color="000000" w:sz="8" w:space="0"/>
              <w:right w:val="single" w:color="000000" w:sz="8" w:space="0"/>
            </w:tcBorders>
            <w:shd w:val="clear"/>
            <w:vAlign w:val="center"/>
          </w:tcPr>
          <w:p w14:paraId="071188D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生态环境成本指标</w:t>
            </w:r>
          </w:p>
        </w:tc>
        <w:tc>
          <w:tcPr>
            <w:tcW w:w="2872" w:type="dxa"/>
            <w:tcBorders>
              <w:top w:val="nil"/>
              <w:left w:val="single" w:color="000000" w:sz="8" w:space="0"/>
              <w:bottom w:val="single" w:color="000000" w:sz="8" w:space="0"/>
              <w:right w:val="single" w:color="000000" w:sz="8" w:space="0"/>
            </w:tcBorders>
            <w:shd w:val="clear"/>
            <w:vAlign w:val="center"/>
          </w:tcPr>
          <w:p w14:paraId="254CEB3A">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不适用</w:t>
            </w:r>
          </w:p>
        </w:tc>
        <w:tc>
          <w:tcPr>
            <w:tcW w:w="1702" w:type="dxa"/>
            <w:tcBorders>
              <w:top w:val="nil"/>
              <w:left w:val="nil"/>
              <w:bottom w:val="single" w:color="000000" w:sz="8" w:space="0"/>
              <w:right w:val="nil"/>
            </w:tcBorders>
            <w:shd w:val="clear"/>
            <w:vAlign w:val="center"/>
          </w:tcPr>
          <w:p w14:paraId="72BC76D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无</w:t>
            </w:r>
          </w:p>
        </w:tc>
      </w:tr>
    </w:tbl>
    <w:p w14:paraId="4BB4569C">
      <w:pPr>
        <w:spacing w:line="560" w:lineRule="exact"/>
        <w:ind w:firstLine="640" w:firstLineChars="200"/>
        <w:jc w:val="left"/>
        <w:rPr>
          <w:rFonts w:hint="eastAsia" w:ascii="仿宋_GB2312" w:hAnsi="仿宋_GB2312" w:eastAsia="仿宋_GB2312" w:cs="仿宋_GB2312"/>
          <w:sz w:val="32"/>
          <w:szCs w:val="32"/>
        </w:rPr>
      </w:pPr>
    </w:p>
    <w:p w14:paraId="3E3E1F1D">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（三）绩效评价工作过程。</w:t>
      </w:r>
    </w:p>
    <w:p w14:paraId="0395B5C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560"/>
        <w:jc w:val="both"/>
        <w:rPr>
          <w:rFonts w:hint="default" w:ascii="仿宋_GB2312" w:hAnsi="仿宋_GB2312" w:eastAsia="仿宋_GB2312" w:cs="仿宋_GB2312"/>
          <w:sz w:val="32"/>
          <w:szCs w:val="32"/>
          <w:lang w:val="en-US" w:eastAsia="zh-CN" w:bidi="ar-SA"/>
        </w:rPr>
      </w:pPr>
      <w:r>
        <w:rPr>
          <w:rFonts w:hint="default" w:ascii="仿宋_GB2312" w:hAnsi="仿宋_GB2312" w:eastAsia="仿宋_GB2312" w:cs="仿宋_GB2312"/>
          <w:sz w:val="32"/>
          <w:szCs w:val="32"/>
          <w:lang w:val="en-US" w:eastAsia="zh-CN" w:bidi="ar-SA"/>
        </w:rPr>
        <w:t>1</w:t>
      </w:r>
      <w:r>
        <w:rPr>
          <w:rFonts w:hint="eastAsia" w:ascii="仿宋_GB2312" w:hAnsi="仿宋_GB2312" w:eastAsia="仿宋_GB2312" w:cs="仿宋_GB2312"/>
          <w:sz w:val="32"/>
          <w:szCs w:val="32"/>
          <w:lang w:val="en-US" w:eastAsia="zh-CN" w:bidi="ar-SA"/>
        </w:rPr>
        <w:t>、前期准备。单位自评，袁州区退役军人事务局抽调移交安置和就业创业股、局办公室财务口人员组成绩效评价小组，制定工作方案。</w:t>
      </w:r>
    </w:p>
    <w:p w14:paraId="4330B6C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560"/>
        <w:jc w:val="both"/>
        <w:rPr>
          <w:rFonts w:hint="default" w:ascii="仿宋_GB2312" w:hAnsi="仿宋_GB2312" w:eastAsia="仿宋_GB2312" w:cs="仿宋_GB2312"/>
          <w:sz w:val="32"/>
          <w:szCs w:val="32"/>
          <w:lang w:val="en-US" w:eastAsia="zh-CN" w:bidi="ar-SA"/>
        </w:rPr>
      </w:pPr>
      <w:r>
        <w:rPr>
          <w:rFonts w:hint="default" w:ascii="仿宋_GB2312" w:hAnsi="仿宋_GB2312" w:eastAsia="仿宋_GB2312" w:cs="仿宋_GB2312"/>
          <w:sz w:val="32"/>
          <w:szCs w:val="32"/>
          <w:lang w:val="en-US" w:eastAsia="zh-CN" w:bidi="ar-SA"/>
        </w:rPr>
        <w:t>2</w:t>
      </w:r>
      <w:r>
        <w:rPr>
          <w:rFonts w:hint="eastAsia" w:ascii="仿宋_GB2312" w:hAnsi="仿宋_GB2312" w:eastAsia="仿宋_GB2312" w:cs="仿宋_GB2312"/>
          <w:sz w:val="32"/>
          <w:szCs w:val="32"/>
          <w:lang w:val="en-US" w:eastAsia="zh-CN" w:bidi="ar-SA"/>
        </w:rPr>
        <w:t>、组织实施。整理项目相关信息，确立项目绩效目标，设计绩效评价指标体系，查阅财务会计资料，面对面回访或电话回访。</w:t>
      </w:r>
    </w:p>
    <w:p w14:paraId="0BF4C70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560"/>
        <w:jc w:val="both"/>
        <w:rPr>
          <w:rFonts w:hint="default" w:ascii="仿宋_GB2312" w:hAnsi="仿宋_GB2312" w:eastAsia="仿宋_GB2312" w:cs="仿宋_GB2312"/>
          <w:sz w:val="32"/>
          <w:szCs w:val="32"/>
          <w:lang w:val="en-US" w:eastAsia="zh-CN" w:bidi="ar-SA"/>
        </w:rPr>
      </w:pPr>
      <w:r>
        <w:rPr>
          <w:rFonts w:hint="default" w:ascii="仿宋_GB2312" w:hAnsi="仿宋_GB2312" w:eastAsia="仿宋_GB2312" w:cs="仿宋_GB2312"/>
          <w:sz w:val="32"/>
          <w:szCs w:val="32"/>
          <w:lang w:val="en-US" w:eastAsia="zh-CN" w:bidi="ar-SA"/>
        </w:rPr>
        <w:t>3</w:t>
      </w:r>
      <w:r>
        <w:rPr>
          <w:rFonts w:hint="eastAsia" w:ascii="仿宋_GB2312" w:hAnsi="仿宋_GB2312" w:eastAsia="仿宋_GB2312" w:cs="仿宋_GB2312"/>
          <w:sz w:val="32"/>
          <w:szCs w:val="32"/>
          <w:lang w:val="en-US" w:eastAsia="zh-CN" w:bidi="ar-SA"/>
        </w:rPr>
        <w:t>、分析评价。分析项目管理情况和资金效益分，根据结果进行综合评价并提出建议。</w:t>
      </w:r>
    </w:p>
    <w:p w14:paraId="3CCCA82D">
      <w:pPr>
        <w:spacing w:line="560" w:lineRule="exact"/>
        <w:ind w:firstLine="643" w:firstLineChars="200"/>
        <w:jc w:val="left"/>
        <w:rPr>
          <w:rFonts w:hint="eastAsia" w:ascii="仿宋_GB2312" w:hAnsi="仿宋_GB2312" w:eastAsia="仿宋_GB2312" w:cs="仿宋_GB2312"/>
          <w:bCs/>
          <w:sz w:val="32"/>
          <w:szCs w:val="32"/>
        </w:rPr>
      </w:pPr>
      <w:r>
        <w:rPr>
          <w:rFonts w:hint="eastAsia" w:ascii="宋体" w:hAnsi="宋体" w:eastAsia="宋体" w:cs="宋体"/>
          <w:b/>
          <w:bCs w:val="0"/>
          <w:sz w:val="32"/>
          <w:szCs w:val="32"/>
        </w:rPr>
        <w:t>三、综合评价情况及评价结论</w:t>
      </w:r>
      <w:r>
        <w:rPr>
          <w:rFonts w:hint="eastAsia" w:ascii="仿宋_GB2312" w:hAnsi="仿宋_GB2312" w:eastAsia="仿宋_GB2312" w:cs="仿宋_GB2312"/>
          <w:bCs/>
          <w:sz w:val="32"/>
          <w:szCs w:val="32"/>
        </w:rPr>
        <w:t>（附相关评分表）</w:t>
      </w:r>
    </w:p>
    <w:tbl>
      <w:tblPr>
        <w:tblW w:w="873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1050"/>
        <w:gridCol w:w="1830"/>
        <w:gridCol w:w="2025"/>
        <w:gridCol w:w="1200"/>
        <w:gridCol w:w="1200"/>
        <w:gridCol w:w="525"/>
        <w:gridCol w:w="900"/>
      </w:tblGrid>
      <w:tr w14:paraId="4E7085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1050" w:type="dxa"/>
            <w:vMerge w:val="restart"/>
            <w:tcBorders>
              <w:top w:val="nil"/>
              <w:left w:val="single" w:color="000000" w:sz="8" w:space="0"/>
              <w:bottom w:val="single" w:color="000000" w:sz="8" w:space="0"/>
              <w:right w:val="single" w:color="000000" w:sz="8" w:space="0"/>
            </w:tcBorders>
            <w:shd w:val="clear"/>
            <w:vAlign w:val="center"/>
          </w:tcPr>
          <w:p w14:paraId="1FDD08BB">
            <w:pPr>
              <w:keepNext w:val="0"/>
              <w:keepLines w:val="0"/>
              <w:widowControl/>
              <w:suppressLineNumbers w:val="0"/>
              <w:jc w:val="center"/>
              <w:textAlignment w:val="center"/>
              <w:rPr>
                <w:rFonts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bdr w:val="none" w:color="auto" w:sz="0" w:space="0"/>
                <w:lang w:val="en-US" w:eastAsia="zh-CN" w:bidi="ar"/>
              </w:rPr>
              <w:t>一级指标</w:t>
            </w:r>
          </w:p>
        </w:tc>
        <w:tc>
          <w:tcPr>
            <w:tcW w:w="1830" w:type="dxa"/>
            <w:vMerge w:val="restart"/>
            <w:tcBorders>
              <w:top w:val="nil"/>
              <w:left w:val="single" w:color="000000" w:sz="8" w:space="0"/>
              <w:bottom w:val="single" w:color="000000" w:sz="8" w:space="0"/>
              <w:right w:val="single" w:color="000000" w:sz="8" w:space="0"/>
            </w:tcBorders>
            <w:shd w:val="clear"/>
            <w:vAlign w:val="center"/>
          </w:tcPr>
          <w:p w14:paraId="0F8B4915">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bdr w:val="none" w:color="auto" w:sz="0" w:space="0"/>
                <w:lang w:val="en-US" w:eastAsia="zh-CN" w:bidi="ar"/>
              </w:rPr>
              <w:t>二级指标</w:t>
            </w:r>
          </w:p>
        </w:tc>
        <w:tc>
          <w:tcPr>
            <w:tcW w:w="2025" w:type="dxa"/>
            <w:vMerge w:val="restart"/>
            <w:tcBorders>
              <w:top w:val="nil"/>
              <w:left w:val="single" w:color="000000" w:sz="8" w:space="0"/>
              <w:bottom w:val="single" w:color="000000" w:sz="8" w:space="0"/>
              <w:right w:val="single" w:color="000000" w:sz="8" w:space="0"/>
            </w:tcBorders>
            <w:shd w:val="clear"/>
            <w:vAlign w:val="center"/>
          </w:tcPr>
          <w:p w14:paraId="16C0EA6C">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bdr w:val="none" w:color="auto" w:sz="0" w:space="0"/>
                <w:lang w:val="en-US" w:eastAsia="zh-CN" w:bidi="ar"/>
              </w:rPr>
              <w:t>三级指标</w:t>
            </w:r>
          </w:p>
        </w:tc>
        <w:tc>
          <w:tcPr>
            <w:tcW w:w="1200" w:type="dxa"/>
            <w:vMerge w:val="restart"/>
            <w:tcBorders>
              <w:top w:val="nil"/>
              <w:left w:val="nil"/>
              <w:bottom w:val="single" w:color="000000" w:sz="8" w:space="0"/>
              <w:right w:val="nil"/>
            </w:tcBorders>
            <w:shd w:val="clear"/>
            <w:vAlign w:val="center"/>
          </w:tcPr>
          <w:p w14:paraId="1D18A4EC">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bdr w:val="none" w:color="auto" w:sz="0" w:space="0"/>
                <w:lang w:val="en-US" w:eastAsia="zh-CN" w:bidi="ar"/>
              </w:rPr>
              <w:t>年度指标值</w:t>
            </w:r>
          </w:p>
        </w:tc>
        <w:tc>
          <w:tcPr>
            <w:tcW w:w="1200" w:type="dxa"/>
            <w:vMerge w:val="restart"/>
            <w:tcBorders>
              <w:top w:val="nil"/>
              <w:left w:val="single" w:color="000000" w:sz="8" w:space="0"/>
              <w:bottom w:val="single" w:color="000000" w:sz="8" w:space="0"/>
              <w:right w:val="nil"/>
            </w:tcBorders>
            <w:shd w:val="clear"/>
            <w:vAlign w:val="center"/>
          </w:tcPr>
          <w:p w14:paraId="00C9B1F8">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bdr w:val="none" w:color="auto" w:sz="0" w:space="0"/>
                <w:lang w:val="en-US" w:eastAsia="zh-CN" w:bidi="ar"/>
              </w:rPr>
              <w:t>实际完成值</w:t>
            </w:r>
          </w:p>
        </w:tc>
        <w:tc>
          <w:tcPr>
            <w:tcW w:w="525" w:type="dxa"/>
            <w:vMerge w:val="restart"/>
            <w:tcBorders>
              <w:top w:val="nil"/>
              <w:left w:val="single" w:color="000000" w:sz="8" w:space="0"/>
              <w:bottom w:val="single" w:color="000000" w:sz="8" w:space="0"/>
              <w:right w:val="single" w:color="000000" w:sz="8" w:space="0"/>
            </w:tcBorders>
            <w:shd w:val="clear"/>
            <w:vAlign w:val="center"/>
          </w:tcPr>
          <w:p w14:paraId="0A8B8B80">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bdr w:val="none" w:color="auto" w:sz="0" w:space="0"/>
                <w:lang w:val="en-US" w:eastAsia="zh-CN" w:bidi="ar"/>
              </w:rPr>
              <w:t>分值</w:t>
            </w:r>
          </w:p>
        </w:tc>
        <w:tc>
          <w:tcPr>
            <w:tcW w:w="900" w:type="dxa"/>
            <w:vMerge w:val="restart"/>
            <w:tcBorders>
              <w:top w:val="nil"/>
              <w:left w:val="single" w:color="000000" w:sz="8" w:space="0"/>
              <w:bottom w:val="single" w:color="000000" w:sz="8" w:space="0"/>
              <w:right w:val="single" w:color="000000" w:sz="8" w:space="0"/>
            </w:tcBorders>
            <w:shd w:val="clear"/>
            <w:vAlign w:val="center"/>
          </w:tcPr>
          <w:p w14:paraId="734600CF">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bdr w:val="none" w:color="auto" w:sz="0" w:space="0"/>
                <w:lang w:val="en-US" w:eastAsia="zh-CN" w:bidi="ar"/>
              </w:rPr>
              <w:t>得分</w:t>
            </w:r>
          </w:p>
        </w:tc>
      </w:tr>
      <w:tr w14:paraId="7D0CB1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50" w:type="dxa"/>
            <w:vMerge w:val="continue"/>
            <w:tcBorders>
              <w:top w:val="nil"/>
              <w:left w:val="single" w:color="000000" w:sz="8" w:space="0"/>
              <w:bottom w:val="single" w:color="000000" w:sz="8" w:space="0"/>
              <w:right w:val="single" w:color="000000" w:sz="8" w:space="0"/>
            </w:tcBorders>
            <w:shd w:val="clear"/>
            <w:vAlign w:val="center"/>
          </w:tcPr>
          <w:p w14:paraId="7A6F8032">
            <w:pPr>
              <w:jc w:val="center"/>
              <w:rPr>
                <w:rFonts w:hint="eastAsia" w:ascii="微软雅黑" w:hAnsi="微软雅黑" w:eastAsia="微软雅黑" w:cs="微软雅黑"/>
                <w:b/>
                <w:bCs/>
                <w:i w:val="0"/>
                <w:iCs w:val="0"/>
                <w:color w:val="000000"/>
                <w:sz w:val="22"/>
                <w:szCs w:val="22"/>
                <w:u w:val="none"/>
              </w:rPr>
            </w:pPr>
          </w:p>
        </w:tc>
        <w:tc>
          <w:tcPr>
            <w:tcW w:w="1830" w:type="dxa"/>
            <w:vMerge w:val="continue"/>
            <w:tcBorders>
              <w:top w:val="nil"/>
              <w:left w:val="single" w:color="000000" w:sz="8" w:space="0"/>
              <w:bottom w:val="single" w:color="000000" w:sz="8" w:space="0"/>
              <w:right w:val="single" w:color="000000" w:sz="8" w:space="0"/>
            </w:tcBorders>
            <w:shd w:val="clear"/>
            <w:vAlign w:val="center"/>
          </w:tcPr>
          <w:p w14:paraId="201C3526">
            <w:pPr>
              <w:jc w:val="center"/>
              <w:rPr>
                <w:rFonts w:hint="eastAsia" w:ascii="微软雅黑" w:hAnsi="微软雅黑" w:eastAsia="微软雅黑" w:cs="微软雅黑"/>
                <w:b/>
                <w:bCs/>
                <w:i w:val="0"/>
                <w:iCs w:val="0"/>
                <w:color w:val="000000"/>
                <w:sz w:val="22"/>
                <w:szCs w:val="22"/>
                <w:u w:val="none"/>
              </w:rPr>
            </w:pPr>
          </w:p>
        </w:tc>
        <w:tc>
          <w:tcPr>
            <w:tcW w:w="2025" w:type="dxa"/>
            <w:vMerge w:val="continue"/>
            <w:tcBorders>
              <w:top w:val="nil"/>
              <w:left w:val="single" w:color="000000" w:sz="8" w:space="0"/>
              <w:bottom w:val="single" w:color="000000" w:sz="8" w:space="0"/>
              <w:right w:val="single" w:color="000000" w:sz="8" w:space="0"/>
            </w:tcBorders>
            <w:shd w:val="clear"/>
            <w:vAlign w:val="center"/>
          </w:tcPr>
          <w:p w14:paraId="70E4E801">
            <w:pPr>
              <w:jc w:val="center"/>
              <w:rPr>
                <w:rFonts w:hint="eastAsia" w:ascii="微软雅黑" w:hAnsi="微软雅黑" w:eastAsia="微软雅黑" w:cs="微软雅黑"/>
                <w:b/>
                <w:bCs/>
                <w:i w:val="0"/>
                <w:iCs w:val="0"/>
                <w:color w:val="000000"/>
                <w:sz w:val="22"/>
                <w:szCs w:val="22"/>
                <w:u w:val="none"/>
              </w:rPr>
            </w:pPr>
          </w:p>
        </w:tc>
        <w:tc>
          <w:tcPr>
            <w:tcW w:w="1200" w:type="dxa"/>
            <w:vMerge w:val="continue"/>
            <w:tcBorders>
              <w:top w:val="nil"/>
              <w:left w:val="nil"/>
              <w:bottom w:val="single" w:color="000000" w:sz="8" w:space="0"/>
              <w:right w:val="nil"/>
            </w:tcBorders>
            <w:shd w:val="clear"/>
            <w:vAlign w:val="center"/>
          </w:tcPr>
          <w:p w14:paraId="148A7D6D">
            <w:pPr>
              <w:jc w:val="center"/>
              <w:rPr>
                <w:rFonts w:hint="eastAsia" w:ascii="微软雅黑" w:hAnsi="微软雅黑" w:eastAsia="微软雅黑" w:cs="微软雅黑"/>
                <w:b/>
                <w:bCs/>
                <w:i w:val="0"/>
                <w:iCs w:val="0"/>
                <w:color w:val="000000"/>
                <w:sz w:val="22"/>
                <w:szCs w:val="22"/>
                <w:u w:val="none"/>
              </w:rPr>
            </w:pPr>
          </w:p>
        </w:tc>
        <w:tc>
          <w:tcPr>
            <w:tcW w:w="1200" w:type="dxa"/>
            <w:vMerge w:val="continue"/>
            <w:tcBorders>
              <w:top w:val="nil"/>
              <w:left w:val="single" w:color="000000" w:sz="8" w:space="0"/>
              <w:bottom w:val="single" w:color="000000" w:sz="8" w:space="0"/>
              <w:right w:val="nil"/>
            </w:tcBorders>
            <w:shd w:val="clear"/>
            <w:vAlign w:val="center"/>
          </w:tcPr>
          <w:p w14:paraId="65F991C4">
            <w:pPr>
              <w:jc w:val="center"/>
              <w:rPr>
                <w:rFonts w:hint="eastAsia" w:ascii="微软雅黑" w:hAnsi="微软雅黑" w:eastAsia="微软雅黑" w:cs="微软雅黑"/>
                <w:b/>
                <w:bCs/>
                <w:i w:val="0"/>
                <w:iCs w:val="0"/>
                <w:color w:val="000000"/>
                <w:sz w:val="22"/>
                <w:szCs w:val="22"/>
                <w:u w:val="none"/>
              </w:rPr>
            </w:pPr>
          </w:p>
        </w:tc>
        <w:tc>
          <w:tcPr>
            <w:tcW w:w="525" w:type="dxa"/>
            <w:vMerge w:val="continue"/>
            <w:tcBorders>
              <w:top w:val="nil"/>
              <w:left w:val="single" w:color="000000" w:sz="8" w:space="0"/>
              <w:bottom w:val="single" w:color="000000" w:sz="8" w:space="0"/>
              <w:right w:val="single" w:color="000000" w:sz="8" w:space="0"/>
            </w:tcBorders>
            <w:shd w:val="clear"/>
            <w:vAlign w:val="center"/>
          </w:tcPr>
          <w:p w14:paraId="295EAEEA">
            <w:pPr>
              <w:jc w:val="center"/>
              <w:rPr>
                <w:rFonts w:hint="eastAsia" w:ascii="微软雅黑" w:hAnsi="微软雅黑" w:eastAsia="微软雅黑" w:cs="微软雅黑"/>
                <w:b/>
                <w:bCs/>
                <w:i w:val="0"/>
                <w:iCs w:val="0"/>
                <w:color w:val="000000"/>
                <w:sz w:val="22"/>
                <w:szCs w:val="22"/>
                <w:u w:val="none"/>
              </w:rPr>
            </w:pPr>
          </w:p>
        </w:tc>
        <w:tc>
          <w:tcPr>
            <w:tcW w:w="900" w:type="dxa"/>
            <w:vMerge w:val="continue"/>
            <w:tcBorders>
              <w:top w:val="nil"/>
              <w:left w:val="single" w:color="000000" w:sz="8" w:space="0"/>
              <w:bottom w:val="single" w:color="000000" w:sz="8" w:space="0"/>
              <w:right w:val="single" w:color="000000" w:sz="8" w:space="0"/>
            </w:tcBorders>
            <w:shd w:val="clear"/>
            <w:vAlign w:val="center"/>
          </w:tcPr>
          <w:p w14:paraId="7A3E25F1">
            <w:pPr>
              <w:jc w:val="center"/>
              <w:rPr>
                <w:rFonts w:hint="eastAsia" w:ascii="微软雅黑" w:hAnsi="微软雅黑" w:eastAsia="微软雅黑" w:cs="微软雅黑"/>
                <w:b/>
                <w:bCs/>
                <w:i w:val="0"/>
                <w:iCs w:val="0"/>
                <w:color w:val="000000"/>
                <w:sz w:val="22"/>
                <w:szCs w:val="22"/>
                <w:u w:val="none"/>
              </w:rPr>
            </w:pPr>
          </w:p>
        </w:tc>
      </w:tr>
      <w:tr w14:paraId="77953B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1050" w:type="dxa"/>
            <w:vMerge w:val="continue"/>
            <w:tcBorders>
              <w:top w:val="nil"/>
              <w:left w:val="single" w:color="000000" w:sz="8" w:space="0"/>
              <w:bottom w:val="single" w:color="000000" w:sz="8" w:space="0"/>
              <w:right w:val="single" w:color="000000" w:sz="8" w:space="0"/>
            </w:tcBorders>
            <w:shd w:val="clear"/>
            <w:vAlign w:val="center"/>
          </w:tcPr>
          <w:p w14:paraId="314A8DA3">
            <w:pPr>
              <w:jc w:val="center"/>
              <w:rPr>
                <w:rFonts w:hint="eastAsia" w:ascii="微软雅黑" w:hAnsi="微软雅黑" w:eastAsia="微软雅黑" w:cs="微软雅黑"/>
                <w:b/>
                <w:bCs/>
                <w:i w:val="0"/>
                <w:iCs w:val="0"/>
                <w:color w:val="000000"/>
                <w:sz w:val="22"/>
                <w:szCs w:val="22"/>
                <w:u w:val="none"/>
              </w:rPr>
            </w:pPr>
          </w:p>
        </w:tc>
        <w:tc>
          <w:tcPr>
            <w:tcW w:w="1830" w:type="dxa"/>
            <w:vMerge w:val="continue"/>
            <w:tcBorders>
              <w:top w:val="nil"/>
              <w:left w:val="single" w:color="000000" w:sz="8" w:space="0"/>
              <w:bottom w:val="single" w:color="000000" w:sz="8" w:space="0"/>
              <w:right w:val="single" w:color="000000" w:sz="8" w:space="0"/>
            </w:tcBorders>
            <w:shd w:val="clear"/>
            <w:vAlign w:val="center"/>
          </w:tcPr>
          <w:p w14:paraId="6C6A4243">
            <w:pPr>
              <w:jc w:val="center"/>
              <w:rPr>
                <w:rFonts w:hint="eastAsia" w:ascii="微软雅黑" w:hAnsi="微软雅黑" w:eastAsia="微软雅黑" w:cs="微软雅黑"/>
                <w:b/>
                <w:bCs/>
                <w:i w:val="0"/>
                <w:iCs w:val="0"/>
                <w:color w:val="000000"/>
                <w:sz w:val="22"/>
                <w:szCs w:val="22"/>
                <w:u w:val="none"/>
              </w:rPr>
            </w:pPr>
          </w:p>
        </w:tc>
        <w:tc>
          <w:tcPr>
            <w:tcW w:w="2025" w:type="dxa"/>
            <w:vMerge w:val="continue"/>
            <w:tcBorders>
              <w:top w:val="nil"/>
              <w:left w:val="single" w:color="000000" w:sz="8" w:space="0"/>
              <w:bottom w:val="single" w:color="000000" w:sz="8" w:space="0"/>
              <w:right w:val="single" w:color="000000" w:sz="8" w:space="0"/>
            </w:tcBorders>
            <w:shd w:val="clear"/>
            <w:vAlign w:val="center"/>
          </w:tcPr>
          <w:p w14:paraId="57D04EA4">
            <w:pPr>
              <w:jc w:val="center"/>
              <w:rPr>
                <w:rFonts w:hint="eastAsia" w:ascii="微软雅黑" w:hAnsi="微软雅黑" w:eastAsia="微软雅黑" w:cs="微软雅黑"/>
                <w:b/>
                <w:bCs/>
                <w:i w:val="0"/>
                <w:iCs w:val="0"/>
                <w:color w:val="000000"/>
                <w:sz w:val="22"/>
                <w:szCs w:val="22"/>
                <w:u w:val="none"/>
              </w:rPr>
            </w:pPr>
          </w:p>
        </w:tc>
        <w:tc>
          <w:tcPr>
            <w:tcW w:w="1200" w:type="dxa"/>
            <w:vMerge w:val="continue"/>
            <w:tcBorders>
              <w:top w:val="nil"/>
              <w:left w:val="nil"/>
              <w:bottom w:val="single" w:color="000000" w:sz="8" w:space="0"/>
              <w:right w:val="nil"/>
            </w:tcBorders>
            <w:shd w:val="clear"/>
            <w:vAlign w:val="center"/>
          </w:tcPr>
          <w:p w14:paraId="00C4CCA5">
            <w:pPr>
              <w:jc w:val="center"/>
              <w:rPr>
                <w:rFonts w:hint="eastAsia" w:ascii="微软雅黑" w:hAnsi="微软雅黑" w:eastAsia="微软雅黑" w:cs="微软雅黑"/>
                <w:b/>
                <w:bCs/>
                <w:i w:val="0"/>
                <w:iCs w:val="0"/>
                <w:color w:val="000000"/>
                <w:sz w:val="22"/>
                <w:szCs w:val="22"/>
                <w:u w:val="none"/>
              </w:rPr>
            </w:pPr>
          </w:p>
        </w:tc>
        <w:tc>
          <w:tcPr>
            <w:tcW w:w="1200" w:type="dxa"/>
            <w:vMerge w:val="continue"/>
            <w:tcBorders>
              <w:top w:val="nil"/>
              <w:left w:val="single" w:color="000000" w:sz="8" w:space="0"/>
              <w:bottom w:val="single" w:color="000000" w:sz="8" w:space="0"/>
              <w:right w:val="nil"/>
            </w:tcBorders>
            <w:shd w:val="clear"/>
            <w:vAlign w:val="center"/>
          </w:tcPr>
          <w:p w14:paraId="138B48A7">
            <w:pPr>
              <w:jc w:val="center"/>
              <w:rPr>
                <w:rFonts w:hint="eastAsia" w:ascii="微软雅黑" w:hAnsi="微软雅黑" w:eastAsia="微软雅黑" w:cs="微软雅黑"/>
                <w:b/>
                <w:bCs/>
                <w:i w:val="0"/>
                <w:iCs w:val="0"/>
                <w:color w:val="000000"/>
                <w:sz w:val="22"/>
                <w:szCs w:val="22"/>
                <w:u w:val="none"/>
              </w:rPr>
            </w:pPr>
          </w:p>
        </w:tc>
        <w:tc>
          <w:tcPr>
            <w:tcW w:w="525" w:type="dxa"/>
            <w:vMerge w:val="continue"/>
            <w:tcBorders>
              <w:top w:val="nil"/>
              <w:left w:val="single" w:color="000000" w:sz="8" w:space="0"/>
              <w:bottom w:val="single" w:color="000000" w:sz="8" w:space="0"/>
              <w:right w:val="single" w:color="000000" w:sz="8" w:space="0"/>
            </w:tcBorders>
            <w:shd w:val="clear"/>
            <w:vAlign w:val="center"/>
          </w:tcPr>
          <w:p w14:paraId="76DBFD91">
            <w:pPr>
              <w:jc w:val="center"/>
              <w:rPr>
                <w:rFonts w:hint="eastAsia" w:ascii="微软雅黑" w:hAnsi="微软雅黑" w:eastAsia="微软雅黑" w:cs="微软雅黑"/>
                <w:b/>
                <w:bCs/>
                <w:i w:val="0"/>
                <w:iCs w:val="0"/>
                <w:color w:val="000000"/>
                <w:sz w:val="22"/>
                <w:szCs w:val="22"/>
                <w:u w:val="none"/>
              </w:rPr>
            </w:pPr>
          </w:p>
        </w:tc>
        <w:tc>
          <w:tcPr>
            <w:tcW w:w="900" w:type="dxa"/>
            <w:vMerge w:val="continue"/>
            <w:tcBorders>
              <w:top w:val="nil"/>
              <w:left w:val="single" w:color="000000" w:sz="8" w:space="0"/>
              <w:bottom w:val="single" w:color="000000" w:sz="8" w:space="0"/>
              <w:right w:val="single" w:color="000000" w:sz="8" w:space="0"/>
            </w:tcBorders>
            <w:shd w:val="clear"/>
            <w:vAlign w:val="center"/>
          </w:tcPr>
          <w:p w14:paraId="6F2BFB06">
            <w:pPr>
              <w:jc w:val="center"/>
              <w:rPr>
                <w:rFonts w:hint="eastAsia" w:ascii="微软雅黑" w:hAnsi="微软雅黑" w:eastAsia="微软雅黑" w:cs="微软雅黑"/>
                <w:b/>
                <w:bCs/>
                <w:i w:val="0"/>
                <w:iCs w:val="0"/>
                <w:color w:val="000000"/>
                <w:sz w:val="22"/>
                <w:szCs w:val="22"/>
                <w:u w:val="none"/>
              </w:rPr>
            </w:pPr>
          </w:p>
        </w:tc>
      </w:tr>
      <w:tr w14:paraId="7EAFDA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45" w:hRule="atLeast"/>
        </w:trPr>
        <w:tc>
          <w:tcPr>
            <w:tcW w:w="1050" w:type="dxa"/>
            <w:vMerge w:val="restart"/>
            <w:tcBorders>
              <w:top w:val="nil"/>
              <w:left w:val="single" w:color="000000" w:sz="8" w:space="0"/>
              <w:bottom w:val="single" w:color="000000" w:sz="8" w:space="0"/>
              <w:right w:val="single" w:color="000000" w:sz="8" w:space="0"/>
            </w:tcBorders>
            <w:shd w:val="clear"/>
            <w:vAlign w:val="center"/>
          </w:tcPr>
          <w:p w14:paraId="3A97C75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产出指标</w:t>
            </w:r>
          </w:p>
        </w:tc>
        <w:tc>
          <w:tcPr>
            <w:tcW w:w="1830" w:type="dxa"/>
            <w:tcBorders>
              <w:top w:val="nil"/>
              <w:left w:val="single" w:color="000000" w:sz="8" w:space="0"/>
              <w:bottom w:val="single" w:color="000000" w:sz="8" w:space="0"/>
              <w:right w:val="single" w:color="000000" w:sz="8" w:space="0"/>
            </w:tcBorders>
            <w:shd w:val="clear"/>
            <w:vAlign w:val="center"/>
          </w:tcPr>
          <w:p w14:paraId="5D0B333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数量指标</w:t>
            </w:r>
          </w:p>
        </w:tc>
        <w:tc>
          <w:tcPr>
            <w:tcW w:w="2025" w:type="dxa"/>
            <w:tcBorders>
              <w:top w:val="nil"/>
              <w:left w:val="single" w:color="000000" w:sz="8" w:space="0"/>
              <w:bottom w:val="single" w:color="000000" w:sz="8" w:space="0"/>
              <w:right w:val="single" w:color="000000" w:sz="8" w:space="0"/>
            </w:tcBorders>
            <w:shd w:val="clear"/>
            <w:vAlign w:val="center"/>
          </w:tcPr>
          <w:p w14:paraId="54BF1C93">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退役士兵安置补助人数</w:t>
            </w:r>
          </w:p>
        </w:tc>
        <w:tc>
          <w:tcPr>
            <w:tcW w:w="1200" w:type="dxa"/>
            <w:tcBorders>
              <w:top w:val="nil"/>
              <w:left w:val="nil"/>
              <w:bottom w:val="single" w:color="000000" w:sz="8" w:space="0"/>
              <w:right w:val="nil"/>
            </w:tcBorders>
            <w:shd w:val="clear"/>
            <w:vAlign w:val="center"/>
          </w:tcPr>
          <w:p w14:paraId="4B1870A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3人</w:t>
            </w:r>
          </w:p>
        </w:tc>
        <w:tc>
          <w:tcPr>
            <w:tcW w:w="1200" w:type="dxa"/>
            <w:tcBorders>
              <w:top w:val="nil"/>
              <w:left w:val="single" w:color="000000" w:sz="8" w:space="0"/>
              <w:bottom w:val="single" w:color="000000" w:sz="8" w:space="0"/>
              <w:right w:val="nil"/>
            </w:tcBorders>
            <w:shd w:val="clear"/>
            <w:vAlign w:val="center"/>
          </w:tcPr>
          <w:p w14:paraId="1E715EF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4人</w:t>
            </w:r>
          </w:p>
        </w:tc>
        <w:tc>
          <w:tcPr>
            <w:tcW w:w="525" w:type="dxa"/>
            <w:tcBorders>
              <w:top w:val="nil"/>
              <w:left w:val="single" w:color="000000" w:sz="8" w:space="0"/>
              <w:bottom w:val="single" w:color="000000" w:sz="8" w:space="0"/>
              <w:right w:val="single" w:color="000000" w:sz="8" w:space="0"/>
            </w:tcBorders>
            <w:shd w:val="clear"/>
            <w:vAlign w:val="center"/>
          </w:tcPr>
          <w:p w14:paraId="7A2451D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20</w:t>
            </w:r>
          </w:p>
        </w:tc>
        <w:tc>
          <w:tcPr>
            <w:tcW w:w="900" w:type="dxa"/>
            <w:tcBorders>
              <w:top w:val="nil"/>
              <w:left w:val="single" w:color="000000" w:sz="8" w:space="0"/>
              <w:bottom w:val="single" w:color="000000" w:sz="8" w:space="0"/>
              <w:right w:val="single" w:color="000000" w:sz="8" w:space="0"/>
            </w:tcBorders>
            <w:shd w:val="clear"/>
            <w:vAlign w:val="center"/>
          </w:tcPr>
          <w:p w14:paraId="1551E7F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20.00</w:t>
            </w:r>
          </w:p>
        </w:tc>
      </w:tr>
      <w:tr w14:paraId="422E3F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050" w:type="dxa"/>
            <w:vMerge w:val="continue"/>
            <w:tcBorders>
              <w:top w:val="nil"/>
              <w:left w:val="single" w:color="000000" w:sz="8" w:space="0"/>
              <w:bottom w:val="single" w:color="000000" w:sz="8" w:space="0"/>
              <w:right w:val="single" w:color="000000" w:sz="8" w:space="0"/>
            </w:tcBorders>
            <w:shd w:val="clear"/>
            <w:vAlign w:val="center"/>
          </w:tcPr>
          <w:p w14:paraId="7239772D">
            <w:pPr>
              <w:jc w:val="center"/>
              <w:rPr>
                <w:rFonts w:hint="eastAsia" w:ascii="微软雅黑" w:hAnsi="微软雅黑" w:eastAsia="微软雅黑" w:cs="微软雅黑"/>
                <w:i w:val="0"/>
                <w:iCs w:val="0"/>
                <w:color w:val="000000"/>
                <w:sz w:val="20"/>
                <w:szCs w:val="20"/>
                <w:u w:val="none"/>
              </w:rPr>
            </w:pPr>
          </w:p>
        </w:tc>
        <w:tc>
          <w:tcPr>
            <w:tcW w:w="1830" w:type="dxa"/>
            <w:tcBorders>
              <w:top w:val="nil"/>
              <w:left w:val="single" w:color="000000" w:sz="8" w:space="0"/>
              <w:bottom w:val="single" w:color="000000" w:sz="8" w:space="0"/>
              <w:right w:val="single" w:color="000000" w:sz="8" w:space="0"/>
            </w:tcBorders>
            <w:shd w:val="clear"/>
            <w:vAlign w:val="center"/>
          </w:tcPr>
          <w:p w14:paraId="5AC4AFE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质量指标</w:t>
            </w:r>
          </w:p>
        </w:tc>
        <w:tc>
          <w:tcPr>
            <w:tcW w:w="2025" w:type="dxa"/>
            <w:tcBorders>
              <w:top w:val="nil"/>
              <w:left w:val="single" w:color="000000" w:sz="8" w:space="0"/>
              <w:bottom w:val="single" w:color="000000" w:sz="8" w:space="0"/>
              <w:right w:val="single" w:color="000000" w:sz="8" w:space="0"/>
            </w:tcBorders>
            <w:shd w:val="clear"/>
            <w:vAlign w:val="center"/>
          </w:tcPr>
          <w:p w14:paraId="48F12FA3">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补助资金发放准确率</w:t>
            </w:r>
          </w:p>
        </w:tc>
        <w:tc>
          <w:tcPr>
            <w:tcW w:w="1200" w:type="dxa"/>
            <w:tcBorders>
              <w:top w:val="nil"/>
              <w:left w:val="nil"/>
              <w:bottom w:val="single" w:color="000000" w:sz="8" w:space="0"/>
              <w:right w:val="nil"/>
            </w:tcBorders>
            <w:shd w:val="clear"/>
            <w:vAlign w:val="center"/>
          </w:tcPr>
          <w:p w14:paraId="07AA951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100%</w:t>
            </w:r>
          </w:p>
        </w:tc>
        <w:tc>
          <w:tcPr>
            <w:tcW w:w="1200" w:type="dxa"/>
            <w:tcBorders>
              <w:top w:val="nil"/>
              <w:left w:val="single" w:color="000000" w:sz="8" w:space="0"/>
              <w:bottom w:val="single" w:color="000000" w:sz="8" w:space="0"/>
              <w:right w:val="nil"/>
            </w:tcBorders>
            <w:shd w:val="clear"/>
            <w:vAlign w:val="center"/>
          </w:tcPr>
          <w:p w14:paraId="438560B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100%</w:t>
            </w:r>
          </w:p>
        </w:tc>
        <w:tc>
          <w:tcPr>
            <w:tcW w:w="525" w:type="dxa"/>
            <w:tcBorders>
              <w:top w:val="nil"/>
              <w:left w:val="single" w:color="000000" w:sz="8" w:space="0"/>
              <w:bottom w:val="single" w:color="000000" w:sz="8" w:space="0"/>
              <w:right w:val="single" w:color="000000" w:sz="8" w:space="0"/>
            </w:tcBorders>
            <w:shd w:val="clear"/>
            <w:vAlign w:val="center"/>
          </w:tcPr>
          <w:p w14:paraId="4AC4EEE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w:t>
            </w:r>
          </w:p>
        </w:tc>
        <w:tc>
          <w:tcPr>
            <w:tcW w:w="900" w:type="dxa"/>
            <w:tcBorders>
              <w:top w:val="nil"/>
              <w:left w:val="single" w:color="000000" w:sz="8" w:space="0"/>
              <w:bottom w:val="single" w:color="000000" w:sz="8" w:space="0"/>
              <w:right w:val="single" w:color="000000" w:sz="8" w:space="0"/>
            </w:tcBorders>
            <w:shd w:val="clear"/>
            <w:vAlign w:val="center"/>
          </w:tcPr>
          <w:p w14:paraId="66E4464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10.00</w:t>
            </w:r>
          </w:p>
        </w:tc>
      </w:tr>
      <w:tr w14:paraId="7EAF34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050" w:type="dxa"/>
            <w:vMerge w:val="continue"/>
            <w:tcBorders>
              <w:top w:val="nil"/>
              <w:left w:val="single" w:color="000000" w:sz="8" w:space="0"/>
              <w:bottom w:val="single" w:color="000000" w:sz="8" w:space="0"/>
              <w:right w:val="single" w:color="000000" w:sz="8" w:space="0"/>
            </w:tcBorders>
            <w:shd w:val="clear"/>
            <w:vAlign w:val="center"/>
          </w:tcPr>
          <w:p w14:paraId="6E5FC9EB">
            <w:pPr>
              <w:jc w:val="center"/>
              <w:rPr>
                <w:rFonts w:hint="eastAsia" w:ascii="微软雅黑" w:hAnsi="微软雅黑" w:eastAsia="微软雅黑" w:cs="微软雅黑"/>
                <w:i w:val="0"/>
                <w:iCs w:val="0"/>
                <w:color w:val="000000"/>
                <w:sz w:val="20"/>
                <w:szCs w:val="20"/>
                <w:u w:val="none"/>
              </w:rPr>
            </w:pPr>
          </w:p>
        </w:tc>
        <w:tc>
          <w:tcPr>
            <w:tcW w:w="1830" w:type="dxa"/>
            <w:tcBorders>
              <w:top w:val="nil"/>
              <w:left w:val="single" w:color="000000" w:sz="8" w:space="0"/>
              <w:bottom w:val="single" w:color="000000" w:sz="8" w:space="0"/>
              <w:right w:val="single" w:color="000000" w:sz="8" w:space="0"/>
            </w:tcBorders>
            <w:shd w:val="clear"/>
            <w:vAlign w:val="center"/>
          </w:tcPr>
          <w:p w14:paraId="0D1ACCD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时效指标</w:t>
            </w:r>
          </w:p>
        </w:tc>
        <w:tc>
          <w:tcPr>
            <w:tcW w:w="2025" w:type="dxa"/>
            <w:tcBorders>
              <w:top w:val="nil"/>
              <w:left w:val="single" w:color="000000" w:sz="8" w:space="0"/>
              <w:bottom w:val="single" w:color="000000" w:sz="8" w:space="0"/>
              <w:right w:val="single" w:color="000000" w:sz="8" w:space="0"/>
            </w:tcBorders>
            <w:shd w:val="clear"/>
            <w:vAlign w:val="center"/>
          </w:tcPr>
          <w:p w14:paraId="28E31BD3">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补助资金发放及时率</w:t>
            </w:r>
          </w:p>
        </w:tc>
        <w:tc>
          <w:tcPr>
            <w:tcW w:w="1200" w:type="dxa"/>
            <w:tcBorders>
              <w:top w:val="nil"/>
              <w:left w:val="nil"/>
              <w:bottom w:val="single" w:color="000000" w:sz="8" w:space="0"/>
              <w:right w:val="nil"/>
            </w:tcBorders>
            <w:shd w:val="clear"/>
            <w:vAlign w:val="center"/>
          </w:tcPr>
          <w:p w14:paraId="58B3508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100%</w:t>
            </w:r>
          </w:p>
        </w:tc>
        <w:tc>
          <w:tcPr>
            <w:tcW w:w="1200" w:type="dxa"/>
            <w:tcBorders>
              <w:top w:val="nil"/>
              <w:left w:val="single" w:color="000000" w:sz="8" w:space="0"/>
              <w:bottom w:val="single" w:color="000000" w:sz="8" w:space="0"/>
              <w:right w:val="nil"/>
            </w:tcBorders>
            <w:shd w:val="clear"/>
            <w:vAlign w:val="center"/>
          </w:tcPr>
          <w:p w14:paraId="18F37B9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100%</w:t>
            </w:r>
          </w:p>
        </w:tc>
        <w:tc>
          <w:tcPr>
            <w:tcW w:w="525" w:type="dxa"/>
            <w:tcBorders>
              <w:top w:val="nil"/>
              <w:left w:val="single" w:color="000000" w:sz="8" w:space="0"/>
              <w:bottom w:val="single" w:color="000000" w:sz="8" w:space="0"/>
              <w:right w:val="single" w:color="000000" w:sz="8" w:space="0"/>
            </w:tcBorders>
            <w:shd w:val="clear"/>
            <w:vAlign w:val="center"/>
          </w:tcPr>
          <w:p w14:paraId="03DD58E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w:t>
            </w:r>
          </w:p>
        </w:tc>
        <w:tc>
          <w:tcPr>
            <w:tcW w:w="900" w:type="dxa"/>
            <w:tcBorders>
              <w:top w:val="nil"/>
              <w:left w:val="single" w:color="000000" w:sz="8" w:space="0"/>
              <w:bottom w:val="single" w:color="000000" w:sz="8" w:space="0"/>
              <w:right w:val="single" w:color="000000" w:sz="8" w:space="0"/>
            </w:tcBorders>
            <w:shd w:val="clear"/>
            <w:vAlign w:val="center"/>
          </w:tcPr>
          <w:p w14:paraId="2FE6055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10.00</w:t>
            </w:r>
          </w:p>
        </w:tc>
      </w:tr>
      <w:tr w14:paraId="34C86B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050" w:type="dxa"/>
            <w:vMerge w:val="restart"/>
            <w:tcBorders>
              <w:top w:val="nil"/>
              <w:left w:val="single" w:color="000000" w:sz="8" w:space="0"/>
              <w:bottom w:val="single" w:color="000000" w:sz="8" w:space="0"/>
              <w:right w:val="single" w:color="000000" w:sz="8" w:space="0"/>
            </w:tcBorders>
            <w:shd w:val="clear"/>
            <w:vAlign w:val="center"/>
          </w:tcPr>
          <w:p w14:paraId="2D938B4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效益指标</w:t>
            </w:r>
          </w:p>
        </w:tc>
        <w:tc>
          <w:tcPr>
            <w:tcW w:w="1830" w:type="dxa"/>
            <w:tcBorders>
              <w:top w:val="nil"/>
              <w:left w:val="single" w:color="000000" w:sz="8" w:space="0"/>
              <w:bottom w:val="single" w:color="000000" w:sz="8" w:space="0"/>
              <w:right w:val="single" w:color="000000" w:sz="8" w:space="0"/>
            </w:tcBorders>
            <w:shd w:val="clear"/>
            <w:vAlign w:val="center"/>
          </w:tcPr>
          <w:p w14:paraId="57BF862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经济效益指标</w:t>
            </w:r>
          </w:p>
        </w:tc>
        <w:tc>
          <w:tcPr>
            <w:tcW w:w="2025" w:type="dxa"/>
            <w:tcBorders>
              <w:top w:val="nil"/>
              <w:left w:val="single" w:color="000000" w:sz="8" w:space="0"/>
              <w:bottom w:val="single" w:color="000000" w:sz="8" w:space="0"/>
              <w:right w:val="single" w:color="000000" w:sz="8" w:space="0"/>
            </w:tcBorders>
            <w:shd w:val="clear"/>
            <w:vAlign w:val="center"/>
          </w:tcPr>
          <w:p w14:paraId="64A501FB">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不适用</w:t>
            </w:r>
          </w:p>
        </w:tc>
        <w:tc>
          <w:tcPr>
            <w:tcW w:w="1200" w:type="dxa"/>
            <w:tcBorders>
              <w:top w:val="nil"/>
              <w:left w:val="nil"/>
              <w:bottom w:val="single" w:color="000000" w:sz="8" w:space="0"/>
              <w:right w:val="nil"/>
            </w:tcBorders>
            <w:shd w:val="clear"/>
            <w:vAlign w:val="center"/>
          </w:tcPr>
          <w:p w14:paraId="47883AC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无</w:t>
            </w:r>
          </w:p>
        </w:tc>
        <w:tc>
          <w:tcPr>
            <w:tcW w:w="1200" w:type="dxa"/>
            <w:tcBorders>
              <w:top w:val="nil"/>
              <w:left w:val="single" w:color="000000" w:sz="8" w:space="0"/>
              <w:bottom w:val="single" w:color="000000" w:sz="8" w:space="0"/>
              <w:right w:val="nil"/>
            </w:tcBorders>
            <w:shd w:val="clear"/>
            <w:vAlign w:val="center"/>
          </w:tcPr>
          <w:p w14:paraId="58F2FC6B">
            <w:pPr>
              <w:jc w:val="center"/>
              <w:rPr>
                <w:rFonts w:hint="eastAsia" w:ascii="微软雅黑" w:hAnsi="微软雅黑" w:eastAsia="微软雅黑" w:cs="微软雅黑"/>
                <w:i w:val="0"/>
                <w:iCs w:val="0"/>
                <w:color w:val="000000"/>
                <w:sz w:val="20"/>
                <w:szCs w:val="20"/>
                <w:u w:val="none"/>
              </w:rPr>
            </w:pPr>
          </w:p>
        </w:tc>
        <w:tc>
          <w:tcPr>
            <w:tcW w:w="525" w:type="dxa"/>
            <w:tcBorders>
              <w:top w:val="nil"/>
              <w:left w:val="single" w:color="000000" w:sz="8" w:space="0"/>
              <w:bottom w:val="single" w:color="000000" w:sz="8" w:space="0"/>
              <w:right w:val="single" w:color="000000" w:sz="8" w:space="0"/>
            </w:tcBorders>
            <w:shd w:val="clear"/>
            <w:vAlign w:val="center"/>
          </w:tcPr>
          <w:p w14:paraId="1615CEE9">
            <w:pPr>
              <w:jc w:val="center"/>
              <w:rPr>
                <w:rFonts w:hint="eastAsia" w:ascii="微软雅黑" w:hAnsi="微软雅黑" w:eastAsia="微软雅黑" w:cs="微软雅黑"/>
                <w:i w:val="0"/>
                <w:iCs w:val="0"/>
                <w:color w:val="000000"/>
                <w:sz w:val="20"/>
                <w:szCs w:val="20"/>
                <w:u w:val="none"/>
              </w:rPr>
            </w:pPr>
          </w:p>
        </w:tc>
        <w:tc>
          <w:tcPr>
            <w:tcW w:w="900" w:type="dxa"/>
            <w:tcBorders>
              <w:top w:val="nil"/>
              <w:left w:val="single" w:color="000000" w:sz="8" w:space="0"/>
              <w:bottom w:val="single" w:color="000000" w:sz="8" w:space="0"/>
              <w:right w:val="single" w:color="000000" w:sz="8" w:space="0"/>
            </w:tcBorders>
            <w:shd w:val="clear"/>
            <w:vAlign w:val="center"/>
          </w:tcPr>
          <w:p w14:paraId="27EDB963">
            <w:pPr>
              <w:jc w:val="center"/>
              <w:rPr>
                <w:rFonts w:hint="eastAsia" w:ascii="微软雅黑" w:hAnsi="微软雅黑" w:eastAsia="微软雅黑" w:cs="微软雅黑"/>
                <w:i w:val="0"/>
                <w:iCs w:val="0"/>
                <w:color w:val="000000"/>
                <w:sz w:val="20"/>
                <w:szCs w:val="20"/>
                <w:u w:val="none"/>
              </w:rPr>
            </w:pPr>
          </w:p>
        </w:tc>
      </w:tr>
      <w:tr w14:paraId="3CE3A2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45" w:hRule="atLeast"/>
        </w:trPr>
        <w:tc>
          <w:tcPr>
            <w:tcW w:w="1050" w:type="dxa"/>
            <w:vMerge w:val="continue"/>
            <w:tcBorders>
              <w:top w:val="nil"/>
              <w:left w:val="single" w:color="000000" w:sz="8" w:space="0"/>
              <w:bottom w:val="single" w:color="000000" w:sz="8" w:space="0"/>
              <w:right w:val="single" w:color="000000" w:sz="8" w:space="0"/>
            </w:tcBorders>
            <w:shd w:val="clear"/>
            <w:vAlign w:val="center"/>
          </w:tcPr>
          <w:p w14:paraId="3C20605A">
            <w:pPr>
              <w:jc w:val="center"/>
              <w:rPr>
                <w:rFonts w:hint="eastAsia" w:ascii="微软雅黑" w:hAnsi="微软雅黑" w:eastAsia="微软雅黑" w:cs="微软雅黑"/>
                <w:i w:val="0"/>
                <w:iCs w:val="0"/>
                <w:color w:val="000000"/>
                <w:sz w:val="20"/>
                <w:szCs w:val="20"/>
                <w:u w:val="none"/>
              </w:rPr>
            </w:pPr>
          </w:p>
        </w:tc>
        <w:tc>
          <w:tcPr>
            <w:tcW w:w="1830" w:type="dxa"/>
            <w:tcBorders>
              <w:top w:val="nil"/>
              <w:left w:val="single" w:color="000000" w:sz="8" w:space="0"/>
              <w:bottom w:val="single" w:color="000000" w:sz="8" w:space="0"/>
              <w:right w:val="single" w:color="000000" w:sz="8" w:space="0"/>
            </w:tcBorders>
            <w:shd w:val="clear"/>
            <w:vAlign w:val="center"/>
          </w:tcPr>
          <w:p w14:paraId="233E5E3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社会效益指标</w:t>
            </w:r>
          </w:p>
        </w:tc>
        <w:tc>
          <w:tcPr>
            <w:tcW w:w="2025" w:type="dxa"/>
            <w:tcBorders>
              <w:top w:val="nil"/>
              <w:left w:val="single" w:color="000000" w:sz="8" w:space="0"/>
              <w:bottom w:val="single" w:color="000000" w:sz="8" w:space="0"/>
              <w:right w:val="single" w:color="000000" w:sz="8" w:space="0"/>
            </w:tcBorders>
            <w:shd w:val="clear"/>
            <w:vAlign w:val="center"/>
          </w:tcPr>
          <w:p w14:paraId="3D270BEB">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保障退役士兵的待遇</w:t>
            </w:r>
          </w:p>
        </w:tc>
        <w:tc>
          <w:tcPr>
            <w:tcW w:w="1200" w:type="dxa"/>
            <w:tcBorders>
              <w:top w:val="nil"/>
              <w:left w:val="nil"/>
              <w:bottom w:val="single" w:color="000000" w:sz="8" w:space="0"/>
              <w:right w:val="nil"/>
            </w:tcBorders>
            <w:shd w:val="clear"/>
            <w:vAlign w:val="center"/>
          </w:tcPr>
          <w:p w14:paraId="1E9C129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100%</w:t>
            </w:r>
          </w:p>
        </w:tc>
        <w:tc>
          <w:tcPr>
            <w:tcW w:w="1200" w:type="dxa"/>
            <w:tcBorders>
              <w:top w:val="nil"/>
              <w:left w:val="single" w:color="000000" w:sz="8" w:space="0"/>
              <w:bottom w:val="single" w:color="000000" w:sz="8" w:space="0"/>
              <w:right w:val="nil"/>
            </w:tcBorders>
            <w:shd w:val="clear"/>
            <w:vAlign w:val="center"/>
          </w:tcPr>
          <w:p w14:paraId="15D1A52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100%</w:t>
            </w:r>
          </w:p>
        </w:tc>
        <w:tc>
          <w:tcPr>
            <w:tcW w:w="525" w:type="dxa"/>
            <w:tcBorders>
              <w:top w:val="nil"/>
              <w:left w:val="single" w:color="000000" w:sz="8" w:space="0"/>
              <w:bottom w:val="single" w:color="000000" w:sz="8" w:space="0"/>
              <w:right w:val="single" w:color="000000" w:sz="8" w:space="0"/>
            </w:tcBorders>
            <w:shd w:val="clear"/>
            <w:vAlign w:val="center"/>
          </w:tcPr>
          <w:p w14:paraId="451385E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15</w:t>
            </w:r>
          </w:p>
        </w:tc>
        <w:tc>
          <w:tcPr>
            <w:tcW w:w="900" w:type="dxa"/>
            <w:tcBorders>
              <w:top w:val="nil"/>
              <w:left w:val="single" w:color="000000" w:sz="8" w:space="0"/>
              <w:bottom w:val="single" w:color="000000" w:sz="8" w:space="0"/>
              <w:right w:val="single" w:color="000000" w:sz="8" w:space="0"/>
            </w:tcBorders>
            <w:shd w:val="clear"/>
            <w:vAlign w:val="center"/>
          </w:tcPr>
          <w:p w14:paraId="1B6846A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15.00</w:t>
            </w:r>
          </w:p>
        </w:tc>
      </w:tr>
      <w:tr w14:paraId="3824DC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050" w:type="dxa"/>
            <w:vMerge w:val="continue"/>
            <w:tcBorders>
              <w:top w:val="nil"/>
              <w:left w:val="single" w:color="000000" w:sz="8" w:space="0"/>
              <w:bottom w:val="single" w:color="000000" w:sz="8" w:space="0"/>
              <w:right w:val="single" w:color="000000" w:sz="8" w:space="0"/>
            </w:tcBorders>
            <w:shd w:val="clear"/>
            <w:vAlign w:val="center"/>
          </w:tcPr>
          <w:p w14:paraId="3E1F693F">
            <w:pPr>
              <w:jc w:val="center"/>
              <w:rPr>
                <w:rFonts w:hint="eastAsia" w:ascii="微软雅黑" w:hAnsi="微软雅黑" w:eastAsia="微软雅黑" w:cs="微软雅黑"/>
                <w:i w:val="0"/>
                <w:iCs w:val="0"/>
                <w:color w:val="000000"/>
                <w:sz w:val="20"/>
                <w:szCs w:val="20"/>
                <w:u w:val="none"/>
              </w:rPr>
            </w:pPr>
          </w:p>
        </w:tc>
        <w:tc>
          <w:tcPr>
            <w:tcW w:w="1830" w:type="dxa"/>
            <w:tcBorders>
              <w:top w:val="nil"/>
              <w:left w:val="single" w:color="000000" w:sz="8" w:space="0"/>
              <w:bottom w:val="single" w:color="000000" w:sz="8" w:space="0"/>
              <w:right w:val="single" w:color="000000" w:sz="8" w:space="0"/>
            </w:tcBorders>
            <w:shd w:val="clear"/>
            <w:vAlign w:val="center"/>
          </w:tcPr>
          <w:p w14:paraId="72E6FBE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生态效益指标</w:t>
            </w:r>
          </w:p>
        </w:tc>
        <w:tc>
          <w:tcPr>
            <w:tcW w:w="2025" w:type="dxa"/>
            <w:tcBorders>
              <w:top w:val="nil"/>
              <w:left w:val="single" w:color="000000" w:sz="8" w:space="0"/>
              <w:bottom w:val="single" w:color="000000" w:sz="8" w:space="0"/>
              <w:right w:val="single" w:color="000000" w:sz="8" w:space="0"/>
            </w:tcBorders>
            <w:shd w:val="clear"/>
            <w:vAlign w:val="center"/>
          </w:tcPr>
          <w:p w14:paraId="469F57CE">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不适用</w:t>
            </w:r>
          </w:p>
        </w:tc>
        <w:tc>
          <w:tcPr>
            <w:tcW w:w="1200" w:type="dxa"/>
            <w:tcBorders>
              <w:top w:val="nil"/>
              <w:left w:val="nil"/>
              <w:bottom w:val="single" w:color="000000" w:sz="8" w:space="0"/>
              <w:right w:val="nil"/>
            </w:tcBorders>
            <w:shd w:val="clear"/>
            <w:vAlign w:val="center"/>
          </w:tcPr>
          <w:p w14:paraId="0FEEAE9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无</w:t>
            </w:r>
          </w:p>
        </w:tc>
        <w:tc>
          <w:tcPr>
            <w:tcW w:w="1200" w:type="dxa"/>
            <w:tcBorders>
              <w:top w:val="nil"/>
              <w:left w:val="single" w:color="000000" w:sz="8" w:space="0"/>
              <w:bottom w:val="single" w:color="000000" w:sz="8" w:space="0"/>
              <w:right w:val="nil"/>
            </w:tcBorders>
            <w:shd w:val="clear"/>
            <w:vAlign w:val="center"/>
          </w:tcPr>
          <w:p w14:paraId="24C03D42">
            <w:pPr>
              <w:jc w:val="center"/>
              <w:rPr>
                <w:rFonts w:hint="eastAsia" w:ascii="微软雅黑" w:hAnsi="微软雅黑" w:eastAsia="微软雅黑" w:cs="微软雅黑"/>
                <w:i w:val="0"/>
                <w:iCs w:val="0"/>
                <w:color w:val="000000"/>
                <w:sz w:val="20"/>
                <w:szCs w:val="20"/>
                <w:u w:val="none"/>
              </w:rPr>
            </w:pPr>
          </w:p>
        </w:tc>
        <w:tc>
          <w:tcPr>
            <w:tcW w:w="525" w:type="dxa"/>
            <w:tcBorders>
              <w:top w:val="nil"/>
              <w:left w:val="single" w:color="000000" w:sz="8" w:space="0"/>
              <w:bottom w:val="single" w:color="000000" w:sz="8" w:space="0"/>
              <w:right w:val="single" w:color="000000" w:sz="8" w:space="0"/>
            </w:tcBorders>
            <w:shd w:val="clear"/>
            <w:vAlign w:val="center"/>
          </w:tcPr>
          <w:p w14:paraId="1747695D">
            <w:pPr>
              <w:jc w:val="center"/>
              <w:rPr>
                <w:rFonts w:hint="eastAsia" w:ascii="微软雅黑" w:hAnsi="微软雅黑" w:eastAsia="微软雅黑" w:cs="微软雅黑"/>
                <w:i w:val="0"/>
                <w:iCs w:val="0"/>
                <w:color w:val="000000"/>
                <w:sz w:val="20"/>
                <w:szCs w:val="20"/>
                <w:u w:val="none"/>
              </w:rPr>
            </w:pPr>
          </w:p>
        </w:tc>
        <w:tc>
          <w:tcPr>
            <w:tcW w:w="900" w:type="dxa"/>
            <w:tcBorders>
              <w:top w:val="nil"/>
              <w:left w:val="single" w:color="000000" w:sz="8" w:space="0"/>
              <w:bottom w:val="single" w:color="000000" w:sz="8" w:space="0"/>
              <w:right w:val="single" w:color="000000" w:sz="8" w:space="0"/>
            </w:tcBorders>
            <w:shd w:val="clear"/>
            <w:vAlign w:val="center"/>
          </w:tcPr>
          <w:p w14:paraId="609659ED">
            <w:pPr>
              <w:jc w:val="center"/>
              <w:rPr>
                <w:rFonts w:hint="eastAsia" w:ascii="微软雅黑" w:hAnsi="微软雅黑" w:eastAsia="微软雅黑" w:cs="微软雅黑"/>
                <w:i w:val="0"/>
                <w:iCs w:val="0"/>
                <w:color w:val="000000"/>
                <w:sz w:val="20"/>
                <w:szCs w:val="20"/>
                <w:u w:val="none"/>
              </w:rPr>
            </w:pPr>
          </w:p>
        </w:tc>
      </w:tr>
      <w:tr w14:paraId="4CC221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45" w:hRule="atLeast"/>
        </w:trPr>
        <w:tc>
          <w:tcPr>
            <w:tcW w:w="1050" w:type="dxa"/>
            <w:vMerge w:val="continue"/>
            <w:tcBorders>
              <w:top w:val="nil"/>
              <w:left w:val="single" w:color="000000" w:sz="8" w:space="0"/>
              <w:bottom w:val="single" w:color="000000" w:sz="8" w:space="0"/>
              <w:right w:val="single" w:color="000000" w:sz="8" w:space="0"/>
            </w:tcBorders>
            <w:shd w:val="clear"/>
            <w:vAlign w:val="center"/>
          </w:tcPr>
          <w:p w14:paraId="14B6D672">
            <w:pPr>
              <w:jc w:val="center"/>
              <w:rPr>
                <w:rFonts w:hint="eastAsia" w:ascii="微软雅黑" w:hAnsi="微软雅黑" w:eastAsia="微软雅黑" w:cs="微软雅黑"/>
                <w:i w:val="0"/>
                <w:iCs w:val="0"/>
                <w:color w:val="000000"/>
                <w:sz w:val="20"/>
                <w:szCs w:val="20"/>
                <w:u w:val="none"/>
              </w:rPr>
            </w:pPr>
          </w:p>
        </w:tc>
        <w:tc>
          <w:tcPr>
            <w:tcW w:w="1830" w:type="dxa"/>
            <w:tcBorders>
              <w:top w:val="nil"/>
              <w:left w:val="single" w:color="000000" w:sz="8" w:space="0"/>
              <w:bottom w:val="single" w:color="000000" w:sz="8" w:space="0"/>
              <w:right w:val="single" w:color="000000" w:sz="8" w:space="0"/>
            </w:tcBorders>
            <w:shd w:val="clear"/>
            <w:vAlign w:val="center"/>
          </w:tcPr>
          <w:p w14:paraId="5BD8D98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可持续影响指标</w:t>
            </w:r>
          </w:p>
        </w:tc>
        <w:tc>
          <w:tcPr>
            <w:tcW w:w="2025" w:type="dxa"/>
            <w:tcBorders>
              <w:top w:val="nil"/>
              <w:left w:val="single" w:color="000000" w:sz="8" w:space="0"/>
              <w:bottom w:val="single" w:color="000000" w:sz="8" w:space="0"/>
              <w:right w:val="single" w:color="000000" w:sz="8" w:space="0"/>
            </w:tcBorders>
            <w:shd w:val="clear"/>
            <w:vAlign w:val="center"/>
          </w:tcPr>
          <w:p w14:paraId="53E6770E">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提高退役士兵的凝聚力</w:t>
            </w:r>
          </w:p>
        </w:tc>
        <w:tc>
          <w:tcPr>
            <w:tcW w:w="1200" w:type="dxa"/>
            <w:tcBorders>
              <w:top w:val="nil"/>
              <w:left w:val="nil"/>
              <w:bottom w:val="single" w:color="000000" w:sz="8" w:space="0"/>
              <w:right w:val="nil"/>
            </w:tcBorders>
            <w:shd w:val="clear"/>
            <w:vAlign w:val="center"/>
          </w:tcPr>
          <w:p w14:paraId="0D0BB26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有效提高</w:t>
            </w:r>
          </w:p>
        </w:tc>
        <w:tc>
          <w:tcPr>
            <w:tcW w:w="1200" w:type="dxa"/>
            <w:tcBorders>
              <w:top w:val="nil"/>
              <w:left w:val="single" w:color="000000" w:sz="8" w:space="0"/>
              <w:bottom w:val="single" w:color="000000" w:sz="8" w:space="0"/>
              <w:right w:val="nil"/>
            </w:tcBorders>
            <w:shd w:val="clear"/>
            <w:vAlign w:val="center"/>
          </w:tcPr>
          <w:p w14:paraId="5FE4375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有效提高</w:t>
            </w:r>
          </w:p>
        </w:tc>
        <w:tc>
          <w:tcPr>
            <w:tcW w:w="525" w:type="dxa"/>
            <w:tcBorders>
              <w:top w:val="nil"/>
              <w:left w:val="single" w:color="000000" w:sz="8" w:space="0"/>
              <w:bottom w:val="single" w:color="000000" w:sz="8" w:space="0"/>
              <w:right w:val="single" w:color="000000" w:sz="8" w:space="0"/>
            </w:tcBorders>
            <w:shd w:val="clear"/>
            <w:vAlign w:val="center"/>
          </w:tcPr>
          <w:p w14:paraId="24DC2BC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15</w:t>
            </w:r>
          </w:p>
        </w:tc>
        <w:tc>
          <w:tcPr>
            <w:tcW w:w="900" w:type="dxa"/>
            <w:tcBorders>
              <w:top w:val="nil"/>
              <w:left w:val="single" w:color="000000" w:sz="8" w:space="0"/>
              <w:bottom w:val="single" w:color="000000" w:sz="8" w:space="0"/>
              <w:right w:val="single" w:color="000000" w:sz="8" w:space="0"/>
            </w:tcBorders>
            <w:shd w:val="clear"/>
            <w:vAlign w:val="center"/>
          </w:tcPr>
          <w:p w14:paraId="0F8A656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15.00</w:t>
            </w:r>
          </w:p>
        </w:tc>
      </w:tr>
      <w:tr w14:paraId="6A3A78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050" w:type="dxa"/>
            <w:tcBorders>
              <w:top w:val="nil"/>
              <w:left w:val="single" w:color="000000" w:sz="8" w:space="0"/>
              <w:bottom w:val="single" w:color="000000" w:sz="8" w:space="0"/>
              <w:right w:val="single" w:color="000000" w:sz="8" w:space="0"/>
            </w:tcBorders>
            <w:shd w:val="clear"/>
            <w:vAlign w:val="center"/>
          </w:tcPr>
          <w:p w14:paraId="051B437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满意度指标</w:t>
            </w:r>
          </w:p>
        </w:tc>
        <w:tc>
          <w:tcPr>
            <w:tcW w:w="1830" w:type="dxa"/>
            <w:tcBorders>
              <w:top w:val="nil"/>
              <w:left w:val="single" w:color="000000" w:sz="8" w:space="0"/>
              <w:bottom w:val="single" w:color="000000" w:sz="8" w:space="0"/>
              <w:right w:val="single" w:color="000000" w:sz="8" w:space="0"/>
            </w:tcBorders>
            <w:shd w:val="clear"/>
            <w:vAlign w:val="center"/>
          </w:tcPr>
          <w:p w14:paraId="69CE48A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服务对象满意度指标</w:t>
            </w:r>
          </w:p>
        </w:tc>
        <w:tc>
          <w:tcPr>
            <w:tcW w:w="2025" w:type="dxa"/>
            <w:tcBorders>
              <w:top w:val="nil"/>
              <w:left w:val="single" w:color="000000" w:sz="8" w:space="0"/>
              <w:bottom w:val="single" w:color="000000" w:sz="8" w:space="0"/>
              <w:right w:val="single" w:color="000000" w:sz="8" w:space="0"/>
            </w:tcBorders>
            <w:shd w:val="clear"/>
            <w:vAlign w:val="center"/>
          </w:tcPr>
          <w:p w14:paraId="6D0AADB9">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服务对象满意度</w:t>
            </w:r>
          </w:p>
        </w:tc>
        <w:tc>
          <w:tcPr>
            <w:tcW w:w="1200" w:type="dxa"/>
            <w:tcBorders>
              <w:top w:val="nil"/>
              <w:left w:val="nil"/>
              <w:bottom w:val="single" w:color="000000" w:sz="8" w:space="0"/>
              <w:right w:val="nil"/>
            </w:tcBorders>
            <w:shd w:val="clear"/>
            <w:vAlign w:val="center"/>
          </w:tcPr>
          <w:p w14:paraId="6E56ECE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90%</w:t>
            </w:r>
          </w:p>
        </w:tc>
        <w:tc>
          <w:tcPr>
            <w:tcW w:w="1200" w:type="dxa"/>
            <w:tcBorders>
              <w:top w:val="nil"/>
              <w:left w:val="single" w:color="000000" w:sz="8" w:space="0"/>
              <w:bottom w:val="single" w:color="000000" w:sz="8" w:space="0"/>
              <w:right w:val="nil"/>
            </w:tcBorders>
            <w:shd w:val="clear"/>
            <w:vAlign w:val="center"/>
          </w:tcPr>
          <w:p w14:paraId="2C00B89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90%</w:t>
            </w:r>
          </w:p>
        </w:tc>
        <w:tc>
          <w:tcPr>
            <w:tcW w:w="525" w:type="dxa"/>
            <w:tcBorders>
              <w:top w:val="nil"/>
              <w:left w:val="single" w:color="000000" w:sz="8" w:space="0"/>
              <w:bottom w:val="single" w:color="000000" w:sz="8" w:space="0"/>
              <w:right w:val="single" w:color="000000" w:sz="8" w:space="0"/>
            </w:tcBorders>
            <w:shd w:val="clear"/>
            <w:vAlign w:val="center"/>
          </w:tcPr>
          <w:p w14:paraId="37B8338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w:t>
            </w:r>
          </w:p>
        </w:tc>
        <w:tc>
          <w:tcPr>
            <w:tcW w:w="900" w:type="dxa"/>
            <w:tcBorders>
              <w:top w:val="nil"/>
              <w:left w:val="single" w:color="000000" w:sz="8" w:space="0"/>
              <w:bottom w:val="single" w:color="000000" w:sz="8" w:space="0"/>
              <w:right w:val="single" w:color="000000" w:sz="8" w:space="0"/>
            </w:tcBorders>
            <w:shd w:val="clear"/>
            <w:vAlign w:val="center"/>
          </w:tcPr>
          <w:p w14:paraId="65878AC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10.00</w:t>
            </w:r>
          </w:p>
        </w:tc>
      </w:tr>
      <w:tr w14:paraId="1FFB82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050" w:type="dxa"/>
            <w:vMerge w:val="restart"/>
            <w:tcBorders>
              <w:top w:val="nil"/>
              <w:left w:val="single" w:color="000000" w:sz="8" w:space="0"/>
              <w:bottom w:val="single" w:color="000000" w:sz="8" w:space="0"/>
              <w:right w:val="single" w:color="000000" w:sz="8" w:space="0"/>
            </w:tcBorders>
            <w:shd w:val="clear"/>
            <w:vAlign w:val="center"/>
          </w:tcPr>
          <w:p w14:paraId="56EF318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成本指标</w:t>
            </w:r>
          </w:p>
        </w:tc>
        <w:tc>
          <w:tcPr>
            <w:tcW w:w="1830" w:type="dxa"/>
            <w:tcBorders>
              <w:top w:val="nil"/>
              <w:left w:val="single" w:color="000000" w:sz="8" w:space="0"/>
              <w:bottom w:val="single" w:color="000000" w:sz="8" w:space="0"/>
              <w:right w:val="single" w:color="000000" w:sz="8" w:space="0"/>
            </w:tcBorders>
            <w:shd w:val="clear"/>
            <w:vAlign w:val="center"/>
          </w:tcPr>
          <w:p w14:paraId="5C355E4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经济成本指标</w:t>
            </w:r>
          </w:p>
        </w:tc>
        <w:tc>
          <w:tcPr>
            <w:tcW w:w="2025" w:type="dxa"/>
            <w:tcBorders>
              <w:top w:val="nil"/>
              <w:left w:val="single" w:color="000000" w:sz="8" w:space="0"/>
              <w:bottom w:val="single" w:color="000000" w:sz="8" w:space="0"/>
              <w:right w:val="single" w:color="000000" w:sz="8" w:space="0"/>
            </w:tcBorders>
            <w:shd w:val="clear"/>
            <w:vAlign w:val="center"/>
          </w:tcPr>
          <w:p w14:paraId="686426BC">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退役士兵补助标准</w:t>
            </w:r>
          </w:p>
        </w:tc>
        <w:tc>
          <w:tcPr>
            <w:tcW w:w="1200" w:type="dxa"/>
            <w:tcBorders>
              <w:top w:val="nil"/>
              <w:left w:val="nil"/>
              <w:bottom w:val="single" w:color="000000" w:sz="8" w:space="0"/>
              <w:right w:val="nil"/>
            </w:tcBorders>
            <w:shd w:val="clear"/>
            <w:vAlign w:val="center"/>
          </w:tcPr>
          <w:p w14:paraId="7EFB558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4500</w:t>
            </w:r>
          </w:p>
        </w:tc>
        <w:tc>
          <w:tcPr>
            <w:tcW w:w="1200" w:type="dxa"/>
            <w:tcBorders>
              <w:top w:val="nil"/>
              <w:left w:val="single" w:color="000000" w:sz="8" w:space="0"/>
              <w:bottom w:val="single" w:color="000000" w:sz="8" w:space="0"/>
              <w:right w:val="nil"/>
            </w:tcBorders>
            <w:shd w:val="clear"/>
            <w:vAlign w:val="center"/>
          </w:tcPr>
          <w:p w14:paraId="6D1365F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4500</w:t>
            </w:r>
          </w:p>
        </w:tc>
        <w:tc>
          <w:tcPr>
            <w:tcW w:w="525" w:type="dxa"/>
            <w:tcBorders>
              <w:top w:val="nil"/>
              <w:left w:val="single" w:color="000000" w:sz="8" w:space="0"/>
              <w:bottom w:val="single" w:color="000000" w:sz="8" w:space="0"/>
              <w:right w:val="single" w:color="000000" w:sz="8" w:space="0"/>
            </w:tcBorders>
            <w:shd w:val="clear"/>
            <w:vAlign w:val="center"/>
          </w:tcPr>
          <w:p w14:paraId="579DC7B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w:t>
            </w:r>
          </w:p>
        </w:tc>
        <w:tc>
          <w:tcPr>
            <w:tcW w:w="900" w:type="dxa"/>
            <w:tcBorders>
              <w:top w:val="nil"/>
              <w:left w:val="single" w:color="000000" w:sz="8" w:space="0"/>
              <w:bottom w:val="single" w:color="000000" w:sz="8" w:space="0"/>
              <w:right w:val="single" w:color="000000" w:sz="8" w:space="0"/>
            </w:tcBorders>
            <w:shd w:val="clear"/>
            <w:vAlign w:val="center"/>
          </w:tcPr>
          <w:p w14:paraId="35A8A1B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10.00</w:t>
            </w:r>
          </w:p>
        </w:tc>
      </w:tr>
      <w:tr w14:paraId="11C7CF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050" w:type="dxa"/>
            <w:vMerge w:val="continue"/>
            <w:tcBorders>
              <w:top w:val="nil"/>
              <w:left w:val="single" w:color="000000" w:sz="8" w:space="0"/>
              <w:bottom w:val="single" w:color="000000" w:sz="8" w:space="0"/>
              <w:right w:val="single" w:color="000000" w:sz="8" w:space="0"/>
            </w:tcBorders>
            <w:shd w:val="clear"/>
            <w:vAlign w:val="center"/>
          </w:tcPr>
          <w:p w14:paraId="55964CAB">
            <w:pPr>
              <w:jc w:val="center"/>
              <w:rPr>
                <w:rFonts w:hint="eastAsia" w:ascii="微软雅黑" w:hAnsi="微软雅黑" w:eastAsia="微软雅黑" w:cs="微软雅黑"/>
                <w:i w:val="0"/>
                <w:iCs w:val="0"/>
                <w:color w:val="000000"/>
                <w:sz w:val="20"/>
                <w:szCs w:val="20"/>
                <w:u w:val="none"/>
              </w:rPr>
            </w:pPr>
          </w:p>
        </w:tc>
        <w:tc>
          <w:tcPr>
            <w:tcW w:w="1830" w:type="dxa"/>
            <w:tcBorders>
              <w:top w:val="nil"/>
              <w:left w:val="single" w:color="000000" w:sz="8" w:space="0"/>
              <w:bottom w:val="single" w:color="000000" w:sz="8" w:space="0"/>
              <w:right w:val="single" w:color="000000" w:sz="8" w:space="0"/>
            </w:tcBorders>
            <w:shd w:val="clear"/>
            <w:vAlign w:val="center"/>
          </w:tcPr>
          <w:p w14:paraId="3FA00B8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社会成本指标</w:t>
            </w:r>
          </w:p>
        </w:tc>
        <w:tc>
          <w:tcPr>
            <w:tcW w:w="2025" w:type="dxa"/>
            <w:tcBorders>
              <w:top w:val="nil"/>
              <w:left w:val="single" w:color="000000" w:sz="8" w:space="0"/>
              <w:bottom w:val="single" w:color="000000" w:sz="8" w:space="0"/>
              <w:right w:val="single" w:color="000000" w:sz="8" w:space="0"/>
            </w:tcBorders>
            <w:shd w:val="clear"/>
            <w:vAlign w:val="center"/>
          </w:tcPr>
          <w:p w14:paraId="52AE693A">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不适用</w:t>
            </w:r>
          </w:p>
        </w:tc>
        <w:tc>
          <w:tcPr>
            <w:tcW w:w="1200" w:type="dxa"/>
            <w:tcBorders>
              <w:top w:val="nil"/>
              <w:left w:val="nil"/>
              <w:bottom w:val="single" w:color="000000" w:sz="8" w:space="0"/>
              <w:right w:val="nil"/>
            </w:tcBorders>
            <w:shd w:val="clear"/>
            <w:vAlign w:val="center"/>
          </w:tcPr>
          <w:p w14:paraId="1D18691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无</w:t>
            </w:r>
          </w:p>
        </w:tc>
        <w:tc>
          <w:tcPr>
            <w:tcW w:w="1200" w:type="dxa"/>
            <w:tcBorders>
              <w:top w:val="nil"/>
              <w:left w:val="single" w:color="000000" w:sz="8" w:space="0"/>
              <w:bottom w:val="single" w:color="000000" w:sz="8" w:space="0"/>
              <w:right w:val="nil"/>
            </w:tcBorders>
            <w:shd w:val="clear"/>
            <w:vAlign w:val="center"/>
          </w:tcPr>
          <w:p w14:paraId="144642D4">
            <w:pPr>
              <w:jc w:val="center"/>
              <w:rPr>
                <w:rFonts w:hint="eastAsia" w:ascii="微软雅黑" w:hAnsi="微软雅黑" w:eastAsia="微软雅黑" w:cs="微软雅黑"/>
                <w:i w:val="0"/>
                <w:iCs w:val="0"/>
                <w:color w:val="000000"/>
                <w:sz w:val="20"/>
                <w:szCs w:val="20"/>
                <w:u w:val="none"/>
              </w:rPr>
            </w:pPr>
          </w:p>
        </w:tc>
        <w:tc>
          <w:tcPr>
            <w:tcW w:w="525" w:type="dxa"/>
            <w:tcBorders>
              <w:top w:val="nil"/>
              <w:left w:val="single" w:color="000000" w:sz="8" w:space="0"/>
              <w:bottom w:val="single" w:color="000000" w:sz="8" w:space="0"/>
              <w:right w:val="single" w:color="000000" w:sz="8" w:space="0"/>
            </w:tcBorders>
            <w:shd w:val="clear"/>
            <w:vAlign w:val="center"/>
          </w:tcPr>
          <w:p w14:paraId="7CBA0002">
            <w:pPr>
              <w:jc w:val="center"/>
              <w:rPr>
                <w:rFonts w:hint="eastAsia" w:ascii="微软雅黑" w:hAnsi="微软雅黑" w:eastAsia="微软雅黑" w:cs="微软雅黑"/>
                <w:i w:val="0"/>
                <w:iCs w:val="0"/>
                <w:color w:val="000000"/>
                <w:sz w:val="20"/>
                <w:szCs w:val="20"/>
                <w:u w:val="none"/>
              </w:rPr>
            </w:pPr>
          </w:p>
        </w:tc>
        <w:tc>
          <w:tcPr>
            <w:tcW w:w="900" w:type="dxa"/>
            <w:tcBorders>
              <w:top w:val="nil"/>
              <w:left w:val="single" w:color="000000" w:sz="8" w:space="0"/>
              <w:bottom w:val="single" w:color="000000" w:sz="8" w:space="0"/>
              <w:right w:val="single" w:color="000000" w:sz="8" w:space="0"/>
            </w:tcBorders>
            <w:shd w:val="clear"/>
            <w:vAlign w:val="center"/>
          </w:tcPr>
          <w:p w14:paraId="5259BFF2">
            <w:pPr>
              <w:jc w:val="center"/>
              <w:rPr>
                <w:rFonts w:hint="eastAsia" w:ascii="微软雅黑" w:hAnsi="微软雅黑" w:eastAsia="微软雅黑" w:cs="微软雅黑"/>
                <w:i w:val="0"/>
                <w:iCs w:val="0"/>
                <w:color w:val="000000"/>
                <w:sz w:val="20"/>
                <w:szCs w:val="20"/>
                <w:u w:val="none"/>
              </w:rPr>
            </w:pPr>
          </w:p>
        </w:tc>
      </w:tr>
      <w:tr w14:paraId="2C4923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45" w:hRule="atLeast"/>
        </w:trPr>
        <w:tc>
          <w:tcPr>
            <w:tcW w:w="1050" w:type="dxa"/>
            <w:vMerge w:val="continue"/>
            <w:tcBorders>
              <w:top w:val="nil"/>
              <w:left w:val="single" w:color="000000" w:sz="8" w:space="0"/>
              <w:bottom w:val="single" w:color="000000" w:sz="8" w:space="0"/>
              <w:right w:val="single" w:color="000000" w:sz="8" w:space="0"/>
            </w:tcBorders>
            <w:shd w:val="clear"/>
            <w:vAlign w:val="center"/>
          </w:tcPr>
          <w:p w14:paraId="7C0A8ABF">
            <w:pPr>
              <w:jc w:val="center"/>
              <w:rPr>
                <w:rFonts w:hint="eastAsia" w:ascii="微软雅黑" w:hAnsi="微软雅黑" w:eastAsia="微软雅黑" w:cs="微软雅黑"/>
                <w:i w:val="0"/>
                <w:iCs w:val="0"/>
                <w:color w:val="000000"/>
                <w:sz w:val="20"/>
                <w:szCs w:val="20"/>
                <w:u w:val="none"/>
              </w:rPr>
            </w:pPr>
          </w:p>
        </w:tc>
        <w:tc>
          <w:tcPr>
            <w:tcW w:w="1830" w:type="dxa"/>
            <w:tcBorders>
              <w:top w:val="nil"/>
              <w:left w:val="single" w:color="000000" w:sz="8" w:space="0"/>
              <w:bottom w:val="single" w:color="000000" w:sz="8" w:space="0"/>
              <w:right w:val="single" w:color="000000" w:sz="8" w:space="0"/>
            </w:tcBorders>
            <w:shd w:val="clear"/>
            <w:vAlign w:val="center"/>
          </w:tcPr>
          <w:p w14:paraId="30980F8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生态环境成本指标</w:t>
            </w:r>
          </w:p>
        </w:tc>
        <w:tc>
          <w:tcPr>
            <w:tcW w:w="2025" w:type="dxa"/>
            <w:tcBorders>
              <w:top w:val="nil"/>
              <w:left w:val="single" w:color="000000" w:sz="8" w:space="0"/>
              <w:bottom w:val="single" w:color="000000" w:sz="8" w:space="0"/>
              <w:right w:val="single" w:color="000000" w:sz="8" w:space="0"/>
            </w:tcBorders>
            <w:shd w:val="clear"/>
            <w:vAlign w:val="center"/>
          </w:tcPr>
          <w:p w14:paraId="233BB0BB">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不适用</w:t>
            </w:r>
          </w:p>
        </w:tc>
        <w:tc>
          <w:tcPr>
            <w:tcW w:w="1200" w:type="dxa"/>
            <w:tcBorders>
              <w:top w:val="nil"/>
              <w:left w:val="nil"/>
              <w:bottom w:val="single" w:color="000000" w:sz="8" w:space="0"/>
              <w:right w:val="nil"/>
            </w:tcBorders>
            <w:shd w:val="clear"/>
            <w:vAlign w:val="center"/>
          </w:tcPr>
          <w:p w14:paraId="2EF4319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无</w:t>
            </w:r>
          </w:p>
        </w:tc>
        <w:tc>
          <w:tcPr>
            <w:tcW w:w="1200" w:type="dxa"/>
            <w:tcBorders>
              <w:top w:val="nil"/>
              <w:left w:val="single" w:color="000000" w:sz="8" w:space="0"/>
              <w:bottom w:val="single" w:color="000000" w:sz="8" w:space="0"/>
              <w:right w:val="nil"/>
            </w:tcBorders>
            <w:shd w:val="clear"/>
            <w:vAlign w:val="center"/>
          </w:tcPr>
          <w:p w14:paraId="61BA3393">
            <w:pPr>
              <w:jc w:val="center"/>
              <w:rPr>
                <w:rFonts w:hint="eastAsia" w:ascii="微软雅黑" w:hAnsi="微软雅黑" w:eastAsia="微软雅黑" w:cs="微软雅黑"/>
                <w:i w:val="0"/>
                <w:iCs w:val="0"/>
                <w:color w:val="000000"/>
                <w:sz w:val="20"/>
                <w:szCs w:val="20"/>
                <w:u w:val="none"/>
              </w:rPr>
            </w:pPr>
          </w:p>
        </w:tc>
        <w:tc>
          <w:tcPr>
            <w:tcW w:w="525" w:type="dxa"/>
            <w:tcBorders>
              <w:top w:val="nil"/>
              <w:left w:val="single" w:color="000000" w:sz="8" w:space="0"/>
              <w:bottom w:val="single" w:color="000000" w:sz="8" w:space="0"/>
              <w:right w:val="single" w:color="000000" w:sz="8" w:space="0"/>
            </w:tcBorders>
            <w:shd w:val="clear"/>
            <w:vAlign w:val="center"/>
          </w:tcPr>
          <w:p w14:paraId="0A7F82B9">
            <w:pPr>
              <w:jc w:val="center"/>
              <w:rPr>
                <w:rFonts w:hint="eastAsia" w:ascii="微软雅黑" w:hAnsi="微软雅黑" w:eastAsia="微软雅黑" w:cs="微软雅黑"/>
                <w:i w:val="0"/>
                <w:iCs w:val="0"/>
                <w:color w:val="000000"/>
                <w:sz w:val="20"/>
                <w:szCs w:val="20"/>
                <w:u w:val="none"/>
              </w:rPr>
            </w:pPr>
          </w:p>
        </w:tc>
        <w:tc>
          <w:tcPr>
            <w:tcW w:w="900" w:type="dxa"/>
            <w:tcBorders>
              <w:top w:val="nil"/>
              <w:left w:val="single" w:color="000000" w:sz="8" w:space="0"/>
              <w:bottom w:val="single" w:color="000000" w:sz="8" w:space="0"/>
              <w:right w:val="single" w:color="000000" w:sz="8" w:space="0"/>
            </w:tcBorders>
            <w:shd w:val="clear"/>
            <w:vAlign w:val="center"/>
          </w:tcPr>
          <w:p w14:paraId="7C34CCE0">
            <w:pPr>
              <w:jc w:val="center"/>
              <w:rPr>
                <w:rFonts w:hint="eastAsia" w:ascii="微软雅黑" w:hAnsi="微软雅黑" w:eastAsia="微软雅黑" w:cs="微软雅黑"/>
                <w:i w:val="0"/>
                <w:iCs w:val="0"/>
                <w:color w:val="000000"/>
                <w:sz w:val="20"/>
                <w:szCs w:val="20"/>
                <w:u w:val="none"/>
              </w:rPr>
            </w:pPr>
          </w:p>
        </w:tc>
      </w:tr>
    </w:tbl>
    <w:p w14:paraId="2F4CA06B">
      <w:pPr>
        <w:spacing w:line="560" w:lineRule="exact"/>
        <w:ind w:firstLine="640" w:firstLineChars="200"/>
        <w:jc w:val="left"/>
        <w:rPr>
          <w:rFonts w:hint="eastAsia" w:ascii="仿宋_GB2312" w:hAnsi="仿宋_GB2312" w:eastAsia="仿宋_GB2312" w:cs="仿宋_GB2312"/>
          <w:bCs/>
          <w:sz w:val="32"/>
          <w:szCs w:val="32"/>
        </w:rPr>
      </w:pPr>
      <w:r>
        <w:rPr>
          <w:rFonts w:hint="eastAsia" w:ascii="Times New Roman" w:hAnsi="Times New Roman" w:eastAsia="仿宋_GB2312" w:cs="Times New Roman"/>
          <w:sz w:val="32"/>
          <w:szCs w:val="32"/>
          <w:lang w:val="en-US" w:eastAsia="zh-CN" w:bidi="ar-SA"/>
        </w:rPr>
        <w:t>根据绩效目标表</w:t>
      </w:r>
      <w:r>
        <w:rPr>
          <w:rFonts w:hint="eastAsia" w:eastAsia="仿宋_GB2312" w:cs="Times New Roman"/>
          <w:sz w:val="32"/>
          <w:szCs w:val="32"/>
          <w:lang w:val="en-US" w:eastAsia="zh-CN" w:bidi="ar-SA"/>
        </w:rPr>
        <w:t>相关指标，逐一对应指标值数进行综合评价，自评分数为100分，评价结果为优秀。</w:t>
      </w:r>
    </w:p>
    <w:p w14:paraId="27C229FB">
      <w:pPr>
        <w:spacing w:line="560" w:lineRule="exact"/>
        <w:ind w:firstLine="643" w:firstLineChars="200"/>
        <w:jc w:val="left"/>
        <w:rPr>
          <w:rFonts w:hint="eastAsia" w:ascii="仿宋_GB2312" w:hAnsi="仿宋_GB2312" w:eastAsia="仿宋_GB2312" w:cs="仿宋_GB2312"/>
          <w:b/>
          <w:bCs w:val="0"/>
          <w:sz w:val="32"/>
          <w:szCs w:val="32"/>
        </w:rPr>
      </w:pPr>
      <w:r>
        <w:rPr>
          <w:rFonts w:hint="eastAsia" w:ascii="仿宋_GB2312" w:hAnsi="仿宋_GB2312" w:eastAsia="仿宋_GB2312" w:cs="仿宋_GB2312"/>
          <w:b/>
          <w:bCs w:val="0"/>
          <w:sz w:val="32"/>
          <w:szCs w:val="32"/>
        </w:rPr>
        <w:t>四、绩效评价指标分析</w:t>
      </w:r>
    </w:p>
    <w:p w14:paraId="6C8B8D3F">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（一）项目决策情况。</w:t>
      </w:r>
    </w:p>
    <w:p w14:paraId="68E0DD2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640" w:firstLineChars="20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（1）严格执行《预算法》，强化支出责任，提高项目资金使用效益，对项目支出情况开展绩效评价，践行“花钱必问效、无效必问责”。</w:t>
      </w:r>
    </w:p>
    <w:p w14:paraId="20119E0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　　（2）通过对项目资金的绩效评价，进一步了解和掌握项目实施的具体情况，评价其项目资金安排的科学性、合理性、规范性和资金使用成效，及时总结项目管理经验，完善项目管理办法，提高项目管理水平和资金的使用效益。</w:t>
      </w:r>
    </w:p>
    <w:p w14:paraId="3F84E03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64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（3）促使项目承担科室及项目分管领导，对绩效评价中发现的问题，认真整改，及时调整和完善单位的工作计划和绩效目标，提高管理水平，同时为项目后续资金投入、分配和管理提供决策依据。</w:t>
      </w:r>
    </w:p>
    <w:p w14:paraId="41BFAD3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640"/>
        <w:rPr>
          <w:rFonts w:hint="default" w:ascii="Times New Roman" w:hAnsi="Times New Roman" w:eastAsia="方正粗宋简体" w:cs="Times New Roman"/>
          <w:sz w:val="32"/>
          <w:szCs w:val="32"/>
          <w:lang w:val="en-US" w:eastAsia="zh-CN" w:bidi="ar-SA"/>
        </w:rPr>
      </w:pPr>
      <w:r>
        <w:rPr>
          <w:rFonts w:hint="eastAsia" w:ascii="Times New Roman" w:hAnsi="Times New Roman" w:eastAsia="仿宋_GB2312" w:cs="Times New Roman"/>
          <w:sz w:val="32"/>
          <w:szCs w:val="32"/>
          <w:lang w:val="en-US" w:eastAsia="zh-CN" w:bidi="ar-SA"/>
        </w:rPr>
        <w:t>（4）2024年度退役士兵安置（上级资金）项目1个，涉及资金3万元，主要范围是用于自主就业士兵经济补助，技能培训，安置期间生活费社保费等。</w:t>
      </w:r>
    </w:p>
    <w:p w14:paraId="0AA259B1">
      <w:pPr>
        <w:spacing w:line="560" w:lineRule="exact"/>
        <w:ind w:firstLine="640" w:firstLineChars="200"/>
        <w:jc w:val="left"/>
        <w:rPr>
          <w:rFonts w:hint="eastAsia" w:ascii="仿宋_GB2312" w:hAnsi="仿宋_GB2312" w:eastAsia="仿宋_GB2312" w:cs="仿宋_GB2312"/>
          <w:sz w:val="32"/>
          <w:szCs w:val="32"/>
        </w:rPr>
      </w:pPr>
    </w:p>
    <w:p w14:paraId="38DBBBE9">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（二）项目过程情况。</w:t>
      </w:r>
    </w:p>
    <w:p w14:paraId="01E3B5E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right="0" w:firstLine="640" w:firstLineChars="20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（1）科学公正。绩效评价应当运用科学合理的方法，按照规范的程序，对项目绩效进行客观、公正地反映。</w:t>
      </w:r>
    </w:p>
    <w:p w14:paraId="41FA6F8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　　（2）统筹兼顾。单位自评、部门评价和财政评价应职责明确，各有侧重，相互衔接。单位自评应由项目单位自主实施，即“谁支出、谁自评”。部门评价和财政评价应在单位自评的基础上开展。</w:t>
      </w:r>
    </w:p>
    <w:p w14:paraId="3BD19E1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　　（3）激励约束。绩效评价结果应与预算安排、政策调整、改进管理实质性挂钩，体现奖优罚劣和激励相容导向，有效要安排、低效要压减、无效要问责。</w:t>
      </w:r>
    </w:p>
    <w:p w14:paraId="3103DFD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64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（4）公开透明。绩效评价结果应依法依规公开，并自觉接受社会监督。</w:t>
      </w:r>
    </w:p>
    <w:p w14:paraId="713FFAD8">
      <w:pPr>
        <w:spacing w:line="560" w:lineRule="exact"/>
        <w:ind w:firstLine="640" w:firstLineChars="200"/>
        <w:jc w:val="left"/>
        <w:rPr>
          <w:rFonts w:hint="eastAsia" w:ascii="仿宋_GB2312" w:hAnsi="仿宋_GB2312" w:eastAsia="仿宋_GB2312" w:cs="仿宋_GB2312"/>
          <w:sz w:val="32"/>
          <w:szCs w:val="32"/>
        </w:rPr>
      </w:pPr>
    </w:p>
    <w:p w14:paraId="665BEC9E">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（三）项目产出情况。</w:t>
      </w:r>
    </w:p>
    <w:p w14:paraId="0559A623">
      <w:pPr>
        <w:spacing w:line="560" w:lineRule="exact"/>
        <w:ind w:firstLine="640" w:firstLineChars="200"/>
        <w:jc w:val="left"/>
        <w:rPr>
          <w:rFonts w:hint="eastAsia" w:eastAsia="仿宋_GB2312"/>
          <w:sz w:val="32"/>
          <w:szCs w:val="32"/>
          <w:lang w:val="en-US" w:eastAsia="zh-CN"/>
        </w:rPr>
      </w:pPr>
      <w:r>
        <w:rPr>
          <w:rFonts w:hint="eastAsia" w:eastAsia="仿宋_GB2312"/>
          <w:sz w:val="32"/>
          <w:szCs w:val="32"/>
          <w:lang w:val="en-US" w:eastAsia="zh-CN"/>
        </w:rPr>
        <w:t>从综合评价得分情况看，此项目综合评价满分为100分，实际得分100分，无扣分项目，各项绩效目标按质按量按时完成。</w:t>
      </w:r>
    </w:p>
    <w:p w14:paraId="54A30ACB">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（四）项目效益情况。</w:t>
      </w:r>
    </w:p>
    <w:p w14:paraId="79327FE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560"/>
        <w:jc w:val="both"/>
        <w:rPr>
          <w:rFonts w:hint="default" w:ascii="仿宋_GB2312" w:hAnsi="仿宋_GB2312" w:eastAsia="仿宋_GB2312" w:cs="仿宋_GB2312"/>
          <w:sz w:val="32"/>
          <w:szCs w:val="32"/>
          <w:lang w:val="en-US" w:eastAsia="zh-CN" w:bidi="ar-SA"/>
        </w:rPr>
      </w:pPr>
      <w:r>
        <w:rPr>
          <w:rFonts w:hint="eastAsia" w:ascii="仿宋_GB2312" w:hAnsi="仿宋_GB2312" w:eastAsia="仿宋_GB2312" w:cs="仿宋_GB2312"/>
          <w:sz w:val="32"/>
          <w:szCs w:val="32"/>
          <w:lang w:val="en-US" w:eastAsia="zh-CN" w:bidi="ar-SA"/>
        </w:rPr>
        <w:t>（</w:t>
      </w:r>
      <w:r>
        <w:rPr>
          <w:rFonts w:hint="default" w:ascii="仿宋_GB2312" w:hAnsi="仿宋_GB2312" w:eastAsia="仿宋_GB2312" w:cs="仿宋_GB2312"/>
          <w:sz w:val="32"/>
          <w:szCs w:val="32"/>
          <w:lang w:val="en-US" w:eastAsia="zh-CN" w:bidi="ar-SA"/>
        </w:rPr>
        <w:t>1</w:t>
      </w:r>
      <w:r>
        <w:rPr>
          <w:rFonts w:hint="eastAsia" w:ascii="仿宋_GB2312" w:hAnsi="仿宋_GB2312" w:eastAsia="仿宋_GB2312" w:cs="仿宋_GB2312"/>
          <w:sz w:val="32"/>
          <w:szCs w:val="32"/>
          <w:lang w:val="en-US" w:eastAsia="zh-CN" w:bidi="ar-SA"/>
        </w:rPr>
        <w:t>）社会效益。维护了广大退役士兵合法权益，增强了退役士兵就业能力，缓解了退役士兵就业难和待就业期间生活困难的问题。</w:t>
      </w:r>
    </w:p>
    <w:p w14:paraId="7D7E890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560"/>
        <w:jc w:val="both"/>
        <w:rPr>
          <w:rFonts w:hint="default" w:ascii="仿宋_GB2312" w:hAnsi="仿宋_GB2312" w:eastAsia="仿宋_GB2312" w:cs="仿宋_GB2312"/>
          <w:sz w:val="32"/>
          <w:szCs w:val="32"/>
          <w:lang w:val="en-US" w:eastAsia="zh-CN" w:bidi="ar-SA"/>
        </w:rPr>
      </w:pPr>
      <w:r>
        <w:rPr>
          <w:rFonts w:hint="eastAsia" w:ascii="仿宋_GB2312" w:hAnsi="仿宋_GB2312" w:eastAsia="仿宋_GB2312" w:cs="仿宋_GB2312"/>
          <w:sz w:val="32"/>
          <w:szCs w:val="32"/>
          <w:lang w:val="en-US" w:eastAsia="zh-CN" w:bidi="ar-SA"/>
        </w:rPr>
        <w:t>（</w:t>
      </w:r>
      <w:r>
        <w:rPr>
          <w:rFonts w:hint="default" w:ascii="仿宋_GB2312" w:hAnsi="仿宋_GB2312" w:eastAsia="仿宋_GB2312" w:cs="仿宋_GB2312"/>
          <w:sz w:val="32"/>
          <w:szCs w:val="32"/>
          <w:lang w:val="en-US" w:eastAsia="zh-CN" w:bidi="ar-SA"/>
        </w:rPr>
        <w:t>2</w:t>
      </w:r>
      <w:r>
        <w:rPr>
          <w:rFonts w:hint="eastAsia" w:ascii="仿宋_GB2312" w:hAnsi="仿宋_GB2312" w:eastAsia="仿宋_GB2312" w:cs="仿宋_GB2312"/>
          <w:sz w:val="32"/>
          <w:szCs w:val="32"/>
          <w:lang w:val="en-US" w:eastAsia="zh-CN" w:bidi="ar-SA"/>
        </w:rPr>
        <w:t>）可持续影响方面。促进了国防建设，维护了社会稳定。</w:t>
      </w:r>
    </w:p>
    <w:p w14:paraId="402919B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560"/>
        <w:jc w:val="both"/>
        <w:rPr>
          <w:rFonts w:hint="default" w:ascii="仿宋_GB2312" w:hAnsi="仿宋_GB2312" w:eastAsia="仿宋_GB2312" w:cs="仿宋_GB2312"/>
          <w:sz w:val="32"/>
          <w:szCs w:val="32"/>
          <w:lang w:val="en-US" w:eastAsia="zh-CN" w:bidi="ar-SA"/>
        </w:rPr>
      </w:pPr>
      <w:r>
        <w:rPr>
          <w:rFonts w:hint="eastAsia" w:ascii="仿宋_GB2312" w:hAnsi="仿宋_GB2312" w:eastAsia="仿宋_GB2312" w:cs="仿宋_GB2312"/>
          <w:sz w:val="32"/>
          <w:szCs w:val="32"/>
          <w:lang w:val="en-US" w:eastAsia="zh-CN" w:bidi="ar-SA"/>
        </w:rPr>
        <w:t>（</w:t>
      </w:r>
      <w:r>
        <w:rPr>
          <w:rFonts w:hint="default" w:ascii="仿宋_GB2312" w:hAnsi="仿宋_GB2312" w:eastAsia="仿宋_GB2312" w:cs="仿宋_GB2312"/>
          <w:sz w:val="32"/>
          <w:szCs w:val="32"/>
          <w:lang w:val="en-US" w:eastAsia="zh-CN" w:bidi="ar-SA"/>
        </w:rPr>
        <w:t>3</w:t>
      </w:r>
      <w:r>
        <w:rPr>
          <w:rFonts w:hint="eastAsia" w:ascii="仿宋_GB2312" w:hAnsi="仿宋_GB2312" w:eastAsia="仿宋_GB2312" w:cs="仿宋_GB2312"/>
          <w:sz w:val="32"/>
          <w:szCs w:val="32"/>
          <w:lang w:val="en-US" w:eastAsia="zh-CN" w:bidi="ar-SA"/>
        </w:rPr>
        <w:t>）服务对象满意度方面。本次回访退役士兵满意度为90</w:t>
      </w:r>
      <w:r>
        <w:rPr>
          <w:rFonts w:hint="default" w:ascii="仿宋_GB2312" w:hAnsi="仿宋_GB2312" w:eastAsia="仿宋_GB2312" w:cs="仿宋_GB2312"/>
          <w:sz w:val="32"/>
          <w:szCs w:val="32"/>
          <w:lang w:val="en-US" w:eastAsia="zh-CN" w:bidi="ar-SA"/>
        </w:rPr>
        <w:t>%</w:t>
      </w:r>
      <w:r>
        <w:rPr>
          <w:rFonts w:hint="eastAsia" w:ascii="仿宋_GB2312" w:hAnsi="仿宋_GB2312" w:eastAsia="仿宋_GB2312" w:cs="仿宋_GB2312"/>
          <w:sz w:val="32"/>
          <w:szCs w:val="32"/>
          <w:lang w:val="en-US" w:eastAsia="zh-CN" w:bidi="ar-SA"/>
        </w:rPr>
        <w:t>。</w:t>
      </w:r>
    </w:p>
    <w:p w14:paraId="2ED0B9E6">
      <w:pPr>
        <w:spacing w:line="560" w:lineRule="exact"/>
        <w:ind w:firstLine="640" w:firstLineChars="200"/>
        <w:jc w:val="left"/>
        <w:rPr>
          <w:rFonts w:hint="eastAsia" w:ascii="仿宋_GB2312" w:hAnsi="仿宋_GB2312" w:eastAsia="仿宋_GB2312" w:cs="仿宋_GB2312"/>
          <w:sz w:val="32"/>
          <w:szCs w:val="32"/>
        </w:rPr>
      </w:pPr>
    </w:p>
    <w:p w14:paraId="6A082262">
      <w:pPr>
        <w:spacing w:line="560" w:lineRule="exact"/>
        <w:ind w:firstLine="643" w:firstLineChars="200"/>
        <w:jc w:val="left"/>
        <w:rPr>
          <w:rFonts w:hint="eastAsia" w:ascii="宋体" w:hAnsi="宋体" w:eastAsia="宋体" w:cs="宋体"/>
          <w:b/>
          <w:bCs w:val="0"/>
          <w:sz w:val="32"/>
          <w:szCs w:val="32"/>
        </w:rPr>
      </w:pPr>
      <w:r>
        <w:rPr>
          <w:rFonts w:hint="eastAsia" w:ascii="宋体" w:hAnsi="宋体" w:eastAsia="宋体" w:cs="宋体"/>
          <w:b/>
          <w:bCs w:val="0"/>
          <w:sz w:val="32"/>
          <w:szCs w:val="32"/>
        </w:rPr>
        <w:t>五、主要经验及做法、存在的问题及原因分析</w:t>
      </w:r>
    </w:p>
    <w:p w14:paraId="3DCB4679">
      <w:pPr>
        <w:spacing w:line="560" w:lineRule="exact"/>
        <w:ind w:firstLine="560" w:firstLineChars="200"/>
        <w:jc w:val="left"/>
        <w:rPr>
          <w:rFonts w:hint="eastAsia" w:ascii="宋体" w:hAnsi="宋体" w:eastAsia="宋体" w:cs="宋体"/>
          <w:b/>
          <w:bCs w:val="0"/>
          <w:sz w:val="32"/>
          <w:szCs w:val="32"/>
        </w:rPr>
      </w:pPr>
      <w:r>
        <w:rPr>
          <w:rFonts w:hint="eastAsia" w:ascii="宋体" w:hAnsi="宋体" w:eastAsia="宋体" w:cs="宋体"/>
          <w:i w:val="0"/>
          <w:iCs w:val="0"/>
          <w:caps w:val="0"/>
          <w:color w:val="333333"/>
          <w:spacing w:val="0"/>
          <w:sz w:val="28"/>
          <w:szCs w:val="28"/>
          <w:shd w:val="clear" w:fill="FFFFFF"/>
        </w:rPr>
        <w:t>我局作为该项目的实施单位，严格发放程序，明确发放时限，适时督导检查工作进展情况。</w:t>
      </w:r>
    </w:p>
    <w:p w14:paraId="622FABC8">
      <w:pPr>
        <w:spacing w:line="560" w:lineRule="exact"/>
        <w:ind w:firstLine="643" w:firstLineChars="200"/>
        <w:jc w:val="left"/>
        <w:rPr>
          <w:rFonts w:hint="eastAsia" w:ascii="宋体" w:hAnsi="宋体" w:eastAsia="宋体" w:cs="宋体"/>
          <w:b/>
          <w:bCs w:val="0"/>
          <w:sz w:val="32"/>
          <w:szCs w:val="32"/>
        </w:rPr>
      </w:pPr>
      <w:r>
        <w:rPr>
          <w:rFonts w:hint="eastAsia" w:ascii="宋体" w:hAnsi="宋体" w:eastAsia="宋体" w:cs="宋体"/>
          <w:b/>
          <w:bCs w:val="0"/>
          <w:sz w:val="32"/>
          <w:szCs w:val="32"/>
        </w:rPr>
        <w:t>六、有关建议</w:t>
      </w:r>
    </w:p>
    <w:p w14:paraId="1FF7E276">
      <w:pPr>
        <w:spacing w:line="560" w:lineRule="exact"/>
        <w:ind w:firstLine="560" w:firstLineChars="200"/>
        <w:jc w:val="left"/>
        <w:rPr>
          <w:rFonts w:hint="eastAsia" w:ascii="宋体" w:hAnsi="宋体" w:eastAsia="宋体" w:cs="宋体"/>
          <w:b/>
          <w:bCs w:val="0"/>
          <w:sz w:val="32"/>
          <w:szCs w:val="32"/>
        </w:rPr>
      </w:pPr>
      <w:r>
        <w:rPr>
          <w:rFonts w:hint="eastAsia" w:ascii="宋体" w:hAnsi="宋体" w:eastAsia="宋体" w:cs="宋体"/>
          <w:i w:val="0"/>
          <w:iCs w:val="0"/>
          <w:caps w:val="0"/>
          <w:color w:val="333333"/>
          <w:spacing w:val="0"/>
          <w:sz w:val="28"/>
          <w:szCs w:val="28"/>
          <w:shd w:val="clear" w:fill="FFFFFF"/>
        </w:rPr>
        <w:t>鉴于该项目的实施有利于国防建设，对于促进社会稳定、维护社会和谐方面起到了重要作用，建议在预算中继续保留该项目。</w:t>
      </w:r>
    </w:p>
    <w:p w14:paraId="2D5D1173">
      <w:pPr>
        <w:spacing w:line="560" w:lineRule="exact"/>
        <w:ind w:firstLine="643" w:firstLineChars="200"/>
        <w:jc w:val="left"/>
        <w:rPr>
          <w:rFonts w:hint="eastAsia" w:ascii="宋体" w:hAnsi="宋体" w:eastAsia="宋体" w:cs="宋体"/>
          <w:b/>
          <w:bCs w:val="0"/>
          <w:sz w:val="32"/>
          <w:szCs w:val="32"/>
        </w:rPr>
      </w:pPr>
      <w:r>
        <w:rPr>
          <w:rFonts w:hint="eastAsia" w:ascii="宋体" w:hAnsi="宋体" w:eastAsia="宋体" w:cs="宋体"/>
          <w:b/>
          <w:bCs w:val="0"/>
          <w:sz w:val="32"/>
          <w:szCs w:val="32"/>
        </w:rPr>
        <w:t>七、其他需要说明的问题</w:t>
      </w:r>
    </w:p>
    <w:p w14:paraId="62339CC1">
      <w:pPr>
        <w:spacing w:line="560" w:lineRule="exact"/>
        <w:ind w:firstLine="643" w:firstLineChars="200"/>
        <w:jc w:val="left"/>
        <w:rPr>
          <w:rFonts w:hint="eastAsia" w:ascii="宋体" w:hAnsi="宋体" w:eastAsia="宋体" w:cs="宋体"/>
          <w:b/>
          <w:bCs w:val="0"/>
          <w:sz w:val="32"/>
          <w:szCs w:val="32"/>
          <w:lang w:eastAsia="zh-CN"/>
        </w:rPr>
      </w:pPr>
      <w:r>
        <w:rPr>
          <w:rFonts w:hint="eastAsia" w:ascii="宋体" w:hAnsi="宋体" w:cs="宋体"/>
          <w:b/>
          <w:bCs w:val="0"/>
          <w:sz w:val="32"/>
          <w:szCs w:val="32"/>
          <w:lang w:eastAsia="zh-CN"/>
        </w:rPr>
        <w:t>无</w:t>
      </w:r>
    </w:p>
    <w:p w14:paraId="33A8EE59">
      <w:pPr>
        <w:pStyle w:val="3"/>
        <w:widowControl w:val="0"/>
        <w:spacing w:before="0" w:beforeAutospacing="0" w:after="0" w:afterAutospacing="0" w:line="5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p w14:paraId="546F9E85">
      <w:pPr>
        <w:ind w:left="8960" w:hanging="8960" w:hangingChars="28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eastAsia="zh-CN"/>
        </w:rPr>
        <w:t>新晃县退役军人事务局</w:t>
      </w:r>
      <w:r>
        <w:rPr>
          <w:rFonts w:hint="eastAsia" w:ascii="仿宋_GB2312" w:hAnsi="仿宋_GB2312" w:eastAsia="仿宋_GB2312" w:cs="仿宋_GB2312"/>
          <w:sz w:val="32"/>
          <w:szCs w:val="32"/>
        </w:rPr>
        <w:t xml:space="preserve">                        </w:t>
      </w:r>
    </w:p>
    <w:p w14:paraId="03AB3811">
      <w:pPr>
        <w:ind w:firstLine="5440" w:firstLineChars="1700"/>
      </w:pPr>
      <w:r>
        <w:rPr>
          <w:rFonts w:hint="eastAsia" w:ascii="仿宋_GB2312" w:hAnsi="仿宋_GB2312" w:eastAsia="仿宋_GB2312" w:cs="仿宋_GB2312"/>
          <w:sz w:val="32"/>
          <w:szCs w:val="32"/>
          <w:lang w:val="en-US" w:eastAsia="zh-CN"/>
        </w:rPr>
        <w:t>2025</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25</w:t>
      </w:r>
      <w:r>
        <w:rPr>
          <w:rFonts w:hint="eastAsia" w:ascii="仿宋_GB2312" w:hAnsi="仿宋_GB2312" w:eastAsia="仿宋_GB2312" w:cs="仿宋_GB2312"/>
          <w:sz w:val="32"/>
          <w:szCs w:val="32"/>
        </w:rPr>
        <w:t>日</w:t>
      </w:r>
    </w:p>
    <w:p w14:paraId="4DB7D6DA"/>
    <w:sectPr>
      <w:pgSz w:w="11906" w:h="16838"/>
      <w:pgMar w:top="1440" w:right="1689" w:bottom="1440" w:left="1689" w:header="851" w:footer="992" w:gutter="0"/>
      <w:pgNumType w:fmt="numberInDash"/>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粗宋简体">
    <w:altName w:val="宋体"/>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gxNzhjYzU4ZTBkNTlmMjNhNmU0NThlYTk3YjE3MGMifQ=="/>
  </w:docVars>
  <w:rsids>
    <w:rsidRoot w:val="00000000"/>
    <w:rsid w:val="37732970"/>
    <w:rsid w:val="3B0635C0"/>
    <w:rsid w:val="56A36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spacing w:line="240" w:lineRule="atLeast"/>
      <w:jc w:val="left"/>
    </w:pPr>
    <w:rPr>
      <w:sz w:val="18"/>
      <w:szCs w:val="18"/>
    </w:rPr>
  </w:style>
  <w:style w:type="paragraph" w:styleId="3">
    <w:name w:val="Normal (Web)"/>
    <w:basedOn w:val="1"/>
    <w:autoRedefine/>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6">
    <w:name w:val="Strong"/>
    <w:autoRedefine/>
    <w:qFormat/>
    <w:uiPriority w:val="0"/>
    <w:rPr>
      <w:b/>
      <w:bCs/>
    </w:rPr>
  </w:style>
  <w:style w:type="character" w:styleId="7">
    <w:name w:val="page number"/>
    <w:basedOn w:val="5"/>
    <w:autoRedefine/>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282</Words>
  <Characters>287</Characters>
  <Lines>0</Lines>
  <Paragraphs>0</Paragraphs>
  <TotalTime>1</TotalTime>
  <ScaleCrop>false</ScaleCrop>
  <LinksUpToDate>false</LinksUpToDate>
  <CharactersWithSpaces>357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2024-04-10T00:32:00Z</dcterms:created>
  <dc:creator>Administrator</dc:creator>
  <cp:lastModifiedBy>呆头呆脑の小豬</cp:lastModifiedBy>
  <dcterms:modified xsi:type="dcterms:W3CDTF">2025-03-26T00:46:50Z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1AB7709B3C1444349ECCE6DD8CBB80BE_12</vt:lpwstr>
  </property>
  <property fmtid="{D5CDD505-2E9C-101B-9397-08002B2CF9AE}" pid="4" name="KSOTemplateDocerSaveRecord">
    <vt:lpwstr>eyJoZGlkIjoiZjgxNzhjYzU4ZTBkNTlmMjNhNmU0NThlYTk3YjE3MGMiLCJ1c2VySWQiOiI0MzkxODQ2NTgifQ==</vt:lpwstr>
  </property>
</Properties>
</file>