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6A40C0">
      <w:pPr>
        <w:spacing w:before="240" w:line="340" w:lineRule="exact"/>
        <w:jc w:val="left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附件2-3 </w:t>
      </w:r>
    </w:p>
    <w:p w14:paraId="7596FDDD">
      <w:pPr>
        <w:spacing w:line="600" w:lineRule="exact"/>
        <w:jc w:val="center"/>
        <w:rPr>
          <w:rFonts w:hint="eastAsia" w:ascii="黑体" w:hAnsi="黑体" w:eastAsia="黑体"/>
          <w:bCs/>
          <w:w w:val="85"/>
          <w:sz w:val="36"/>
          <w:szCs w:val="36"/>
        </w:rPr>
      </w:pPr>
      <w:r>
        <w:rPr>
          <w:rFonts w:eastAsia="黑体"/>
          <w:bCs/>
          <w:w w:val="85"/>
          <w:sz w:val="44"/>
          <w:szCs w:val="44"/>
        </w:rPr>
        <w:t> </w:t>
      </w:r>
      <w:r>
        <w:rPr>
          <w:rFonts w:ascii="黑体" w:hAnsi="黑体" w:eastAsia="黑体"/>
          <w:bCs/>
          <w:w w:val="85"/>
          <w:sz w:val="36"/>
          <w:szCs w:val="36"/>
        </w:rPr>
        <w:t>202</w:t>
      </w:r>
      <w:r>
        <w:rPr>
          <w:rFonts w:hint="eastAsia" w:ascii="黑体" w:hAnsi="黑体" w:eastAsia="黑体"/>
          <w:bCs/>
          <w:w w:val="85"/>
          <w:sz w:val="36"/>
          <w:szCs w:val="36"/>
          <w:lang w:val="en-US" w:eastAsia="zh-CN"/>
        </w:rPr>
        <w:t>4</w:t>
      </w:r>
      <w:r>
        <w:rPr>
          <w:rFonts w:ascii="黑体" w:hAnsi="黑体" w:eastAsia="黑体"/>
          <w:bCs/>
          <w:w w:val="85"/>
          <w:sz w:val="36"/>
          <w:szCs w:val="36"/>
        </w:rPr>
        <w:t>年度新晃县</w:t>
      </w:r>
      <w:r>
        <w:rPr>
          <w:rFonts w:hint="eastAsia" w:ascii="黑体" w:hAnsi="黑体" w:eastAsia="黑体"/>
          <w:bCs/>
          <w:w w:val="85"/>
          <w:sz w:val="36"/>
          <w:szCs w:val="36"/>
        </w:rPr>
        <w:t>项目</w:t>
      </w:r>
      <w:r>
        <w:rPr>
          <w:rFonts w:ascii="黑体" w:hAnsi="黑体" w:eastAsia="黑体"/>
          <w:bCs/>
          <w:w w:val="85"/>
          <w:sz w:val="36"/>
          <w:szCs w:val="36"/>
        </w:rPr>
        <w:t>支出</w:t>
      </w:r>
      <w:r>
        <w:rPr>
          <w:rFonts w:hint="eastAsia" w:ascii="黑体" w:hAnsi="黑体" w:eastAsia="黑体"/>
          <w:bCs/>
          <w:w w:val="85"/>
          <w:sz w:val="36"/>
          <w:szCs w:val="36"/>
        </w:rPr>
        <w:t>绩效</w:t>
      </w:r>
      <w:r>
        <w:rPr>
          <w:rFonts w:ascii="黑体" w:hAnsi="黑体" w:eastAsia="黑体"/>
          <w:bCs/>
          <w:w w:val="85"/>
          <w:sz w:val="36"/>
          <w:szCs w:val="36"/>
        </w:rPr>
        <w:t>自评报告</w:t>
      </w:r>
    </w:p>
    <w:p w14:paraId="38ECC791"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一、基本情况</w:t>
      </w:r>
    </w:p>
    <w:p w14:paraId="6E8F2756"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（一）项目概况。包括项目背景、主要内容及实施情况、资金投入和使用情况等。</w:t>
      </w:r>
    </w:p>
    <w:p w14:paraId="075E29B0">
      <w:pPr>
        <w:spacing w:line="560" w:lineRule="exact"/>
        <w:ind w:left="0" w:firstLine="640" w:firstLineChars="200"/>
        <w:jc w:val="left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2024年度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离退休人员生活补助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项目预算2.34万元，主要用于退休人员生活补助发放，2024年共计使用2.34万元，执行率达到100%。</w:t>
      </w:r>
    </w:p>
    <w:p w14:paraId="4999778B">
      <w:pPr>
        <w:numPr>
          <w:ilvl w:val="0"/>
          <w:numId w:val="0"/>
        </w:numPr>
        <w:spacing w:line="560" w:lineRule="exact"/>
        <w:ind w:left="0" w:leftChars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（二）</w:t>
      </w:r>
      <w:r>
        <w:rPr>
          <w:rFonts w:hint="eastAsia" w:ascii="仿宋_GB2312" w:eastAsia="仿宋_GB2312"/>
          <w:sz w:val="32"/>
          <w:szCs w:val="32"/>
        </w:rPr>
        <w:t>项目绩效目标。</w:t>
      </w:r>
    </w:p>
    <w:p w14:paraId="246F6178">
      <w:pPr>
        <w:widowControl/>
        <w:spacing w:line="64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总体目标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按时发放离退休人员生活补助，保障离退休人员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正常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生活。</w:t>
      </w:r>
    </w:p>
    <w:p w14:paraId="0167E967">
      <w:pPr>
        <w:numPr>
          <w:ilvl w:val="0"/>
          <w:numId w:val="0"/>
        </w:numPr>
        <w:spacing w:line="560" w:lineRule="exact"/>
        <w:ind w:leftChars="200" w:firstLine="320" w:firstLineChars="100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阶段性目标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保障机关正常运转，保障离退休人员生活质量。</w:t>
      </w:r>
    </w:p>
    <w:p w14:paraId="1CB7750B"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二、绩效评价工作开展情况</w:t>
      </w:r>
    </w:p>
    <w:p w14:paraId="21046A44"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（一）绩效评价目的、对象和范围。</w:t>
      </w:r>
    </w:p>
    <w:p w14:paraId="72B7ABF9">
      <w:pPr>
        <w:numPr>
          <w:ilvl w:val="0"/>
          <w:numId w:val="0"/>
        </w:numPr>
        <w:spacing w:line="560" w:lineRule="exact"/>
        <w:ind w:leftChars="200" w:firstLine="320" w:firstLineChars="1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绩效评价目的是为进一步规范专项资金管理，强化绩效和责任意识，切实提高专项资金使用效益。评价对象为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离退休人员生活补助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目。评价范围包括2024年度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离退休人员生活补助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经费项目。</w:t>
      </w:r>
    </w:p>
    <w:p w14:paraId="7BBAE573">
      <w:pPr>
        <w:numPr>
          <w:ilvl w:val="0"/>
          <w:numId w:val="0"/>
        </w:numPr>
        <w:spacing w:line="560" w:lineRule="exact"/>
        <w:ind w:left="0" w:leftChars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 w:bidi="ar-SA"/>
        </w:rPr>
        <w:t>二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）</w:t>
      </w:r>
      <w:r>
        <w:rPr>
          <w:rFonts w:hint="eastAsia" w:ascii="仿宋_GB2312" w:eastAsia="仿宋_GB2312"/>
          <w:sz w:val="32"/>
          <w:szCs w:val="32"/>
        </w:rPr>
        <w:t>绩效评价原则、评价指标体系（附表说明）、评价方法、评价标准等。</w:t>
      </w:r>
    </w:p>
    <w:p w14:paraId="09480055">
      <w:pPr>
        <w:numPr>
          <w:ilvl w:val="0"/>
          <w:numId w:val="0"/>
        </w:numPr>
        <w:spacing w:line="560" w:lineRule="exact"/>
        <w:ind w:leftChars="200" w:firstLine="320" w:firstLineChars="1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绩效评价等级设置为优秀、良好、较差、差四级，其中，大于或等于90分的为优、80分（含）至90分的为良、60分（含）至80分的为中、小于60分的为差。</w:t>
      </w:r>
    </w:p>
    <w:tbl>
      <w:tblPr>
        <w:tblStyle w:val="4"/>
        <w:tblW w:w="915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0"/>
        <w:gridCol w:w="2580"/>
        <w:gridCol w:w="3407"/>
        <w:gridCol w:w="1691"/>
      </w:tblGrid>
      <w:tr w14:paraId="38FDCF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8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E11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258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AE0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407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E33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691" w:type="dxa"/>
            <w:vMerge w:val="restar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8B46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年度指标值</w:t>
            </w:r>
          </w:p>
        </w:tc>
      </w:tr>
      <w:tr w14:paraId="2C3821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BCEF6D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8EAD9C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07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780654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91" w:type="dxa"/>
            <w:vMerge w:val="continue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697F7462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FF4B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14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318F6E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62455C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07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70185D1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91" w:type="dxa"/>
            <w:vMerge w:val="continue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7F281B9D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17C87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48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151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25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A8E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40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88C7F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退休人员补助人数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4348B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</w:tr>
      <w:tr w14:paraId="2D68FF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4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FA8157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C72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40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C890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补贴发放合规率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6FDA6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 w14:paraId="3AEF95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4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67172F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FAF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40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606F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生活补助发放及时率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28F0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 w14:paraId="3486E6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4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8E070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433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40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3CAF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提升退休人员生活水平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187BD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提升显著</w:t>
            </w:r>
          </w:p>
        </w:tc>
      </w:tr>
      <w:tr w14:paraId="219FA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148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8F2B80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EE3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40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5594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增加退休人员生活幸福感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C14D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提升显著</w:t>
            </w:r>
          </w:p>
        </w:tc>
      </w:tr>
      <w:tr w14:paraId="68CD56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14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B42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5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7F8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340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3FDD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6D4AA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90%</w:t>
            </w:r>
          </w:p>
        </w:tc>
      </w:tr>
      <w:tr w14:paraId="32DE2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14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B6A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58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9F1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340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47BF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退休人员生活补助投入成本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651A9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</w:tr>
    </w:tbl>
    <w:p w14:paraId="17DCE93C">
      <w:pPr>
        <w:numPr>
          <w:ilvl w:val="0"/>
          <w:numId w:val="0"/>
        </w:numPr>
        <w:spacing w:line="560" w:lineRule="exact"/>
        <w:ind w:left="0" w:leftChars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（</w:t>
      </w:r>
      <w:r>
        <w:rPr>
          <w:rFonts w:hint="eastAsia" w:ascii="仿宋_GB2312" w:eastAsia="仿宋_GB2312" w:cs="Times New Roman"/>
          <w:sz w:val="32"/>
          <w:szCs w:val="32"/>
          <w:lang w:val="en-US" w:eastAsia="zh-CN" w:bidi="ar-SA"/>
        </w:rPr>
        <w:t>三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）</w:t>
      </w:r>
      <w:r>
        <w:rPr>
          <w:rFonts w:hint="eastAsia" w:ascii="仿宋_GB2312" w:eastAsia="仿宋_GB2312"/>
          <w:sz w:val="32"/>
          <w:szCs w:val="32"/>
        </w:rPr>
        <w:t>绩效评价工作过程。</w:t>
      </w:r>
    </w:p>
    <w:p w14:paraId="0AC8E04D"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根据《湖南省预算支出绩效评价管理办法》（湘财绩〔2020〕7号）和《新晃侗族自治县财政局关于开展202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bCs/>
          <w:sz w:val="32"/>
          <w:szCs w:val="32"/>
        </w:rPr>
        <w:t>年度部门预算支出绩效自评工作的通知》（晃财绩〔202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bCs/>
          <w:sz w:val="32"/>
          <w:szCs w:val="32"/>
        </w:rPr>
        <w:t>〕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bCs/>
          <w:sz w:val="32"/>
          <w:szCs w:val="32"/>
        </w:rPr>
        <w:t>号）等文件要求，我单位成立了绩效自评工作小组，对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离退休人员生活补助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目</w:t>
      </w:r>
      <w:r>
        <w:rPr>
          <w:rFonts w:hint="eastAsia" w:ascii="仿宋_GB2312" w:eastAsia="仿宋_GB2312"/>
          <w:bCs/>
          <w:sz w:val="32"/>
          <w:szCs w:val="32"/>
        </w:rPr>
        <w:t>支出开展了绩效自评工作。组织人员收集项目资料，检查会计凭证，在规定的时间内，对项目的实施过程进行了全面、科学、细致的评价。</w:t>
      </w:r>
    </w:p>
    <w:p w14:paraId="338BF8DF">
      <w:pPr>
        <w:numPr>
          <w:ilvl w:val="0"/>
          <w:numId w:val="1"/>
        </w:numPr>
        <w:spacing w:line="560" w:lineRule="exact"/>
        <w:ind w:left="0" w:firstLine="640" w:firstLineChars="200"/>
        <w:jc w:val="left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综合评价情况及评价结论（附相关评分表）</w:t>
      </w:r>
    </w:p>
    <w:p w14:paraId="163D6FC1"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本次自评，对照项目绩效目标，从项目预算编制、项目组织管理、资金使用、项目产出、项目效益、满意度等方面逐一分析评价，总体自评得分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90</w:t>
      </w:r>
      <w:r>
        <w:rPr>
          <w:rFonts w:hint="eastAsia" w:ascii="仿宋_GB2312" w:eastAsia="仿宋_GB2312"/>
          <w:bCs/>
          <w:sz w:val="32"/>
          <w:szCs w:val="32"/>
        </w:rPr>
        <w:t>分，绩效评价等级为“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优</w:t>
      </w:r>
      <w:r>
        <w:rPr>
          <w:rFonts w:hint="eastAsia" w:ascii="仿宋_GB2312" w:eastAsia="仿宋_GB2312"/>
          <w:bCs/>
          <w:sz w:val="32"/>
          <w:szCs w:val="32"/>
        </w:rPr>
        <w:t>”。</w:t>
      </w:r>
    </w:p>
    <w:p w14:paraId="7425450E"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bCs/>
          <w:sz w:val="32"/>
          <w:szCs w:val="32"/>
        </w:rPr>
      </w:pPr>
    </w:p>
    <w:tbl>
      <w:tblPr>
        <w:tblStyle w:val="4"/>
        <w:tblW w:w="926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1662"/>
        <w:gridCol w:w="2205"/>
        <w:gridCol w:w="1410"/>
        <w:gridCol w:w="1368"/>
        <w:gridCol w:w="702"/>
        <w:gridCol w:w="870"/>
      </w:tblGrid>
      <w:tr w14:paraId="599744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BBC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662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BE4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205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ABB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410" w:type="dxa"/>
            <w:vMerge w:val="restart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15B0A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368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2E636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702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D6C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分值</w:t>
            </w:r>
          </w:p>
        </w:tc>
        <w:tc>
          <w:tcPr>
            <w:tcW w:w="87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67C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得分</w:t>
            </w:r>
          </w:p>
        </w:tc>
      </w:tr>
      <w:tr w14:paraId="43FE53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2BB03C7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62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10A4AC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0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C8B602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0" w:type="dxa"/>
            <w:vMerge w:val="continue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26327826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3EF912DD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2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C09296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5115B4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09F4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5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BCFEE5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62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FEF9FB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0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175180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0" w:type="dxa"/>
            <w:vMerge w:val="continue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2A20C47C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59DE4FB8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2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B65A67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7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DA8374"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2E2D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5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347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6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267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2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2FA5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退休人员补助人数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4DA5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68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58FF1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70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E43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7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30D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15.00</w:t>
            </w:r>
          </w:p>
        </w:tc>
      </w:tr>
      <w:tr w14:paraId="0EE890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5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6B4972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D5E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2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C7CC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补贴发放合规率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3258E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368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27B3F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0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264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7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9F4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15.00</w:t>
            </w:r>
          </w:p>
        </w:tc>
      </w:tr>
      <w:tr w14:paraId="014F2B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5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00C75C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57A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2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00E6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生活补助发放及时率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35FD6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368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3012F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0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3E9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7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54B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</w:t>
            </w:r>
          </w:p>
        </w:tc>
      </w:tr>
      <w:tr w14:paraId="2B327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5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94DAB8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969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2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BCE3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提升退休人员生活水平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57455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提升显著</w:t>
            </w:r>
          </w:p>
        </w:tc>
        <w:tc>
          <w:tcPr>
            <w:tcW w:w="1368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36C19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效果一般</w:t>
            </w:r>
          </w:p>
        </w:tc>
        <w:tc>
          <w:tcPr>
            <w:tcW w:w="70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3F8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7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5F6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</w:t>
            </w:r>
          </w:p>
        </w:tc>
      </w:tr>
      <w:tr w14:paraId="34749B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5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79D55B">
            <w:pPr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95C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2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657F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增加退休人员生活幸福感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6C18D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提升显著</w:t>
            </w:r>
          </w:p>
        </w:tc>
        <w:tc>
          <w:tcPr>
            <w:tcW w:w="1368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03817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效果一般</w:t>
            </w:r>
          </w:p>
        </w:tc>
        <w:tc>
          <w:tcPr>
            <w:tcW w:w="70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A21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7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5AC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</w:t>
            </w:r>
          </w:p>
        </w:tc>
      </w:tr>
      <w:tr w14:paraId="6D8EA2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93B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4C8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22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BF0C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3CD0E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90%</w:t>
            </w:r>
          </w:p>
        </w:tc>
        <w:tc>
          <w:tcPr>
            <w:tcW w:w="1368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1863C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0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A52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7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F95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</w:t>
            </w:r>
          </w:p>
        </w:tc>
      </w:tr>
      <w:tr w14:paraId="70B648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05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CD5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66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A6C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220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DF049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退休人员生活补助投入成本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1F9C6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1368" w:type="dxa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 w14:paraId="1FBA0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600元</w:t>
            </w:r>
          </w:p>
        </w:tc>
        <w:tc>
          <w:tcPr>
            <w:tcW w:w="70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BD7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7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987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</w:t>
            </w:r>
          </w:p>
        </w:tc>
      </w:tr>
    </w:tbl>
    <w:p w14:paraId="12EA4BD4"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四、绩效评价指标分析</w:t>
      </w:r>
    </w:p>
    <w:p w14:paraId="62A67614"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（一）项目决策情况。</w:t>
      </w:r>
    </w:p>
    <w:p w14:paraId="01DF7A12"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根据本单位年度工作安排，将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离退休人员生活补助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项目纳入年度预算，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按时发放离退休人员生活补助，保障离退休人员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正常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生活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1B8D77B5">
      <w:pPr>
        <w:numPr>
          <w:ilvl w:val="0"/>
          <w:numId w:val="2"/>
        </w:num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 w14:paraId="216C57DB">
      <w:pPr>
        <w:spacing w:line="560" w:lineRule="exact"/>
        <w:ind w:left="0" w:firstLine="640" w:firstLineChars="200"/>
        <w:jc w:val="left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2024年度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离退休人员生活补助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项目预算2.34万元，主要用于退休人员生活补助发放，2024年共计使用2.34万元，执行率达到100%。</w:t>
      </w:r>
    </w:p>
    <w:p w14:paraId="7A774196">
      <w:pPr>
        <w:numPr>
          <w:ilvl w:val="0"/>
          <w:numId w:val="2"/>
        </w:numPr>
        <w:spacing w:line="560" w:lineRule="exact"/>
        <w:ind w:left="0" w:leftChars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 w14:paraId="48E9E126"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从综合评价得分情况看，此项目综合评</w:t>
      </w:r>
      <w:bookmarkStart w:id="0" w:name="_GoBack"/>
      <w:bookmarkEnd w:id="0"/>
      <w:r>
        <w:rPr>
          <w:rFonts w:hint="eastAsia" w:eastAsia="仿宋_GB2312"/>
          <w:sz w:val="32"/>
          <w:szCs w:val="32"/>
          <w:lang w:val="en-US" w:eastAsia="zh-CN"/>
        </w:rPr>
        <w:t>价满分为100分，实际得分90分，</w:t>
      </w:r>
      <w:r>
        <w:rPr>
          <w:rFonts w:hint="eastAsia" w:ascii="仿宋_GB2312" w:eastAsia="仿宋_GB2312"/>
          <w:bCs/>
          <w:sz w:val="32"/>
          <w:szCs w:val="32"/>
        </w:rPr>
        <w:t>绩效评价等级为“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优</w:t>
      </w:r>
      <w:r>
        <w:rPr>
          <w:rFonts w:hint="eastAsia" w:ascii="仿宋_GB2312" w:eastAsia="仿宋_GB2312"/>
          <w:bCs/>
          <w:sz w:val="32"/>
          <w:szCs w:val="32"/>
        </w:rPr>
        <w:t>”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较好的完成了年度绩效项目目标</w:t>
      </w:r>
      <w:r>
        <w:rPr>
          <w:rFonts w:hint="eastAsia" w:eastAsia="仿宋_GB2312"/>
          <w:sz w:val="32"/>
          <w:szCs w:val="32"/>
          <w:lang w:val="en-US" w:eastAsia="zh-CN"/>
        </w:rPr>
        <w:t>。</w:t>
      </w:r>
    </w:p>
    <w:p w14:paraId="2C028DF2">
      <w:pPr>
        <w:numPr>
          <w:ilvl w:val="0"/>
          <w:numId w:val="2"/>
        </w:numPr>
        <w:spacing w:line="560" w:lineRule="exact"/>
        <w:ind w:left="0" w:leftChars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项目效益情况。</w:t>
      </w:r>
    </w:p>
    <w:p w14:paraId="7C7308F4">
      <w:pPr>
        <w:ind w:firstLine="640" w:firstLineChars="200"/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本年度项目较好的完成了绩效目标，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按时发放离退休人员生活补助，保障离退休人员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正常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生活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，保障单位工作正常运行</w:t>
      </w:r>
      <w:r>
        <w:rPr>
          <w:rFonts w:hint="eastAsia" w:ascii="仿宋_GB2312" w:hAnsi="宋体" w:eastAsia="仿宋_GB2312" w:cs="仿宋_GB2312"/>
          <w:i w:val="0"/>
          <w:iCs w:val="0"/>
          <w:caps w:val="0"/>
          <w:spacing w:val="0"/>
          <w:kern w:val="2"/>
          <w:sz w:val="32"/>
          <w:szCs w:val="32"/>
          <w:shd w:val="clear" w:fill="FFFFFF"/>
          <w:lang w:val="en-US" w:eastAsia="zh-CN" w:bidi="ar-SA"/>
        </w:rPr>
        <w:t>。</w:t>
      </w:r>
    </w:p>
    <w:p w14:paraId="5DD96D48">
      <w:pPr>
        <w:numPr>
          <w:ilvl w:val="0"/>
          <w:numId w:val="3"/>
        </w:num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主要经验及做法、存在的问题及原因分析</w:t>
      </w:r>
    </w:p>
    <w:p w14:paraId="59124C86">
      <w:pPr>
        <w:numPr>
          <w:ilvl w:val="0"/>
          <w:numId w:val="0"/>
        </w:numPr>
        <w:spacing w:line="560" w:lineRule="exact"/>
        <w:ind w:leftChars="200" w:firstLine="320" w:firstLineChars="100"/>
        <w:jc w:val="left"/>
        <w:rPr>
          <w:rFonts w:hint="eastAsia" w:ascii="宋体" w:hAnsi="宋体" w:eastAsia="宋体"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Cs/>
          <w:sz w:val="32"/>
          <w:szCs w:val="32"/>
          <w:lang w:val="en-US" w:eastAsia="zh-CN"/>
        </w:rPr>
        <w:t>无</w:t>
      </w:r>
    </w:p>
    <w:p w14:paraId="3DA8F371">
      <w:pPr>
        <w:numPr>
          <w:ilvl w:val="0"/>
          <w:numId w:val="3"/>
        </w:numPr>
        <w:spacing w:line="560" w:lineRule="exact"/>
        <w:ind w:left="0" w:leftChars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有关建议</w:t>
      </w:r>
    </w:p>
    <w:p w14:paraId="46C0CE8D">
      <w:pPr>
        <w:numPr>
          <w:ilvl w:val="0"/>
          <w:numId w:val="0"/>
        </w:numPr>
        <w:spacing w:line="560" w:lineRule="exact"/>
        <w:ind w:leftChars="200"/>
        <w:jc w:val="left"/>
        <w:rPr>
          <w:rFonts w:hint="default" w:ascii="宋体" w:hAnsi="宋体" w:eastAsia="宋体"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Cs/>
          <w:sz w:val="32"/>
          <w:szCs w:val="32"/>
          <w:lang w:val="en-US" w:eastAsia="zh-CN"/>
        </w:rPr>
        <w:t xml:space="preserve">  无</w:t>
      </w:r>
    </w:p>
    <w:p w14:paraId="2F1575D8">
      <w:pPr>
        <w:numPr>
          <w:ilvl w:val="0"/>
          <w:numId w:val="3"/>
        </w:numPr>
        <w:spacing w:line="560" w:lineRule="exact"/>
        <w:ind w:left="0" w:leftChars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其他需要说明的问题</w:t>
      </w:r>
    </w:p>
    <w:p w14:paraId="6E74CDE8">
      <w:pPr>
        <w:numPr>
          <w:ilvl w:val="0"/>
          <w:numId w:val="0"/>
        </w:numPr>
        <w:spacing w:line="560" w:lineRule="exact"/>
        <w:ind w:left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  <w:lang w:val="en-US" w:eastAsia="zh-CN"/>
        </w:rPr>
        <w:t xml:space="preserve">  无</w:t>
      </w:r>
    </w:p>
    <w:p w14:paraId="35143F13">
      <w:pPr>
        <w:pStyle w:val="3"/>
        <w:widowControl w:val="0"/>
        <w:spacing w:before="0" w:beforeAutospacing="0" w:after="0" w:afterAutospacing="0" w:line="520" w:lineRule="exact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 </w:t>
      </w:r>
    </w:p>
    <w:p w14:paraId="31AF5095">
      <w:pPr>
        <w:ind w:left="8960" w:hanging="8960" w:hangingChars="2800"/>
        <w:rPr>
          <w:rFonts w:hint="eastAsia"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 </w:t>
      </w:r>
      <w:r>
        <w:rPr>
          <w:rFonts w:hint="eastAsia" w:ascii="仿宋_GB2312" w:eastAsia="仿宋_GB2312"/>
          <w:sz w:val="32"/>
          <w:szCs w:val="32"/>
        </w:rPr>
        <w:t xml:space="preserve">                        </w:t>
      </w:r>
    </w:p>
    <w:p w14:paraId="56EF6152">
      <w:pPr>
        <w:ind w:left="8960" w:hanging="8960" w:hangingChars="2800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新晃侗族自治县退役军人事务局</w:t>
      </w:r>
      <w:r>
        <w:rPr>
          <w:rFonts w:hint="eastAsia" w:ascii="仿宋_GB2312" w:eastAsia="仿宋_GB2312"/>
          <w:sz w:val="32"/>
          <w:szCs w:val="32"/>
        </w:rPr>
        <w:t xml:space="preserve">                        </w:t>
      </w:r>
    </w:p>
    <w:p w14:paraId="4C4951A5">
      <w:pPr>
        <w:ind w:firstLine="1280" w:firstLineChars="400"/>
        <w:jc w:val="right"/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eastAsia="仿宋_GB2312"/>
          <w:sz w:val="32"/>
          <w:szCs w:val="32"/>
        </w:rPr>
        <w:t xml:space="preserve">年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 xml:space="preserve">月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日</w:t>
      </w:r>
    </w:p>
    <w:p w14:paraId="2E8F50D3"/>
    <w:sectPr>
      <w:pgSz w:w="11906" w:h="16838"/>
      <w:pgMar w:top="1440" w:right="1689" w:bottom="1440" w:left="1689" w:header="851" w:footer="992" w:gutter="0"/>
      <w:pgNumType w:fmt="numberInDash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40EA43"/>
    <w:multiLevelType w:val="singleLevel"/>
    <w:tmpl w:val="9B40EA4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4F67D5F"/>
    <w:multiLevelType w:val="singleLevel"/>
    <w:tmpl w:val="04F67D5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2B96381"/>
    <w:multiLevelType w:val="singleLevel"/>
    <w:tmpl w:val="62B9638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xNzhjYzU4ZTBkNTlmMjNhNmU0NThlYTk3YjE3MGMifQ=="/>
  </w:docVars>
  <w:rsids>
    <w:rsidRoot w:val="00000000"/>
    <w:rsid w:val="229F4C72"/>
    <w:rsid w:val="37732970"/>
    <w:rsid w:val="54F00051"/>
    <w:rsid w:val="56A36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6">
    <w:name w:val="Strong"/>
    <w:autoRedefine/>
    <w:qFormat/>
    <w:uiPriority w:val="0"/>
    <w:rPr>
      <w:b/>
      <w:bCs/>
    </w:rPr>
  </w:style>
  <w:style w:type="character" w:styleId="7">
    <w:name w:val="page number"/>
    <w:basedOn w:val="5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1432</Words>
  <Characters>1561</Characters>
  <Lines>0</Lines>
  <Paragraphs>0</Paragraphs>
  <TotalTime>5</TotalTime>
  <ScaleCrop>false</ScaleCrop>
  <LinksUpToDate>false</LinksUpToDate>
  <CharactersWithSpaces>1619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2024-04-10T00:32:00Z</dcterms:created>
  <dc:creator>Administrator</dc:creator>
  <cp:lastModifiedBy>呆头呆脑の小豬</cp:lastModifiedBy>
  <dcterms:modified xsi:type="dcterms:W3CDTF">2025-03-26T01:50:30Z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1AB7709B3C1444349ECCE6DD8CBB80BE_12</vt:lpwstr>
  </property>
  <property fmtid="{D5CDD505-2E9C-101B-9397-08002B2CF9AE}" pid="4" name="KSOTemplateDocerSaveRecord">
    <vt:lpwstr>eyJoZGlkIjoiZjgxNzhjYzU4ZTBkNTlmMjNhNmU0NThlYTk3YjE3MGMiLCJ1c2VySWQiOiI0MzkxODQ2NTgifQ==</vt:lpwstr>
  </property>
</Properties>
</file>