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F5B415">
      <w:pPr>
        <w:spacing w:before="240" w:line="340" w:lineRule="exact"/>
        <w:jc w:val="left"/>
        <w:rPr>
          <w:b/>
          <w:sz w:val="24"/>
        </w:rPr>
      </w:pPr>
      <w:r>
        <w:rPr>
          <w:rFonts w:hint="eastAsia" w:ascii="仿宋_GB2312" w:hAnsi="仿宋_GB2312" w:eastAsia="仿宋_GB2312" w:cs="仿宋_GB2312"/>
          <w:b/>
          <w:sz w:val="24"/>
        </w:rPr>
        <w:t>附件2-3 </w:t>
      </w:r>
    </w:p>
    <w:p w14:paraId="32C1E531">
      <w:pPr>
        <w:spacing w:line="600" w:lineRule="exact"/>
        <w:jc w:val="center"/>
        <w:rPr>
          <w:rFonts w:hint="eastAsia" w:ascii="宋体" w:hAnsi="宋体"/>
          <w:b/>
          <w:w w:val="85"/>
          <w:sz w:val="36"/>
          <w:szCs w:val="36"/>
        </w:rPr>
      </w:pPr>
      <w:r>
        <w:rPr>
          <w:rFonts w:eastAsia="方正粗宋简体"/>
          <w:w w:val="85"/>
          <w:sz w:val="44"/>
          <w:szCs w:val="44"/>
        </w:rPr>
        <w:t> </w:t>
      </w:r>
      <w:r>
        <w:rPr>
          <w:rFonts w:hint="eastAsia" w:ascii="宋体" w:hAnsi="宋体" w:eastAsia="方正粗宋简体"/>
          <w:b/>
          <w:w w:val="85"/>
          <w:sz w:val="36"/>
          <w:szCs w:val="36"/>
          <w:lang w:eastAsia="zh-CN"/>
        </w:rPr>
        <w:t>202</w:t>
      </w:r>
      <w:r>
        <w:rPr>
          <w:rFonts w:hint="eastAsia" w:ascii="宋体" w:hAnsi="宋体" w:eastAsia="方正粗宋简体"/>
          <w:b/>
          <w:w w:val="85"/>
          <w:sz w:val="36"/>
          <w:szCs w:val="36"/>
          <w:lang w:val="en-US" w:eastAsia="zh-CN"/>
        </w:rPr>
        <w:t>4</w:t>
      </w:r>
      <w:r>
        <w:rPr>
          <w:rFonts w:ascii="宋体" w:hAnsi="宋体"/>
          <w:b/>
          <w:w w:val="85"/>
          <w:sz w:val="36"/>
          <w:szCs w:val="36"/>
        </w:rPr>
        <w:t>年度新晃县</w:t>
      </w:r>
      <w:r>
        <w:rPr>
          <w:rFonts w:hint="eastAsia" w:ascii="宋体" w:hAnsi="宋体"/>
          <w:b/>
          <w:w w:val="85"/>
          <w:sz w:val="36"/>
          <w:szCs w:val="36"/>
        </w:rPr>
        <w:t>项目</w:t>
      </w:r>
      <w:r>
        <w:rPr>
          <w:rFonts w:ascii="宋体" w:hAnsi="宋体"/>
          <w:b/>
          <w:w w:val="85"/>
          <w:sz w:val="36"/>
          <w:szCs w:val="36"/>
        </w:rPr>
        <w:t>支出</w:t>
      </w:r>
      <w:r>
        <w:rPr>
          <w:rFonts w:hint="eastAsia" w:ascii="宋体" w:hAnsi="宋体"/>
          <w:b/>
          <w:w w:val="85"/>
          <w:sz w:val="36"/>
          <w:szCs w:val="36"/>
        </w:rPr>
        <w:t>绩效</w:t>
      </w:r>
      <w:r>
        <w:rPr>
          <w:rFonts w:ascii="宋体" w:hAnsi="宋体"/>
          <w:b/>
          <w:w w:val="85"/>
          <w:sz w:val="36"/>
          <w:szCs w:val="36"/>
        </w:rPr>
        <w:t>自评报告</w:t>
      </w:r>
    </w:p>
    <w:p w14:paraId="77E1EEEC">
      <w:pPr>
        <w:spacing w:line="560" w:lineRule="exact"/>
        <w:ind w:firstLine="643" w:firstLineChars="200"/>
        <w:jc w:val="left"/>
        <w:rPr>
          <w:rFonts w:hint="eastAsia" w:ascii="宋体" w:hAnsi="宋体" w:eastAsia="宋体" w:cs="宋体"/>
          <w:b/>
          <w:bCs w:val="0"/>
          <w:sz w:val="32"/>
          <w:szCs w:val="32"/>
        </w:rPr>
      </w:pPr>
    </w:p>
    <w:p w14:paraId="2501415A">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一、基本情况</w:t>
      </w:r>
    </w:p>
    <w:p w14:paraId="00369751">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（一）项目概况。包括项目背景、主要内容及实施情况、资金投入和使用情况等。</w:t>
      </w:r>
    </w:p>
    <w:p w14:paraId="462D4575">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根据湖南省财政厅及湖南省退役军人事务厅湘财社【</w:t>
      </w:r>
      <w:r>
        <w:rPr>
          <w:rFonts w:hint="eastAsia" w:ascii="仿宋_GB2312" w:hAnsi="仿宋_GB2312" w:eastAsia="仿宋_GB2312" w:cs="仿宋_GB2312"/>
          <w:sz w:val="32"/>
          <w:szCs w:val="32"/>
          <w:lang w:val="en-US" w:eastAsia="zh-CN"/>
        </w:rPr>
        <w:t>2022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26号文件</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《财政部</w:t>
      </w:r>
      <w:r>
        <w:rPr>
          <w:rFonts w:hint="eastAsia" w:ascii="仿宋_GB2312" w:hAnsi="仿宋_GB2312" w:eastAsia="仿宋_GB2312" w:cs="仿宋_GB2312"/>
          <w:sz w:val="32"/>
          <w:szCs w:val="32"/>
          <w:lang w:val="en-US" w:eastAsia="zh-CN"/>
        </w:rPr>
        <w:t xml:space="preserve"> 退役军人部 医保局关于修改退役安置等补助资金管理办法的通知</w:t>
      </w:r>
      <w:r>
        <w:rPr>
          <w:rFonts w:hint="eastAsia" w:ascii="仿宋_GB2312" w:hAnsi="仿宋_GB2312" w:eastAsia="仿宋_GB2312" w:cs="仿宋_GB2312"/>
          <w:sz w:val="32"/>
          <w:szCs w:val="32"/>
          <w:lang w:eastAsia="zh-CN"/>
        </w:rPr>
        <w:t>》（财社【</w:t>
      </w:r>
      <w:r>
        <w:rPr>
          <w:rFonts w:hint="eastAsia" w:ascii="仿宋_GB2312" w:hAnsi="仿宋_GB2312" w:eastAsia="仿宋_GB2312" w:cs="仿宋_GB2312"/>
          <w:sz w:val="32"/>
          <w:szCs w:val="32"/>
          <w:lang w:val="en-US" w:eastAsia="zh-CN"/>
        </w:rPr>
        <w:t>2019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225号</w:t>
      </w:r>
      <w:r>
        <w:rPr>
          <w:rFonts w:hint="eastAsia" w:ascii="仿宋_GB2312" w:hAnsi="仿宋_GB2312" w:eastAsia="仿宋_GB2312" w:cs="仿宋_GB2312"/>
          <w:sz w:val="32"/>
          <w:szCs w:val="32"/>
          <w:lang w:eastAsia="zh-CN"/>
        </w:rPr>
        <w:t>），关于带病回乡和参战参试退役人员两类优抚对象补助资金管理有关事项的通知，设置本项目。</w:t>
      </w:r>
    </w:p>
    <w:p w14:paraId="73167EC0">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default" w:ascii="仿宋_GB2312" w:hAnsi="仿宋_GB2312" w:eastAsia="仿宋_GB2312" w:cs="仿宋_GB2312"/>
          <w:sz w:val="32"/>
          <w:szCs w:val="32"/>
          <w:lang w:val="en-US" w:eastAsia="zh-CN"/>
        </w:rPr>
        <w:t>带病回乡和参战参试退役人员生活补助</w:t>
      </w:r>
      <w:r>
        <w:rPr>
          <w:rFonts w:hint="eastAsia" w:ascii="仿宋_GB2312" w:hAnsi="仿宋_GB2312" w:eastAsia="仿宋_GB2312" w:cs="仿宋_GB2312"/>
          <w:sz w:val="32"/>
          <w:szCs w:val="32"/>
          <w:lang w:val="en-US" w:eastAsia="zh-CN"/>
        </w:rPr>
        <w:t>预算82.8万元，用于</w:t>
      </w:r>
      <w:r>
        <w:rPr>
          <w:rFonts w:hint="default" w:ascii="仿宋_GB2312" w:hAnsi="仿宋_GB2312" w:eastAsia="仿宋_GB2312" w:cs="仿宋_GB2312"/>
          <w:sz w:val="32"/>
          <w:szCs w:val="32"/>
          <w:lang w:val="en-US" w:eastAsia="zh-CN"/>
        </w:rPr>
        <w:t>带病回乡和参战参试退役人员</w:t>
      </w:r>
      <w:r>
        <w:rPr>
          <w:rFonts w:hint="eastAsia" w:ascii="仿宋_GB2312" w:hAnsi="仿宋_GB2312" w:eastAsia="仿宋_GB2312" w:cs="仿宋_GB2312"/>
          <w:sz w:val="32"/>
          <w:szCs w:val="32"/>
          <w:lang w:val="en-US" w:eastAsia="zh-CN"/>
        </w:rPr>
        <w:t>的生活补助。</w:t>
      </w:r>
    </w:p>
    <w:p w14:paraId="3A44C136">
      <w:pPr>
        <w:numPr>
          <w:ilvl w:val="0"/>
          <w:numId w:val="1"/>
        </w:num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项目绩效目标。</w:t>
      </w:r>
    </w:p>
    <w:p w14:paraId="11956864">
      <w:pPr>
        <w:numPr>
          <w:ilvl w:val="0"/>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总体目标</w:t>
      </w:r>
      <w:r>
        <w:rPr>
          <w:rFonts w:hint="eastAsia" w:ascii="仿宋_GB2312" w:hAnsi="仿宋_GB2312" w:eastAsia="仿宋_GB2312" w:cs="仿宋_GB2312"/>
          <w:sz w:val="32"/>
          <w:szCs w:val="32"/>
          <w:lang w:eastAsia="zh-CN"/>
        </w:rPr>
        <w:t>：落实带病回乡和参战参试退役人员生活补助，稳定军心，促进社会稳定、和谐。</w:t>
      </w:r>
    </w:p>
    <w:p w14:paraId="03F2A3DE">
      <w:pPr>
        <w:numPr>
          <w:ilvl w:val="0"/>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阶段性目标</w:t>
      </w:r>
      <w:r>
        <w:rPr>
          <w:rFonts w:hint="eastAsia" w:ascii="仿宋_GB2312" w:hAnsi="仿宋_GB2312" w:eastAsia="仿宋_GB2312" w:cs="仿宋_GB2312"/>
          <w:sz w:val="32"/>
          <w:szCs w:val="32"/>
          <w:lang w:eastAsia="zh-CN"/>
        </w:rPr>
        <w:t>：按质按量按时拨付带病回乡和参战参试退役人员生活补助，提升相关人员生活质量。</w:t>
      </w:r>
    </w:p>
    <w:p w14:paraId="33C999C8">
      <w:pPr>
        <w:numPr>
          <w:ilvl w:val="0"/>
          <w:numId w:val="0"/>
        </w:num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二、绩效评价工作开展情况</w:t>
      </w:r>
    </w:p>
    <w:p w14:paraId="5193FBDA">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14:paraId="6D2075F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（1）严格执行《预算法》，强化支出责任，提高项目资金使用效益，对项目支出情况开展绩效评价，践行“花钱必问效、无效必问责”。</w:t>
      </w:r>
    </w:p>
    <w:p w14:paraId="1E1E40C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通过对项目资金的绩效评价，进一步了解和掌握项目实施的具体情况，评价其项目资金安排的科学性、合理性、规范性和资金使用成效，及时总结项目管理经验，完善项目管理办法，提高项目管理水平和资金的使用效益。</w:t>
      </w:r>
    </w:p>
    <w:p w14:paraId="7495B9D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（3）促使项目承担科室及项目分管领导，对绩效评价中发现的问题，认真整改，及时调整和完善单位的工作计划和绩效目标，提高管理水平，同时为项目后续资金投入、分配和管理提供决策依据。</w:t>
      </w:r>
    </w:p>
    <w:p w14:paraId="3B1A255C">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Times New Roman" w:hAnsi="Times New Roman" w:eastAsia="仿宋_GB2312" w:cs="Times New Roman"/>
          <w:sz w:val="32"/>
          <w:szCs w:val="32"/>
          <w:lang w:val="en-US" w:eastAsia="zh-CN" w:bidi="ar-SA"/>
        </w:rPr>
        <w:t>（4）</w:t>
      </w:r>
      <w:r>
        <w:rPr>
          <w:rFonts w:hint="eastAsia" w:ascii="仿宋_GB2312" w:hAnsi="仿宋_GB2312" w:eastAsia="仿宋_GB2312" w:cs="仿宋_GB2312"/>
          <w:sz w:val="32"/>
          <w:szCs w:val="32"/>
          <w:lang w:val="en-US" w:eastAsia="zh-CN"/>
        </w:rPr>
        <w:t>2024年</w:t>
      </w:r>
      <w:r>
        <w:rPr>
          <w:rFonts w:hint="default" w:ascii="仿宋_GB2312" w:hAnsi="仿宋_GB2312" w:eastAsia="仿宋_GB2312" w:cs="仿宋_GB2312"/>
          <w:sz w:val="32"/>
          <w:szCs w:val="32"/>
          <w:lang w:val="en-US" w:eastAsia="zh-CN"/>
        </w:rPr>
        <w:t>带病回乡和参战参试退役人员生活补助</w:t>
      </w:r>
      <w:r>
        <w:rPr>
          <w:rFonts w:hint="eastAsia" w:ascii="仿宋_GB2312" w:hAnsi="仿宋_GB2312" w:eastAsia="仿宋_GB2312" w:cs="仿宋_GB2312"/>
          <w:sz w:val="32"/>
          <w:szCs w:val="32"/>
          <w:lang w:val="en-US" w:eastAsia="zh-CN"/>
        </w:rPr>
        <w:t>预算82.8万元，用于</w:t>
      </w:r>
      <w:r>
        <w:rPr>
          <w:rFonts w:hint="default" w:ascii="仿宋_GB2312" w:hAnsi="仿宋_GB2312" w:eastAsia="仿宋_GB2312" w:cs="仿宋_GB2312"/>
          <w:sz w:val="32"/>
          <w:szCs w:val="32"/>
          <w:lang w:val="en-US" w:eastAsia="zh-CN"/>
        </w:rPr>
        <w:t>带病回乡和参战参试退役人员</w:t>
      </w:r>
      <w:r>
        <w:rPr>
          <w:rFonts w:hint="eastAsia" w:ascii="仿宋_GB2312" w:hAnsi="仿宋_GB2312" w:eastAsia="仿宋_GB2312" w:cs="仿宋_GB2312"/>
          <w:sz w:val="32"/>
          <w:szCs w:val="32"/>
          <w:lang w:val="en-US" w:eastAsia="zh-CN"/>
        </w:rPr>
        <w:t>的生活补助。</w:t>
      </w:r>
    </w:p>
    <w:p w14:paraId="7A2FBF20">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（二）绩效评价原则、评价指标体系（附表说明）、评价方法、评价标准等。</w:t>
      </w:r>
    </w:p>
    <w:p w14:paraId="580C596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（1）科学公正。绩效评价应当运用科学合理的方法，按照规范的程序，对项目绩效进行客观、公正地反映。</w:t>
      </w:r>
    </w:p>
    <w:p w14:paraId="2A15695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（2）统筹兼顾。单位自评、部门评价和财政评价应职责明确，各有侧重，相互衔接。单位自评应由项目单位自主实施，即“谁支出、谁自评”。部门评价和财政评价应在单位自评的基础上开展。</w:t>
      </w:r>
    </w:p>
    <w:p w14:paraId="20CC081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（3）激励约束。绩效评价结果应与预算安排、政策调整、改进管理实质性挂钩，体现奖优罚劣和激励相容导向，有效要安排、低效要压减、无效要问责。</w:t>
      </w:r>
    </w:p>
    <w:p w14:paraId="19EC44D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（4）公开透明。绩效评价结果应依法依规公开，并自觉接受社会监督。</w:t>
      </w:r>
    </w:p>
    <w:tbl>
      <w:tblPr>
        <w:tblStyle w:val="4"/>
        <w:tblW w:w="951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25"/>
        <w:gridCol w:w="1004"/>
        <w:gridCol w:w="1190"/>
        <w:gridCol w:w="3513"/>
        <w:gridCol w:w="2487"/>
      </w:tblGrid>
      <w:tr w14:paraId="3C620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3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4ED7C0">
            <w:pPr>
              <w:keepNext w:val="0"/>
              <w:keepLines w:val="0"/>
              <w:widowControl/>
              <w:suppressLineNumbers w:val="0"/>
              <w:ind w:left="1" w:leftChars="0"/>
              <w:jc w:val="center"/>
              <w:textAlignment w:val="center"/>
              <w:rPr>
                <w:rFonts w:ascii="Arial Unicode MS" w:hAnsi="Arial Unicode MS" w:eastAsia="Arial Unicode MS" w:cs="Arial Unicode MS"/>
                <w:i w:val="0"/>
                <w:iCs w:val="0"/>
                <w:color w:val="000000"/>
                <w:sz w:val="16"/>
                <w:szCs w:val="16"/>
                <w:u w:val="none"/>
              </w:rPr>
            </w:pPr>
            <w:r>
              <w:rPr>
                <w:rFonts w:hint="eastAsia" w:ascii="微软雅黑" w:hAnsi="微软雅黑" w:eastAsia="微软雅黑" w:cs="微软雅黑"/>
                <w:i w:val="0"/>
                <w:iCs w:val="0"/>
                <w:color w:val="000000"/>
                <w:kern w:val="0"/>
                <w:sz w:val="22"/>
                <w:szCs w:val="22"/>
                <w:u w:val="none"/>
                <w:lang w:val="en-US" w:eastAsia="zh-CN" w:bidi="ar"/>
              </w:rPr>
              <w:t>绩效指标</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6EECB">
            <w:pPr>
              <w:keepNext w:val="0"/>
              <w:keepLines w:val="0"/>
              <w:widowControl/>
              <w:suppressLineNumbers w:val="0"/>
              <w:ind w:left="1" w:leftChars="0"/>
              <w:jc w:val="center"/>
              <w:textAlignment w:val="center"/>
              <w:rPr>
                <w:rFonts w:hint="default" w:ascii="Arial Unicode MS" w:hAnsi="Arial Unicode MS" w:eastAsia="Arial Unicode MS" w:cs="Arial Unicode MS"/>
                <w:i w:val="0"/>
                <w:iCs w:val="0"/>
                <w:color w:val="000000"/>
                <w:sz w:val="16"/>
                <w:szCs w:val="16"/>
                <w:u w:val="none"/>
              </w:rPr>
            </w:pPr>
            <w:r>
              <w:rPr>
                <w:rFonts w:hint="eastAsia" w:ascii="微软雅黑" w:hAnsi="微软雅黑" w:eastAsia="微软雅黑" w:cs="微软雅黑"/>
                <w:b/>
                <w:bCs/>
                <w:i w:val="0"/>
                <w:iCs w:val="0"/>
                <w:color w:val="000000"/>
                <w:kern w:val="0"/>
                <w:sz w:val="22"/>
                <w:szCs w:val="22"/>
                <w:u w:val="none"/>
                <w:lang w:val="en-US" w:eastAsia="zh-CN" w:bidi="ar"/>
              </w:rPr>
              <w:t>一级指标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1E564">
            <w:pPr>
              <w:keepNext w:val="0"/>
              <w:keepLines w:val="0"/>
              <w:widowControl/>
              <w:suppressLineNumbers w:val="0"/>
              <w:ind w:left="1" w:leftChars="0"/>
              <w:jc w:val="center"/>
              <w:textAlignment w:val="center"/>
              <w:rPr>
                <w:rFonts w:hint="default" w:ascii="Arial Unicode MS" w:hAnsi="Arial Unicode MS" w:eastAsia="Arial Unicode MS" w:cs="Arial Unicode MS"/>
                <w:i w:val="0"/>
                <w:iCs w:val="0"/>
                <w:color w:val="000000"/>
                <w:sz w:val="16"/>
                <w:szCs w:val="16"/>
                <w:u w:val="none"/>
              </w:rPr>
            </w:pPr>
            <w:r>
              <w:rPr>
                <w:rFonts w:hint="eastAsia" w:ascii="微软雅黑" w:hAnsi="微软雅黑" w:eastAsia="微软雅黑" w:cs="微软雅黑"/>
                <w:b/>
                <w:bCs/>
                <w:i w:val="0"/>
                <w:iCs w:val="0"/>
                <w:color w:val="000000"/>
                <w:kern w:val="0"/>
                <w:sz w:val="22"/>
                <w:szCs w:val="22"/>
                <w:u w:val="none"/>
                <w:lang w:val="en-US" w:eastAsia="zh-CN" w:bidi="ar"/>
              </w:rPr>
              <w:t>二级指标</w:t>
            </w:r>
          </w:p>
        </w:tc>
        <w:tc>
          <w:tcPr>
            <w:tcW w:w="3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AF719">
            <w:pPr>
              <w:keepNext w:val="0"/>
              <w:keepLines w:val="0"/>
              <w:widowControl/>
              <w:suppressLineNumbers w:val="0"/>
              <w:ind w:left="1" w:leftChars="0"/>
              <w:jc w:val="center"/>
              <w:textAlignment w:val="center"/>
              <w:rPr>
                <w:rFonts w:hint="default" w:ascii="Arial Unicode MS" w:hAnsi="Arial Unicode MS" w:eastAsia="Arial Unicode MS" w:cs="Arial Unicode MS"/>
                <w:i w:val="0"/>
                <w:iCs w:val="0"/>
                <w:color w:val="000000"/>
                <w:sz w:val="16"/>
                <w:szCs w:val="16"/>
                <w:u w:val="none"/>
              </w:rPr>
            </w:pPr>
            <w:r>
              <w:rPr>
                <w:rFonts w:hint="eastAsia" w:ascii="微软雅黑" w:hAnsi="微软雅黑" w:eastAsia="微软雅黑" w:cs="微软雅黑"/>
                <w:b/>
                <w:bCs/>
                <w:i w:val="0"/>
                <w:iCs w:val="0"/>
                <w:color w:val="000000"/>
                <w:kern w:val="0"/>
                <w:sz w:val="22"/>
                <w:szCs w:val="22"/>
                <w:u w:val="none"/>
                <w:lang w:val="en-US" w:eastAsia="zh-CN" w:bidi="ar"/>
              </w:rPr>
              <w:t>三级指标</w:t>
            </w:r>
          </w:p>
        </w:tc>
        <w:tc>
          <w:tcPr>
            <w:tcW w:w="2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E36EA">
            <w:pPr>
              <w:keepNext w:val="0"/>
              <w:keepLines w:val="0"/>
              <w:widowControl/>
              <w:suppressLineNumbers w:val="0"/>
              <w:ind w:left="1" w:leftChars="0"/>
              <w:jc w:val="center"/>
              <w:textAlignment w:val="center"/>
              <w:rPr>
                <w:rFonts w:hint="default" w:ascii="Arial Unicode MS" w:hAnsi="Arial Unicode MS" w:eastAsia="Arial Unicode MS" w:cs="Arial Unicode MS"/>
                <w:i w:val="0"/>
                <w:iCs w:val="0"/>
                <w:color w:val="000000"/>
                <w:sz w:val="16"/>
                <w:szCs w:val="16"/>
                <w:u w:val="none"/>
              </w:rPr>
            </w:pPr>
            <w:r>
              <w:rPr>
                <w:rFonts w:hint="eastAsia" w:ascii="微软雅黑" w:hAnsi="微软雅黑" w:eastAsia="微软雅黑" w:cs="微软雅黑"/>
                <w:b/>
                <w:bCs/>
                <w:i w:val="0"/>
                <w:iCs w:val="0"/>
                <w:color w:val="000000"/>
                <w:kern w:val="0"/>
                <w:sz w:val="22"/>
                <w:szCs w:val="22"/>
                <w:u w:val="none"/>
                <w:lang w:val="en-US" w:eastAsia="zh-CN" w:bidi="ar"/>
              </w:rPr>
              <w:t>年度指标值</w:t>
            </w:r>
          </w:p>
        </w:tc>
      </w:tr>
      <w:tr w14:paraId="1E829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0CE49">
            <w:pPr>
              <w:jc w:val="center"/>
              <w:rPr>
                <w:rFonts w:hint="eastAsia" w:ascii="宋体" w:hAnsi="宋体" w:eastAsia="宋体" w:cs="宋体"/>
                <w:i w:val="0"/>
                <w:iCs w:val="0"/>
                <w:color w:val="000000"/>
                <w:sz w:val="16"/>
                <w:szCs w:val="16"/>
                <w:u w:val="none"/>
              </w:rPr>
            </w:pPr>
          </w:p>
        </w:tc>
        <w:tc>
          <w:tcPr>
            <w:tcW w:w="10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DF3275">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产出指标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5334C">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数量指标</w:t>
            </w:r>
          </w:p>
        </w:tc>
        <w:tc>
          <w:tcPr>
            <w:tcW w:w="3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22D58">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带病回乡和参战参试退役人员人数</w:t>
            </w:r>
          </w:p>
        </w:tc>
        <w:tc>
          <w:tcPr>
            <w:tcW w:w="2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507C8">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483</w:t>
            </w:r>
          </w:p>
        </w:tc>
      </w:tr>
      <w:tr w14:paraId="1FBBE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AF4A0">
            <w:pPr>
              <w:jc w:val="center"/>
              <w:rPr>
                <w:rFonts w:hint="eastAsia" w:ascii="宋体" w:hAnsi="宋体" w:eastAsia="宋体" w:cs="宋体"/>
                <w:i w:val="0"/>
                <w:iCs w:val="0"/>
                <w:color w:val="000000"/>
                <w:sz w:val="16"/>
                <w:szCs w:val="16"/>
                <w:u w:val="none"/>
              </w:rPr>
            </w:pPr>
          </w:p>
        </w:tc>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AB74B8">
            <w:pPr>
              <w:jc w:val="center"/>
              <w:rPr>
                <w:rFonts w:hint="eastAsia" w:ascii="宋体" w:hAnsi="宋体" w:eastAsia="宋体" w:cs="宋体"/>
                <w:i w:val="0"/>
                <w:iCs w:val="0"/>
                <w:color w:val="000000"/>
                <w:sz w:val="16"/>
                <w:szCs w:val="16"/>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4DA78">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质量指标</w:t>
            </w:r>
          </w:p>
        </w:tc>
        <w:tc>
          <w:tcPr>
            <w:tcW w:w="3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41F37">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补助资金发放准确率</w:t>
            </w:r>
          </w:p>
        </w:tc>
        <w:tc>
          <w:tcPr>
            <w:tcW w:w="2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3FA00">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100%</w:t>
            </w:r>
          </w:p>
        </w:tc>
      </w:tr>
      <w:tr w14:paraId="68A17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7381C">
            <w:pPr>
              <w:jc w:val="center"/>
              <w:rPr>
                <w:rFonts w:hint="eastAsia" w:ascii="宋体" w:hAnsi="宋体" w:eastAsia="宋体" w:cs="宋体"/>
                <w:i w:val="0"/>
                <w:iCs w:val="0"/>
                <w:color w:val="000000"/>
                <w:sz w:val="16"/>
                <w:szCs w:val="16"/>
                <w:u w:val="none"/>
              </w:rPr>
            </w:pPr>
          </w:p>
        </w:tc>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EDFE28">
            <w:pPr>
              <w:jc w:val="center"/>
              <w:rPr>
                <w:rFonts w:hint="eastAsia" w:ascii="宋体" w:hAnsi="宋体" w:eastAsia="宋体" w:cs="宋体"/>
                <w:i w:val="0"/>
                <w:iCs w:val="0"/>
                <w:color w:val="000000"/>
                <w:sz w:val="16"/>
                <w:szCs w:val="16"/>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A1AF7">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时效指标</w:t>
            </w:r>
          </w:p>
        </w:tc>
        <w:tc>
          <w:tcPr>
            <w:tcW w:w="3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6323F">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补助资金发放及时率</w:t>
            </w:r>
          </w:p>
        </w:tc>
        <w:tc>
          <w:tcPr>
            <w:tcW w:w="2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5C183">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100%</w:t>
            </w:r>
          </w:p>
        </w:tc>
      </w:tr>
      <w:tr w14:paraId="413A3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1E866D">
            <w:pPr>
              <w:jc w:val="center"/>
              <w:rPr>
                <w:rFonts w:hint="eastAsia" w:ascii="宋体" w:hAnsi="宋体" w:eastAsia="宋体" w:cs="宋体"/>
                <w:i w:val="0"/>
                <w:iCs w:val="0"/>
                <w:color w:val="000000"/>
                <w:sz w:val="16"/>
                <w:szCs w:val="16"/>
                <w:u w:val="none"/>
              </w:rPr>
            </w:pPr>
          </w:p>
        </w:tc>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3876F">
            <w:pPr>
              <w:jc w:val="center"/>
              <w:rPr>
                <w:rFonts w:hint="eastAsia" w:ascii="宋体" w:hAnsi="宋体" w:eastAsia="宋体" w:cs="宋体"/>
                <w:i w:val="0"/>
                <w:iCs w:val="0"/>
                <w:color w:val="000000"/>
                <w:sz w:val="16"/>
                <w:szCs w:val="16"/>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371BC">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社会效益指标</w:t>
            </w:r>
          </w:p>
        </w:tc>
        <w:tc>
          <w:tcPr>
            <w:tcW w:w="3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37F48">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带病回乡和参战参试退役人员受益率</w:t>
            </w:r>
          </w:p>
        </w:tc>
        <w:tc>
          <w:tcPr>
            <w:tcW w:w="2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D4AEC">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100%</w:t>
            </w:r>
          </w:p>
        </w:tc>
      </w:tr>
      <w:tr w14:paraId="63803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86BB3">
            <w:pPr>
              <w:jc w:val="center"/>
              <w:rPr>
                <w:rFonts w:hint="eastAsia" w:ascii="宋体" w:hAnsi="宋体" w:eastAsia="宋体" w:cs="宋体"/>
                <w:i w:val="0"/>
                <w:iCs w:val="0"/>
                <w:color w:val="000000"/>
                <w:sz w:val="16"/>
                <w:szCs w:val="16"/>
                <w:u w:val="none"/>
              </w:rPr>
            </w:pPr>
          </w:p>
        </w:tc>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E1C736">
            <w:pPr>
              <w:jc w:val="center"/>
              <w:rPr>
                <w:rFonts w:hint="eastAsia" w:ascii="宋体" w:hAnsi="宋体" w:eastAsia="宋体" w:cs="宋体"/>
                <w:i w:val="0"/>
                <w:iCs w:val="0"/>
                <w:color w:val="000000"/>
                <w:sz w:val="16"/>
                <w:szCs w:val="16"/>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0F080">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可持续影响指标</w:t>
            </w:r>
          </w:p>
        </w:tc>
        <w:tc>
          <w:tcPr>
            <w:tcW w:w="3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BB639">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稳定军心，促进社会稳定、和谐</w:t>
            </w:r>
          </w:p>
        </w:tc>
        <w:tc>
          <w:tcPr>
            <w:tcW w:w="2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3082B">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效果明显</w:t>
            </w:r>
          </w:p>
        </w:tc>
      </w:tr>
      <w:tr w14:paraId="4FD3B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D6204">
            <w:pPr>
              <w:jc w:val="center"/>
              <w:rPr>
                <w:rFonts w:hint="eastAsia" w:ascii="宋体" w:hAnsi="宋体" w:eastAsia="宋体" w:cs="宋体"/>
                <w:i w:val="0"/>
                <w:iCs w:val="0"/>
                <w:color w:val="000000"/>
                <w:sz w:val="16"/>
                <w:szCs w:val="16"/>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16C8F">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满意度指标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84BE9">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服务对象满意度指标</w:t>
            </w:r>
          </w:p>
        </w:tc>
        <w:tc>
          <w:tcPr>
            <w:tcW w:w="3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F7E4B">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w:t>
            </w:r>
          </w:p>
        </w:tc>
        <w:tc>
          <w:tcPr>
            <w:tcW w:w="2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7A970">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90%</w:t>
            </w:r>
          </w:p>
        </w:tc>
      </w:tr>
      <w:tr w14:paraId="17F03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4CC5D7">
            <w:pPr>
              <w:jc w:val="center"/>
              <w:rPr>
                <w:rFonts w:hint="eastAsia" w:ascii="宋体" w:hAnsi="宋体" w:eastAsia="宋体" w:cs="宋体"/>
                <w:i w:val="0"/>
                <w:iCs w:val="0"/>
                <w:color w:val="000000"/>
                <w:sz w:val="16"/>
                <w:szCs w:val="16"/>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1B10A">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成本指标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F3E1F">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经济成本指标</w:t>
            </w:r>
          </w:p>
        </w:tc>
        <w:tc>
          <w:tcPr>
            <w:tcW w:w="3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97DAD">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带病回乡和参战参试退役人员月生活补助</w:t>
            </w:r>
          </w:p>
        </w:tc>
        <w:tc>
          <w:tcPr>
            <w:tcW w:w="2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1B3F8">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780</w:t>
            </w:r>
          </w:p>
        </w:tc>
      </w:tr>
    </w:tbl>
    <w:p w14:paraId="636B32AC">
      <w:pPr>
        <w:spacing w:line="560" w:lineRule="exact"/>
        <w:ind w:firstLine="640" w:firstLineChars="200"/>
        <w:jc w:val="left"/>
        <w:rPr>
          <w:rFonts w:hint="eastAsia" w:ascii="仿宋_GB2312" w:hAnsi="仿宋_GB2312" w:eastAsia="仿宋_GB2312" w:cs="仿宋_GB2312"/>
          <w:sz w:val="32"/>
          <w:szCs w:val="32"/>
        </w:rPr>
      </w:pPr>
    </w:p>
    <w:p w14:paraId="073783EC">
      <w:pPr>
        <w:numPr>
          <w:ilvl w:val="0"/>
          <w:numId w:val="1"/>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绩效评价工作过程。</w:t>
      </w:r>
    </w:p>
    <w:p w14:paraId="573C28F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1.成立绩效评价领导小组；</w:t>
      </w:r>
    </w:p>
    <w:p w14:paraId="3AFB66D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2.组织相关人员进行培训；</w:t>
      </w:r>
    </w:p>
    <w:p w14:paraId="25C209F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3.收集相关资料；</w:t>
      </w:r>
    </w:p>
    <w:p w14:paraId="389DE79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4.分析资料、汇总评价数据；</w:t>
      </w:r>
    </w:p>
    <w:p w14:paraId="05EB042F">
      <w:pPr>
        <w:numPr>
          <w:ilvl w:val="0"/>
          <w:numId w:val="0"/>
        </w:numPr>
        <w:spacing w:line="560" w:lineRule="exact"/>
        <w:ind w:leftChars="200"/>
        <w:jc w:val="left"/>
        <w:rPr>
          <w:rFonts w:hint="eastAsia" w:ascii="仿宋_GB2312" w:eastAsia="仿宋_GB2312"/>
          <w:sz w:val="32"/>
          <w:szCs w:val="32"/>
        </w:rPr>
      </w:pPr>
      <w:r>
        <w:rPr>
          <w:rFonts w:hint="eastAsia" w:ascii="Times New Roman" w:hAnsi="Times New Roman" w:eastAsia="仿宋_GB2312" w:cs="Times New Roman"/>
          <w:sz w:val="32"/>
          <w:szCs w:val="32"/>
          <w:lang w:val="en-US" w:eastAsia="zh-CN" w:bidi="ar-SA"/>
        </w:rPr>
        <w:t>　5.填写项目支出绩效单位自评表，撰写绩效自评报告</w:t>
      </w:r>
    </w:p>
    <w:p w14:paraId="63302DAA">
      <w:pPr>
        <w:numPr>
          <w:ilvl w:val="0"/>
          <w:numId w:val="0"/>
        </w:numPr>
        <w:spacing w:line="560" w:lineRule="exact"/>
        <w:ind w:leftChars="200"/>
        <w:jc w:val="left"/>
        <w:rPr>
          <w:rFonts w:hint="eastAsia" w:ascii="仿宋_GB2312" w:hAnsi="仿宋_GB2312" w:eastAsia="仿宋_GB2312" w:cs="仿宋_GB2312"/>
          <w:sz w:val="32"/>
          <w:szCs w:val="32"/>
        </w:rPr>
      </w:pPr>
    </w:p>
    <w:p w14:paraId="069126BC">
      <w:pPr>
        <w:numPr>
          <w:ilvl w:val="0"/>
          <w:numId w:val="2"/>
        </w:num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综合评价情况及评价结论</w:t>
      </w:r>
      <w:r>
        <w:rPr>
          <w:rFonts w:hint="eastAsia" w:ascii="仿宋_GB2312" w:hAnsi="仿宋_GB2312" w:eastAsia="仿宋_GB2312" w:cs="仿宋_GB2312"/>
          <w:bCs/>
          <w:sz w:val="32"/>
          <w:szCs w:val="32"/>
        </w:rPr>
        <w:t>（附相关评分表）</w:t>
      </w:r>
    </w:p>
    <w:tbl>
      <w:tblPr>
        <w:tblStyle w:val="4"/>
        <w:tblW w:w="86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0"/>
        <w:gridCol w:w="1830"/>
        <w:gridCol w:w="2025"/>
        <w:gridCol w:w="1200"/>
        <w:gridCol w:w="1200"/>
        <w:gridCol w:w="525"/>
        <w:gridCol w:w="780"/>
      </w:tblGrid>
      <w:tr w14:paraId="4D9F1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50" w:type="dxa"/>
            <w:vMerge w:val="restart"/>
            <w:tcBorders>
              <w:top w:val="nil"/>
              <w:left w:val="single" w:color="000000" w:sz="8" w:space="0"/>
              <w:bottom w:val="single" w:color="000000" w:sz="8" w:space="0"/>
              <w:right w:val="single" w:color="000000" w:sz="8" w:space="0"/>
            </w:tcBorders>
            <w:shd w:val="clear" w:color="auto" w:fill="auto"/>
            <w:vAlign w:val="center"/>
          </w:tcPr>
          <w:p w14:paraId="110F4305">
            <w:pPr>
              <w:keepNext w:val="0"/>
              <w:keepLines w:val="0"/>
              <w:widowControl/>
              <w:suppressLineNumbers w:val="0"/>
              <w:jc w:val="center"/>
              <w:textAlignment w:val="center"/>
              <w:rPr>
                <w:rFonts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一级指标</w:t>
            </w:r>
          </w:p>
        </w:tc>
        <w:tc>
          <w:tcPr>
            <w:tcW w:w="1830" w:type="dxa"/>
            <w:vMerge w:val="restart"/>
            <w:tcBorders>
              <w:top w:val="nil"/>
              <w:left w:val="single" w:color="000000" w:sz="8" w:space="0"/>
              <w:bottom w:val="single" w:color="000000" w:sz="8" w:space="0"/>
              <w:right w:val="single" w:color="000000" w:sz="8" w:space="0"/>
            </w:tcBorders>
            <w:shd w:val="clear" w:color="auto" w:fill="auto"/>
            <w:vAlign w:val="center"/>
          </w:tcPr>
          <w:p w14:paraId="5D1D3950">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二级指标</w:t>
            </w:r>
          </w:p>
        </w:tc>
        <w:tc>
          <w:tcPr>
            <w:tcW w:w="2025" w:type="dxa"/>
            <w:vMerge w:val="restart"/>
            <w:tcBorders>
              <w:top w:val="nil"/>
              <w:left w:val="single" w:color="000000" w:sz="8" w:space="0"/>
              <w:bottom w:val="single" w:color="000000" w:sz="8" w:space="0"/>
              <w:right w:val="single" w:color="000000" w:sz="8" w:space="0"/>
            </w:tcBorders>
            <w:shd w:val="clear" w:color="auto" w:fill="auto"/>
            <w:vAlign w:val="center"/>
          </w:tcPr>
          <w:p w14:paraId="4CE0DF5A">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三级指标</w:t>
            </w:r>
          </w:p>
        </w:tc>
        <w:tc>
          <w:tcPr>
            <w:tcW w:w="1200" w:type="dxa"/>
            <w:vMerge w:val="restart"/>
            <w:tcBorders>
              <w:top w:val="nil"/>
              <w:left w:val="nil"/>
              <w:bottom w:val="single" w:color="000000" w:sz="8" w:space="0"/>
              <w:right w:val="nil"/>
            </w:tcBorders>
            <w:shd w:val="clear" w:color="auto" w:fill="auto"/>
            <w:vAlign w:val="center"/>
          </w:tcPr>
          <w:p w14:paraId="1224B4C5">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年度指标值</w:t>
            </w:r>
          </w:p>
        </w:tc>
        <w:tc>
          <w:tcPr>
            <w:tcW w:w="1200" w:type="dxa"/>
            <w:vMerge w:val="restart"/>
            <w:tcBorders>
              <w:top w:val="nil"/>
              <w:left w:val="single" w:color="000000" w:sz="8" w:space="0"/>
              <w:bottom w:val="single" w:color="000000" w:sz="8" w:space="0"/>
              <w:right w:val="nil"/>
            </w:tcBorders>
            <w:shd w:val="clear" w:color="auto" w:fill="auto"/>
            <w:vAlign w:val="center"/>
          </w:tcPr>
          <w:p w14:paraId="7C69246B">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实际完成值</w:t>
            </w:r>
          </w:p>
        </w:tc>
        <w:tc>
          <w:tcPr>
            <w:tcW w:w="525" w:type="dxa"/>
            <w:vMerge w:val="restart"/>
            <w:tcBorders>
              <w:top w:val="nil"/>
              <w:left w:val="single" w:color="000000" w:sz="8" w:space="0"/>
              <w:bottom w:val="single" w:color="000000" w:sz="8" w:space="0"/>
              <w:right w:val="single" w:color="000000" w:sz="8" w:space="0"/>
            </w:tcBorders>
            <w:shd w:val="clear" w:color="auto" w:fill="auto"/>
            <w:vAlign w:val="center"/>
          </w:tcPr>
          <w:p w14:paraId="2D19886D">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分值</w:t>
            </w:r>
          </w:p>
        </w:tc>
        <w:tc>
          <w:tcPr>
            <w:tcW w:w="780" w:type="dxa"/>
            <w:vMerge w:val="restart"/>
            <w:tcBorders>
              <w:top w:val="nil"/>
              <w:left w:val="single" w:color="000000" w:sz="8" w:space="0"/>
              <w:bottom w:val="single" w:color="000000" w:sz="8" w:space="0"/>
              <w:right w:val="single" w:color="000000" w:sz="8" w:space="0"/>
            </w:tcBorders>
            <w:shd w:val="clear" w:color="auto" w:fill="auto"/>
            <w:vAlign w:val="center"/>
          </w:tcPr>
          <w:p w14:paraId="55A4707F">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得分</w:t>
            </w:r>
          </w:p>
        </w:tc>
      </w:tr>
      <w:tr w14:paraId="09FC8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4FF03A85">
            <w:pPr>
              <w:jc w:val="center"/>
              <w:rPr>
                <w:rFonts w:hint="eastAsia" w:ascii="微软雅黑" w:hAnsi="微软雅黑" w:eastAsia="微软雅黑" w:cs="微软雅黑"/>
                <w:b/>
                <w:bCs/>
                <w:i w:val="0"/>
                <w:iCs w:val="0"/>
                <w:color w:val="000000"/>
                <w:sz w:val="22"/>
                <w:szCs w:val="22"/>
                <w:u w:val="none"/>
              </w:rPr>
            </w:pPr>
          </w:p>
        </w:tc>
        <w:tc>
          <w:tcPr>
            <w:tcW w:w="1830" w:type="dxa"/>
            <w:vMerge w:val="continue"/>
            <w:tcBorders>
              <w:top w:val="nil"/>
              <w:left w:val="single" w:color="000000" w:sz="8" w:space="0"/>
              <w:bottom w:val="single" w:color="000000" w:sz="8" w:space="0"/>
              <w:right w:val="single" w:color="000000" w:sz="8" w:space="0"/>
            </w:tcBorders>
            <w:shd w:val="clear" w:color="auto" w:fill="auto"/>
            <w:vAlign w:val="center"/>
          </w:tcPr>
          <w:p w14:paraId="093E6A39">
            <w:pPr>
              <w:jc w:val="center"/>
              <w:rPr>
                <w:rFonts w:hint="eastAsia" w:ascii="微软雅黑" w:hAnsi="微软雅黑" w:eastAsia="微软雅黑" w:cs="微软雅黑"/>
                <w:b/>
                <w:bCs/>
                <w:i w:val="0"/>
                <w:iCs w:val="0"/>
                <w:color w:val="000000"/>
                <w:sz w:val="22"/>
                <w:szCs w:val="22"/>
                <w:u w:val="none"/>
              </w:rPr>
            </w:pPr>
          </w:p>
        </w:tc>
        <w:tc>
          <w:tcPr>
            <w:tcW w:w="2025" w:type="dxa"/>
            <w:vMerge w:val="continue"/>
            <w:tcBorders>
              <w:top w:val="nil"/>
              <w:left w:val="single" w:color="000000" w:sz="8" w:space="0"/>
              <w:bottom w:val="single" w:color="000000" w:sz="8" w:space="0"/>
              <w:right w:val="single" w:color="000000" w:sz="8" w:space="0"/>
            </w:tcBorders>
            <w:shd w:val="clear" w:color="auto" w:fill="auto"/>
            <w:vAlign w:val="center"/>
          </w:tcPr>
          <w:p w14:paraId="612D6148">
            <w:pPr>
              <w:jc w:val="center"/>
              <w:rPr>
                <w:rFonts w:hint="eastAsia" w:ascii="微软雅黑" w:hAnsi="微软雅黑" w:eastAsia="微软雅黑" w:cs="微软雅黑"/>
                <w:b/>
                <w:bCs/>
                <w:i w:val="0"/>
                <w:iCs w:val="0"/>
                <w:color w:val="000000"/>
                <w:sz w:val="22"/>
                <w:szCs w:val="22"/>
                <w:u w:val="none"/>
              </w:rPr>
            </w:pPr>
          </w:p>
        </w:tc>
        <w:tc>
          <w:tcPr>
            <w:tcW w:w="1200" w:type="dxa"/>
            <w:vMerge w:val="continue"/>
            <w:tcBorders>
              <w:top w:val="nil"/>
              <w:left w:val="nil"/>
              <w:bottom w:val="single" w:color="000000" w:sz="8" w:space="0"/>
              <w:right w:val="nil"/>
            </w:tcBorders>
            <w:shd w:val="clear" w:color="auto" w:fill="auto"/>
            <w:vAlign w:val="center"/>
          </w:tcPr>
          <w:p w14:paraId="697C6759">
            <w:pPr>
              <w:jc w:val="center"/>
              <w:rPr>
                <w:rFonts w:hint="eastAsia" w:ascii="微软雅黑" w:hAnsi="微软雅黑" w:eastAsia="微软雅黑" w:cs="微软雅黑"/>
                <w:b/>
                <w:bCs/>
                <w:i w:val="0"/>
                <w:iCs w:val="0"/>
                <w:color w:val="000000"/>
                <w:sz w:val="22"/>
                <w:szCs w:val="22"/>
                <w:u w:val="none"/>
              </w:rPr>
            </w:pPr>
          </w:p>
        </w:tc>
        <w:tc>
          <w:tcPr>
            <w:tcW w:w="1200" w:type="dxa"/>
            <w:vMerge w:val="continue"/>
            <w:tcBorders>
              <w:top w:val="nil"/>
              <w:left w:val="single" w:color="000000" w:sz="8" w:space="0"/>
              <w:bottom w:val="single" w:color="000000" w:sz="8" w:space="0"/>
              <w:right w:val="nil"/>
            </w:tcBorders>
            <w:shd w:val="clear" w:color="auto" w:fill="auto"/>
            <w:vAlign w:val="center"/>
          </w:tcPr>
          <w:p w14:paraId="162937E5">
            <w:pPr>
              <w:jc w:val="center"/>
              <w:rPr>
                <w:rFonts w:hint="eastAsia" w:ascii="微软雅黑" w:hAnsi="微软雅黑" w:eastAsia="微软雅黑" w:cs="微软雅黑"/>
                <w:b/>
                <w:bCs/>
                <w:i w:val="0"/>
                <w:iCs w:val="0"/>
                <w:color w:val="000000"/>
                <w:sz w:val="22"/>
                <w:szCs w:val="22"/>
                <w:u w:val="none"/>
              </w:rPr>
            </w:pPr>
          </w:p>
        </w:tc>
        <w:tc>
          <w:tcPr>
            <w:tcW w:w="525" w:type="dxa"/>
            <w:vMerge w:val="continue"/>
            <w:tcBorders>
              <w:top w:val="nil"/>
              <w:left w:val="single" w:color="000000" w:sz="8" w:space="0"/>
              <w:bottom w:val="single" w:color="000000" w:sz="8" w:space="0"/>
              <w:right w:val="single" w:color="000000" w:sz="8" w:space="0"/>
            </w:tcBorders>
            <w:shd w:val="clear" w:color="auto" w:fill="auto"/>
            <w:vAlign w:val="center"/>
          </w:tcPr>
          <w:p w14:paraId="577D7018">
            <w:pPr>
              <w:jc w:val="center"/>
              <w:rPr>
                <w:rFonts w:hint="eastAsia" w:ascii="微软雅黑" w:hAnsi="微软雅黑" w:eastAsia="微软雅黑" w:cs="微软雅黑"/>
                <w:b/>
                <w:bCs/>
                <w:i w:val="0"/>
                <w:iCs w:val="0"/>
                <w:color w:val="000000"/>
                <w:sz w:val="22"/>
                <w:szCs w:val="22"/>
                <w:u w:val="none"/>
              </w:rPr>
            </w:pPr>
          </w:p>
        </w:tc>
        <w:tc>
          <w:tcPr>
            <w:tcW w:w="780" w:type="dxa"/>
            <w:vMerge w:val="continue"/>
            <w:tcBorders>
              <w:top w:val="nil"/>
              <w:left w:val="single" w:color="000000" w:sz="8" w:space="0"/>
              <w:bottom w:val="single" w:color="000000" w:sz="8" w:space="0"/>
              <w:right w:val="single" w:color="000000" w:sz="8" w:space="0"/>
            </w:tcBorders>
            <w:shd w:val="clear" w:color="auto" w:fill="auto"/>
            <w:vAlign w:val="center"/>
          </w:tcPr>
          <w:p w14:paraId="3A221BAB">
            <w:pPr>
              <w:jc w:val="center"/>
              <w:rPr>
                <w:rFonts w:hint="eastAsia" w:ascii="微软雅黑" w:hAnsi="微软雅黑" w:eastAsia="微软雅黑" w:cs="微软雅黑"/>
                <w:b/>
                <w:bCs/>
                <w:i w:val="0"/>
                <w:iCs w:val="0"/>
                <w:color w:val="000000"/>
                <w:sz w:val="22"/>
                <w:szCs w:val="22"/>
                <w:u w:val="none"/>
              </w:rPr>
            </w:pPr>
          </w:p>
        </w:tc>
      </w:tr>
      <w:tr w14:paraId="47EAE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3E3831D0">
            <w:pPr>
              <w:jc w:val="center"/>
              <w:rPr>
                <w:rFonts w:hint="eastAsia" w:ascii="微软雅黑" w:hAnsi="微软雅黑" w:eastAsia="微软雅黑" w:cs="微软雅黑"/>
                <w:b/>
                <w:bCs/>
                <w:i w:val="0"/>
                <w:iCs w:val="0"/>
                <w:color w:val="000000"/>
                <w:sz w:val="22"/>
                <w:szCs w:val="22"/>
                <w:u w:val="none"/>
              </w:rPr>
            </w:pPr>
          </w:p>
        </w:tc>
        <w:tc>
          <w:tcPr>
            <w:tcW w:w="1830" w:type="dxa"/>
            <w:vMerge w:val="continue"/>
            <w:tcBorders>
              <w:top w:val="nil"/>
              <w:left w:val="single" w:color="000000" w:sz="8" w:space="0"/>
              <w:bottom w:val="single" w:color="000000" w:sz="8" w:space="0"/>
              <w:right w:val="single" w:color="000000" w:sz="8" w:space="0"/>
            </w:tcBorders>
            <w:shd w:val="clear" w:color="auto" w:fill="auto"/>
            <w:vAlign w:val="center"/>
          </w:tcPr>
          <w:p w14:paraId="1A91BB92">
            <w:pPr>
              <w:jc w:val="center"/>
              <w:rPr>
                <w:rFonts w:hint="eastAsia" w:ascii="微软雅黑" w:hAnsi="微软雅黑" w:eastAsia="微软雅黑" w:cs="微软雅黑"/>
                <w:b/>
                <w:bCs/>
                <w:i w:val="0"/>
                <w:iCs w:val="0"/>
                <w:color w:val="000000"/>
                <w:sz w:val="22"/>
                <w:szCs w:val="22"/>
                <w:u w:val="none"/>
              </w:rPr>
            </w:pPr>
          </w:p>
        </w:tc>
        <w:tc>
          <w:tcPr>
            <w:tcW w:w="2025" w:type="dxa"/>
            <w:vMerge w:val="continue"/>
            <w:tcBorders>
              <w:top w:val="nil"/>
              <w:left w:val="single" w:color="000000" w:sz="8" w:space="0"/>
              <w:bottom w:val="single" w:color="000000" w:sz="8" w:space="0"/>
              <w:right w:val="single" w:color="000000" w:sz="8" w:space="0"/>
            </w:tcBorders>
            <w:shd w:val="clear" w:color="auto" w:fill="auto"/>
            <w:vAlign w:val="center"/>
          </w:tcPr>
          <w:p w14:paraId="3A38CB16">
            <w:pPr>
              <w:jc w:val="center"/>
              <w:rPr>
                <w:rFonts w:hint="eastAsia" w:ascii="微软雅黑" w:hAnsi="微软雅黑" w:eastAsia="微软雅黑" w:cs="微软雅黑"/>
                <w:b/>
                <w:bCs/>
                <w:i w:val="0"/>
                <w:iCs w:val="0"/>
                <w:color w:val="000000"/>
                <w:sz w:val="22"/>
                <w:szCs w:val="22"/>
                <w:u w:val="none"/>
              </w:rPr>
            </w:pPr>
          </w:p>
        </w:tc>
        <w:tc>
          <w:tcPr>
            <w:tcW w:w="1200" w:type="dxa"/>
            <w:vMerge w:val="continue"/>
            <w:tcBorders>
              <w:top w:val="nil"/>
              <w:left w:val="nil"/>
              <w:bottom w:val="single" w:color="000000" w:sz="8" w:space="0"/>
              <w:right w:val="nil"/>
            </w:tcBorders>
            <w:shd w:val="clear" w:color="auto" w:fill="auto"/>
            <w:vAlign w:val="center"/>
          </w:tcPr>
          <w:p w14:paraId="7504A370">
            <w:pPr>
              <w:jc w:val="center"/>
              <w:rPr>
                <w:rFonts w:hint="eastAsia" w:ascii="微软雅黑" w:hAnsi="微软雅黑" w:eastAsia="微软雅黑" w:cs="微软雅黑"/>
                <w:b/>
                <w:bCs/>
                <w:i w:val="0"/>
                <w:iCs w:val="0"/>
                <w:color w:val="000000"/>
                <w:sz w:val="22"/>
                <w:szCs w:val="22"/>
                <w:u w:val="none"/>
              </w:rPr>
            </w:pPr>
          </w:p>
        </w:tc>
        <w:tc>
          <w:tcPr>
            <w:tcW w:w="1200" w:type="dxa"/>
            <w:vMerge w:val="continue"/>
            <w:tcBorders>
              <w:top w:val="nil"/>
              <w:left w:val="single" w:color="000000" w:sz="8" w:space="0"/>
              <w:bottom w:val="single" w:color="000000" w:sz="8" w:space="0"/>
              <w:right w:val="nil"/>
            </w:tcBorders>
            <w:shd w:val="clear" w:color="auto" w:fill="auto"/>
            <w:vAlign w:val="center"/>
          </w:tcPr>
          <w:p w14:paraId="4F05763C">
            <w:pPr>
              <w:jc w:val="center"/>
              <w:rPr>
                <w:rFonts w:hint="eastAsia" w:ascii="微软雅黑" w:hAnsi="微软雅黑" w:eastAsia="微软雅黑" w:cs="微软雅黑"/>
                <w:b/>
                <w:bCs/>
                <w:i w:val="0"/>
                <w:iCs w:val="0"/>
                <w:color w:val="000000"/>
                <w:sz w:val="22"/>
                <w:szCs w:val="22"/>
                <w:u w:val="none"/>
              </w:rPr>
            </w:pPr>
          </w:p>
        </w:tc>
        <w:tc>
          <w:tcPr>
            <w:tcW w:w="525" w:type="dxa"/>
            <w:vMerge w:val="continue"/>
            <w:tcBorders>
              <w:top w:val="nil"/>
              <w:left w:val="single" w:color="000000" w:sz="8" w:space="0"/>
              <w:bottom w:val="single" w:color="000000" w:sz="8" w:space="0"/>
              <w:right w:val="single" w:color="000000" w:sz="8" w:space="0"/>
            </w:tcBorders>
            <w:shd w:val="clear" w:color="auto" w:fill="auto"/>
            <w:vAlign w:val="center"/>
          </w:tcPr>
          <w:p w14:paraId="1CF85F88">
            <w:pPr>
              <w:jc w:val="center"/>
              <w:rPr>
                <w:rFonts w:hint="eastAsia" w:ascii="微软雅黑" w:hAnsi="微软雅黑" w:eastAsia="微软雅黑" w:cs="微软雅黑"/>
                <w:b/>
                <w:bCs/>
                <w:i w:val="0"/>
                <w:iCs w:val="0"/>
                <w:color w:val="000000"/>
                <w:sz w:val="22"/>
                <w:szCs w:val="22"/>
                <w:u w:val="none"/>
              </w:rPr>
            </w:pPr>
          </w:p>
        </w:tc>
        <w:tc>
          <w:tcPr>
            <w:tcW w:w="780" w:type="dxa"/>
            <w:vMerge w:val="continue"/>
            <w:tcBorders>
              <w:top w:val="nil"/>
              <w:left w:val="single" w:color="000000" w:sz="8" w:space="0"/>
              <w:bottom w:val="single" w:color="000000" w:sz="8" w:space="0"/>
              <w:right w:val="single" w:color="000000" w:sz="8" w:space="0"/>
            </w:tcBorders>
            <w:shd w:val="clear" w:color="auto" w:fill="auto"/>
            <w:vAlign w:val="center"/>
          </w:tcPr>
          <w:p w14:paraId="595FD811">
            <w:pPr>
              <w:jc w:val="center"/>
              <w:rPr>
                <w:rFonts w:hint="eastAsia" w:ascii="微软雅黑" w:hAnsi="微软雅黑" w:eastAsia="微软雅黑" w:cs="微软雅黑"/>
                <w:b/>
                <w:bCs/>
                <w:i w:val="0"/>
                <w:iCs w:val="0"/>
                <w:color w:val="000000"/>
                <w:sz w:val="22"/>
                <w:szCs w:val="22"/>
                <w:u w:val="none"/>
              </w:rPr>
            </w:pPr>
          </w:p>
        </w:tc>
      </w:tr>
      <w:tr w14:paraId="769C3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1050" w:type="dxa"/>
            <w:vMerge w:val="restart"/>
            <w:tcBorders>
              <w:top w:val="nil"/>
              <w:left w:val="single" w:color="000000" w:sz="8" w:space="0"/>
              <w:bottom w:val="single" w:color="000000" w:sz="8" w:space="0"/>
              <w:right w:val="single" w:color="000000" w:sz="8" w:space="0"/>
            </w:tcBorders>
            <w:shd w:val="clear" w:color="auto" w:fill="auto"/>
            <w:vAlign w:val="center"/>
          </w:tcPr>
          <w:p w14:paraId="6133578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产出指标</w:t>
            </w: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7AB8157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数量指标</w:t>
            </w:r>
          </w:p>
        </w:tc>
        <w:tc>
          <w:tcPr>
            <w:tcW w:w="2025" w:type="dxa"/>
            <w:tcBorders>
              <w:top w:val="nil"/>
              <w:left w:val="single" w:color="000000" w:sz="8" w:space="0"/>
              <w:bottom w:val="single" w:color="000000" w:sz="8" w:space="0"/>
              <w:right w:val="single" w:color="000000" w:sz="8" w:space="0"/>
            </w:tcBorders>
            <w:shd w:val="clear" w:color="auto" w:fill="auto"/>
            <w:vAlign w:val="center"/>
          </w:tcPr>
          <w:p w14:paraId="7D94EF4D">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带病回乡和参战参试退役人员人数</w:t>
            </w:r>
          </w:p>
        </w:tc>
        <w:tc>
          <w:tcPr>
            <w:tcW w:w="1200" w:type="dxa"/>
            <w:tcBorders>
              <w:top w:val="nil"/>
              <w:left w:val="nil"/>
              <w:bottom w:val="single" w:color="000000" w:sz="8" w:space="0"/>
              <w:right w:val="nil"/>
            </w:tcBorders>
            <w:shd w:val="clear" w:color="auto" w:fill="auto"/>
            <w:vAlign w:val="center"/>
          </w:tcPr>
          <w:p w14:paraId="1BF8672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483</w:t>
            </w:r>
          </w:p>
        </w:tc>
        <w:tc>
          <w:tcPr>
            <w:tcW w:w="1200" w:type="dxa"/>
            <w:tcBorders>
              <w:top w:val="nil"/>
              <w:left w:val="single" w:color="000000" w:sz="8" w:space="0"/>
              <w:bottom w:val="single" w:color="000000" w:sz="8" w:space="0"/>
              <w:right w:val="nil"/>
            </w:tcBorders>
            <w:shd w:val="clear" w:color="auto" w:fill="auto"/>
            <w:vAlign w:val="center"/>
          </w:tcPr>
          <w:p w14:paraId="5B1638C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472</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2AB1061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16C6E8D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19.00</w:t>
            </w:r>
          </w:p>
        </w:tc>
      </w:tr>
      <w:tr w14:paraId="3131A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5DA1F4BA">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33B678B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质量指标</w:t>
            </w:r>
          </w:p>
        </w:tc>
        <w:tc>
          <w:tcPr>
            <w:tcW w:w="2025" w:type="dxa"/>
            <w:tcBorders>
              <w:top w:val="nil"/>
              <w:left w:val="single" w:color="000000" w:sz="8" w:space="0"/>
              <w:bottom w:val="single" w:color="000000" w:sz="8" w:space="0"/>
              <w:right w:val="single" w:color="000000" w:sz="8" w:space="0"/>
            </w:tcBorders>
            <w:shd w:val="clear" w:color="auto" w:fill="auto"/>
            <w:vAlign w:val="center"/>
          </w:tcPr>
          <w:p w14:paraId="5AC8427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补助资金发放准确率</w:t>
            </w:r>
          </w:p>
        </w:tc>
        <w:tc>
          <w:tcPr>
            <w:tcW w:w="1200" w:type="dxa"/>
            <w:tcBorders>
              <w:top w:val="nil"/>
              <w:left w:val="nil"/>
              <w:bottom w:val="single" w:color="000000" w:sz="8" w:space="0"/>
              <w:right w:val="nil"/>
            </w:tcBorders>
            <w:shd w:val="clear" w:color="auto" w:fill="auto"/>
            <w:vAlign w:val="center"/>
          </w:tcPr>
          <w:p w14:paraId="5398771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200" w:type="dxa"/>
            <w:tcBorders>
              <w:top w:val="nil"/>
              <w:left w:val="single" w:color="000000" w:sz="8" w:space="0"/>
              <w:bottom w:val="single" w:color="000000" w:sz="8" w:space="0"/>
              <w:right w:val="nil"/>
            </w:tcBorders>
            <w:shd w:val="clear" w:color="auto" w:fill="auto"/>
            <w:vAlign w:val="center"/>
          </w:tcPr>
          <w:p w14:paraId="731524D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0F68512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39694A8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7A556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7B9FE7EC">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001F62B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时效指标</w:t>
            </w:r>
          </w:p>
        </w:tc>
        <w:tc>
          <w:tcPr>
            <w:tcW w:w="2025" w:type="dxa"/>
            <w:tcBorders>
              <w:top w:val="nil"/>
              <w:left w:val="single" w:color="000000" w:sz="8" w:space="0"/>
              <w:bottom w:val="single" w:color="000000" w:sz="8" w:space="0"/>
              <w:right w:val="single" w:color="000000" w:sz="8" w:space="0"/>
            </w:tcBorders>
            <w:shd w:val="clear" w:color="auto" w:fill="auto"/>
            <w:vAlign w:val="center"/>
          </w:tcPr>
          <w:p w14:paraId="7279096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补助资金发放及时率</w:t>
            </w:r>
          </w:p>
        </w:tc>
        <w:tc>
          <w:tcPr>
            <w:tcW w:w="1200" w:type="dxa"/>
            <w:tcBorders>
              <w:top w:val="nil"/>
              <w:left w:val="nil"/>
              <w:bottom w:val="single" w:color="000000" w:sz="8" w:space="0"/>
              <w:right w:val="nil"/>
            </w:tcBorders>
            <w:shd w:val="clear" w:color="auto" w:fill="auto"/>
            <w:vAlign w:val="center"/>
          </w:tcPr>
          <w:p w14:paraId="68EC0AA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200" w:type="dxa"/>
            <w:tcBorders>
              <w:top w:val="nil"/>
              <w:left w:val="single" w:color="000000" w:sz="8" w:space="0"/>
              <w:bottom w:val="single" w:color="000000" w:sz="8" w:space="0"/>
              <w:right w:val="nil"/>
            </w:tcBorders>
            <w:shd w:val="clear" w:color="auto" w:fill="auto"/>
            <w:vAlign w:val="center"/>
          </w:tcPr>
          <w:p w14:paraId="7C9E308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29C8543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77C2384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17D11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restart"/>
            <w:tcBorders>
              <w:top w:val="nil"/>
              <w:left w:val="single" w:color="000000" w:sz="8" w:space="0"/>
              <w:bottom w:val="single" w:color="000000" w:sz="8" w:space="0"/>
              <w:right w:val="single" w:color="000000" w:sz="8" w:space="0"/>
            </w:tcBorders>
            <w:shd w:val="clear" w:color="auto" w:fill="auto"/>
            <w:vAlign w:val="center"/>
          </w:tcPr>
          <w:p w14:paraId="313DA99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效益指标</w:t>
            </w: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0BA9B51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经济效益指标</w:t>
            </w:r>
          </w:p>
        </w:tc>
        <w:tc>
          <w:tcPr>
            <w:tcW w:w="2025" w:type="dxa"/>
            <w:tcBorders>
              <w:top w:val="nil"/>
              <w:left w:val="single" w:color="000000" w:sz="8" w:space="0"/>
              <w:bottom w:val="single" w:color="000000" w:sz="8" w:space="0"/>
              <w:right w:val="single" w:color="000000" w:sz="8" w:space="0"/>
            </w:tcBorders>
            <w:shd w:val="clear" w:color="auto" w:fill="auto"/>
            <w:vAlign w:val="center"/>
          </w:tcPr>
          <w:p w14:paraId="48B0E312">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不适用</w:t>
            </w:r>
          </w:p>
        </w:tc>
        <w:tc>
          <w:tcPr>
            <w:tcW w:w="1200" w:type="dxa"/>
            <w:tcBorders>
              <w:top w:val="nil"/>
              <w:left w:val="nil"/>
              <w:bottom w:val="single" w:color="000000" w:sz="8" w:space="0"/>
              <w:right w:val="nil"/>
            </w:tcBorders>
            <w:shd w:val="clear" w:color="auto" w:fill="auto"/>
            <w:vAlign w:val="center"/>
          </w:tcPr>
          <w:p w14:paraId="64374DC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无</w:t>
            </w:r>
          </w:p>
        </w:tc>
        <w:tc>
          <w:tcPr>
            <w:tcW w:w="1200" w:type="dxa"/>
            <w:tcBorders>
              <w:top w:val="nil"/>
              <w:left w:val="single" w:color="000000" w:sz="8" w:space="0"/>
              <w:bottom w:val="single" w:color="000000" w:sz="8" w:space="0"/>
              <w:right w:val="nil"/>
            </w:tcBorders>
            <w:shd w:val="clear" w:color="auto" w:fill="auto"/>
            <w:vAlign w:val="center"/>
          </w:tcPr>
          <w:p w14:paraId="65C75753">
            <w:pPr>
              <w:jc w:val="center"/>
              <w:rPr>
                <w:rFonts w:hint="eastAsia" w:ascii="微软雅黑" w:hAnsi="微软雅黑" w:eastAsia="微软雅黑" w:cs="微软雅黑"/>
                <w:i w:val="0"/>
                <w:iCs w:val="0"/>
                <w:color w:val="000000"/>
                <w:sz w:val="20"/>
                <w:szCs w:val="20"/>
                <w:u w:val="none"/>
              </w:rPr>
            </w:pPr>
          </w:p>
        </w:tc>
        <w:tc>
          <w:tcPr>
            <w:tcW w:w="525" w:type="dxa"/>
            <w:tcBorders>
              <w:top w:val="nil"/>
              <w:left w:val="single" w:color="000000" w:sz="8" w:space="0"/>
              <w:bottom w:val="single" w:color="000000" w:sz="8" w:space="0"/>
              <w:right w:val="single" w:color="000000" w:sz="8" w:space="0"/>
            </w:tcBorders>
            <w:shd w:val="clear" w:color="auto" w:fill="auto"/>
            <w:vAlign w:val="center"/>
          </w:tcPr>
          <w:p w14:paraId="69147B31">
            <w:pPr>
              <w:jc w:val="center"/>
              <w:rPr>
                <w:rFonts w:hint="eastAsia" w:ascii="微软雅黑" w:hAnsi="微软雅黑" w:eastAsia="微软雅黑" w:cs="微软雅黑"/>
                <w:i w:val="0"/>
                <w:iCs w:val="0"/>
                <w:color w:val="000000"/>
                <w:sz w:val="20"/>
                <w:szCs w:val="20"/>
                <w:u w:val="none"/>
              </w:rPr>
            </w:pPr>
          </w:p>
        </w:tc>
        <w:tc>
          <w:tcPr>
            <w:tcW w:w="780" w:type="dxa"/>
            <w:tcBorders>
              <w:top w:val="nil"/>
              <w:left w:val="single" w:color="000000" w:sz="8" w:space="0"/>
              <w:bottom w:val="single" w:color="000000" w:sz="8" w:space="0"/>
              <w:right w:val="single" w:color="000000" w:sz="8" w:space="0"/>
            </w:tcBorders>
            <w:shd w:val="clear" w:color="auto" w:fill="auto"/>
            <w:vAlign w:val="center"/>
          </w:tcPr>
          <w:p w14:paraId="41EE504E">
            <w:pPr>
              <w:jc w:val="center"/>
              <w:rPr>
                <w:rFonts w:hint="eastAsia" w:ascii="微软雅黑" w:hAnsi="微软雅黑" w:eastAsia="微软雅黑" w:cs="微软雅黑"/>
                <w:i w:val="0"/>
                <w:iCs w:val="0"/>
                <w:color w:val="000000"/>
                <w:sz w:val="20"/>
                <w:szCs w:val="20"/>
                <w:u w:val="none"/>
              </w:rPr>
            </w:pPr>
          </w:p>
        </w:tc>
      </w:tr>
      <w:tr w14:paraId="7E0B5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44E3A9C5">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7A63D87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社会效益指标</w:t>
            </w:r>
          </w:p>
        </w:tc>
        <w:tc>
          <w:tcPr>
            <w:tcW w:w="2025" w:type="dxa"/>
            <w:tcBorders>
              <w:top w:val="nil"/>
              <w:left w:val="single" w:color="000000" w:sz="8" w:space="0"/>
              <w:bottom w:val="single" w:color="000000" w:sz="8" w:space="0"/>
              <w:right w:val="single" w:color="000000" w:sz="8" w:space="0"/>
            </w:tcBorders>
            <w:shd w:val="clear" w:color="auto" w:fill="auto"/>
            <w:vAlign w:val="center"/>
          </w:tcPr>
          <w:p w14:paraId="7DC3F148">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带病回乡和参战参试退役人员受益率</w:t>
            </w:r>
          </w:p>
        </w:tc>
        <w:tc>
          <w:tcPr>
            <w:tcW w:w="1200" w:type="dxa"/>
            <w:tcBorders>
              <w:top w:val="nil"/>
              <w:left w:val="nil"/>
              <w:bottom w:val="single" w:color="000000" w:sz="8" w:space="0"/>
              <w:right w:val="nil"/>
            </w:tcBorders>
            <w:shd w:val="clear" w:color="auto" w:fill="auto"/>
            <w:vAlign w:val="center"/>
          </w:tcPr>
          <w:p w14:paraId="2065275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200" w:type="dxa"/>
            <w:tcBorders>
              <w:top w:val="nil"/>
              <w:left w:val="single" w:color="000000" w:sz="8" w:space="0"/>
              <w:bottom w:val="single" w:color="000000" w:sz="8" w:space="0"/>
              <w:right w:val="nil"/>
            </w:tcBorders>
            <w:shd w:val="clear" w:color="auto" w:fill="auto"/>
            <w:vAlign w:val="center"/>
          </w:tcPr>
          <w:p w14:paraId="7614916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6E7FBD7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5F46B7E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15.00</w:t>
            </w:r>
          </w:p>
        </w:tc>
      </w:tr>
      <w:tr w14:paraId="3ECE6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4870006D">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7BD8427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生态效益指标</w:t>
            </w:r>
          </w:p>
        </w:tc>
        <w:tc>
          <w:tcPr>
            <w:tcW w:w="2025" w:type="dxa"/>
            <w:tcBorders>
              <w:top w:val="nil"/>
              <w:left w:val="single" w:color="000000" w:sz="8" w:space="0"/>
              <w:bottom w:val="single" w:color="000000" w:sz="8" w:space="0"/>
              <w:right w:val="single" w:color="000000" w:sz="8" w:space="0"/>
            </w:tcBorders>
            <w:shd w:val="clear" w:color="auto" w:fill="auto"/>
            <w:vAlign w:val="center"/>
          </w:tcPr>
          <w:p w14:paraId="21F212F8">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不适用</w:t>
            </w:r>
          </w:p>
        </w:tc>
        <w:tc>
          <w:tcPr>
            <w:tcW w:w="1200" w:type="dxa"/>
            <w:tcBorders>
              <w:top w:val="nil"/>
              <w:left w:val="nil"/>
              <w:bottom w:val="single" w:color="000000" w:sz="8" w:space="0"/>
              <w:right w:val="nil"/>
            </w:tcBorders>
            <w:shd w:val="clear" w:color="auto" w:fill="auto"/>
            <w:vAlign w:val="center"/>
          </w:tcPr>
          <w:p w14:paraId="2DF9F72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无</w:t>
            </w:r>
          </w:p>
        </w:tc>
        <w:tc>
          <w:tcPr>
            <w:tcW w:w="1200" w:type="dxa"/>
            <w:tcBorders>
              <w:top w:val="nil"/>
              <w:left w:val="single" w:color="000000" w:sz="8" w:space="0"/>
              <w:bottom w:val="single" w:color="000000" w:sz="8" w:space="0"/>
              <w:right w:val="nil"/>
            </w:tcBorders>
            <w:shd w:val="clear" w:color="auto" w:fill="auto"/>
            <w:vAlign w:val="center"/>
          </w:tcPr>
          <w:p w14:paraId="77F7B6CD">
            <w:pPr>
              <w:jc w:val="center"/>
              <w:rPr>
                <w:rFonts w:hint="eastAsia" w:ascii="微软雅黑" w:hAnsi="微软雅黑" w:eastAsia="微软雅黑" w:cs="微软雅黑"/>
                <w:i w:val="0"/>
                <w:iCs w:val="0"/>
                <w:color w:val="000000"/>
                <w:sz w:val="20"/>
                <w:szCs w:val="20"/>
                <w:u w:val="none"/>
              </w:rPr>
            </w:pPr>
          </w:p>
        </w:tc>
        <w:tc>
          <w:tcPr>
            <w:tcW w:w="525" w:type="dxa"/>
            <w:tcBorders>
              <w:top w:val="nil"/>
              <w:left w:val="single" w:color="000000" w:sz="8" w:space="0"/>
              <w:bottom w:val="single" w:color="000000" w:sz="8" w:space="0"/>
              <w:right w:val="single" w:color="000000" w:sz="8" w:space="0"/>
            </w:tcBorders>
            <w:shd w:val="clear" w:color="auto" w:fill="auto"/>
            <w:vAlign w:val="center"/>
          </w:tcPr>
          <w:p w14:paraId="17EBD126">
            <w:pPr>
              <w:jc w:val="center"/>
              <w:rPr>
                <w:rFonts w:hint="eastAsia" w:ascii="微软雅黑" w:hAnsi="微软雅黑" w:eastAsia="微软雅黑" w:cs="微软雅黑"/>
                <w:i w:val="0"/>
                <w:iCs w:val="0"/>
                <w:color w:val="000000"/>
                <w:sz w:val="20"/>
                <w:szCs w:val="20"/>
                <w:u w:val="none"/>
              </w:rPr>
            </w:pPr>
          </w:p>
        </w:tc>
        <w:tc>
          <w:tcPr>
            <w:tcW w:w="780" w:type="dxa"/>
            <w:tcBorders>
              <w:top w:val="nil"/>
              <w:left w:val="single" w:color="000000" w:sz="8" w:space="0"/>
              <w:bottom w:val="single" w:color="000000" w:sz="8" w:space="0"/>
              <w:right w:val="single" w:color="000000" w:sz="8" w:space="0"/>
            </w:tcBorders>
            <w:shd w:val="clear" w:color="auto" w:fill="auto"/>
            <w:vAlign w:val="center"/>
          </w:tcPr>
          <w:p w14:paraId="23FEDE50">
            <w:pPr>
              <w:jc w:val="center"/>
              <w:rPr>
                <w:rFonts w:hint="eastAsia" w:ascii="微软雅黑" w:hAnsi="微软雅黑" w:eastAsia="微软雅黑" w:cs="微软雅黑"/>
                <w:i w:val="0"/>
                <w:iCs w:val="0"/>
                <w:color w:val="000000"/>
                <w:sz w:val="20"/>
                <w:szCs w:val="20"/>
                <w:u w:val="none"/>
              </w:rPr>
            </w:pPr>
          </w:p>
        </w:tc>
      </w:tr>
      <w:tr w14:paraId="4AF89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38B7F1C4">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2641E4A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可持续影响指标</w:t>
            </w:r>
          </w:p>
        </w:tc>
        <w:tc>
          <w:tcPr>
            <w:tcW w:w="2025" w:type="dxa"/>
            <w:tcBorders>
              <w:top w:val="nil"/>
              <w:left w:val="single" w:color="000000" w:sz="8" w:space="0"/>
              <w:bottom w:val="single" w:color="000000" w:sz="8" w:space="0"/>
              <w:right w:val="single" w:color="000000" w:sz="8" w:space="0"/>
            </w:tcBorders>
            <w:shd w:val="clear" w:color="auto" w:fill="auto"/>
            <w:vAlign w:val="center"/>
          </w:tcPr>
          <w:p w14:paraId="05D7F78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稳定军心，促进社会稳定、和谐</w:t>
            </w:r>
          </w:p>
        </w:tc>
        <w:tc>
          <w:tcPr>
            <w:tcW w:w="1200" w:type="dxa"/>
            <w:tcBorders>
              <w:top w:val="nil"/>
              <w:left w:val="nil"/>
              <w:bottom w:val="single" w:color="000000" w:sz="8" w:space="0"/>
              <w:right w:val="nil"/>
            </w:tcBorders>
            <w:shd w:val="clear" w:color="auto" w:fill="auto"/>
            <w:vAlign w:val="center"/>
          </w:tcPr>
          <w:p w14:paraId="0CAB106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效果明显</w:t>
            </w:r>
          </w:p>
        </w:tc>
        <w:tc>
          <w:tcPr>
            <w:tcW w:w="1200" w:type="dxa"/>
            <w:tcBorders>
              <w:top w:val="nil"/>
              <w:left w:val="single" w:color="000000" w:sz="8" w:space="0"/>
              <w:bottom w:val="single" w:color="000000" w:sz="8" w:space="0"/>
              <w:right w:val="nil"/>
            </w:tcBorders>
            <w:shd w:val="clear" w:color="auto" w:fill="auto"/>
            <w:vAlign w:val="center"/>
          </w:tcPr>
          <w:p w14:paraId="247B8C9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效果明显</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3290559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7EE24AC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15.00</w:t>
            </w:r>
          </w:p>
        </w:tc>
      </w:tr>
      <w:tr w14:paraId="0DACD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tcBorders>
              <w:top w:val="nil"/>
              <w:left w:val="single" w:color="000000" w:sz="8" w:space="0"/>
              <w:bottom w:val="single" w:color="000000" w:sz="8" w:space="0"/>
              <w:right w:val="single" w:color="000000" w:sz="8" w:space="0"/>
            </w:tcBorders>
            <w:shd w:val="clear" w:color="auto" w:fill="auto"/>
            <w:vAlign w:val="center"/>
          </w:tcPr>
          <w:p w14:paraId="0C272D8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满意度指标</w:t>
            </w: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6C32E03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服务对象满意度指标</w:t>
            </w:r>
          </w:p>
        </w:tc>
        <w:tc>
          <w:tcPr>
            <w:tcW w:w="2025" w:type="dxa"/>
            <w:tcBorders>
              <w:top w:val="nil"/>
              <w:left w:val="single" w:color="000000" w:sz="8" w:space="0"/>
              <w:bottom w:val="single" w:color="000000" w:sz="8" w:space="0"/>
              <w:right w:val="single" w:color="000000" w:sz="8" w:space="0"/>
            </w:tcBorders>
            <w:shd w:val="clear" w:color="auto" w:fill="auto"/>
            <w:vAlign w:val="center"/>
          </w:tcPr>
          <w:p w14:paraId="5D3C5C1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w:t>
            </w:r>
          </w:p>
        </w:tc>
        <w:tc>
          <w:tcPr>
            <w:tcW w:w="1200" w:type="dxa"/>
            <w:tcBorders>
              <w:top w:val="nil"/>
              <w:left w:val="nil"/>
              <w:bottom w:val="single" w:color="000000" w:sz="8" w:space="0"/>
              <w:right w:val="nil"/>
            </w:tcBorders>
            <w:shd w:val="clear" w:color="auto" w:fill="auto"/>
            <w:vAlign w:val="center"/>
          </w:tcPr>
          <w:p w14:paraId="3B2F1FF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1200" w:type="dxa"/>
            <w:tcBorders>
              <w:top w:val="nil"/>
              <w:left w:val="single" w:color="000000" w:sz="8" w:space="0"/>
              <w:bottom w:val="single" w:color="000000" w:sz="8" w:space="0"/>
              <w:right w:val="nil"/>
            </w:tcBorders>
            <w:shd w:val="clear" w:color="auto" w:fill="auto"/>
            <w:vAlign w:val="center"/>
          </w:tcPr>
          <w:p w14:paraId="1BAB278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92%</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4EA45B0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33EFC3D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1440E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1050" w:type="dxa"/>
            <w:tcBorders>
              <w:top w:val="nil"/>
              <w:left w:val="single" w:color="000000" w:sz="8" w:space="0"/>
              <w:bottom w:val="single" w:color="000000" w:sz="8" w:space="0"/>
              <w:right w:val="single" w:color="000000" w:sz="8" w:space="0"/>
            </w:tcBorders>
            <w:shd w:val="clear" w:color="auto" w:fill="auto"/>
            <w:vAlign w:val="center"/>
          </w:tcPr>
          <w:p w14:paraId="7BF7AB6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成本指标</w:t>
            </w: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216CE9C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经济成本指标</w:t>
            </w:r>
          </w:p>
        </w:tc>
        <w:tc>
          <w:tcPr>
            <w:tcW w:w="2025" w:type="dxa"/>
            <w:tcBorders>
              <w:top w:val="nil"/>
              <w:left w:val="single" w:color="000000" w:sz="8" w:space="0"/>
              <w:bottom w:val="single" w:color="000000" w:sz="8" w:space="0"/>
              <w:right w:val="single" w:color="000000" w:sz="8" w:space="0"/>
            </w:tcBorders>
            <w:shd w:val="clear" w:color="auto" w:fill="auto"/>
            <w:vAlign w:val="center"/>
          </w:tcPr>
          <w:p w14:paraId="5A59F06E">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带病回乡和参战参试退役人员月生活补助</w:t>
            </w:r>
          </w:p>
        </w:tc>
        <w:tc>
          <w:tcPr>
            <w:tcW w:w="1200" w:type="dxa"/>
            <w:tcBorders>
              <w:top w:val="nil"/>
              <w:left w:val="nil"/>
              <w:bottom w:val="single" w:color="000000" w:sz="8" w:space="0"/>
              <w:right w:val="nil"/>
            </w:tcBorders>
            <w:shd w:val="clear" w:color="auto" w:fill="auto"/>
            <w:vAlign w:val="center"/>
          </w:tcPr>
          <w:p w14:paraId="2D58435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780</w:t>
            </w:r>
          </w:p>
        </w:tc>
        <w:tc>
          <w:tcPr>
            <w:tcW w:w="1200" w:type="dxa"/>
            <w:tcBorders>
              <w:top w:val="nil"/>
              <w:left w:val="single" w:color="000000" w:sz="8" w:space="0"/>
              <w:bottom w:val="single" w:color="000000" w:sz="8" w:space="0"/>
              <w:right w:val="nil"/>
            </w:tcBorders>
            <w:shd w:val="clear" w:color="auto" w:fill="auto"/>
            <w:vAlign w:val="center"/>
          </w:tcPr>
          <w:p w14:paraId="0F00779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780元/人</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2B36BD5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0" w:type="dxa"/>
            <w:tcBorders>
              <w:top w:val="nil"/>
              <w:left w:val="single" w:color="000000" w:sz="8" w:space="0"/>
              <w:bottom w:val="single" w:color="000000" w:sz="8" w:space="0"/>
              <w:right w:val="single" w:color="000000" w:sz="8" w:space="0"/>
            </w:tcBorders>
            <w:shd w:val="clear" w:color="auto" w:fill="auto"/>
            <w:vAlign w:val="center"/>
          </w:tcPr>
          <w:p w14:paraId="385512E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bl>
    <w:p w14:paraId="314B9A12">
      <w:pPr>
        <w:numPr>
          <w:ilvl w:val="0"/>
          <w:numId w:val="0"/>
        </w:numPr>
        <w:spacing w:line="560" w:lineRule="exact"/>
        <w:ind w:leftChars="200"/>
        <w:jc w:val="left"/>
        <w:rPr>
          <w:rFonts w:hint="eastAsia" w:ascii="仿宋_GB2312" w:hAnsi="仿宋_GB2312" w:eastAsia="仿宋_GB2312" w:cs="仿宋_GB2312"/>
          <w:bCs/>
          <w:sz w:val="32"/>
          <w:szCs w:val="32"/>
        </w:rPr>
      </w:pPr>
    </w:p>
    <w:p w14:paraId="0D24AD2D">
      <w:pPr>
        <w:spacing w:line="560" w:lineRule="exact"/>
        <w:ind w:firstLine="640" w:firstLineChars="200"/>
        <w:jc w:val="left"/>
        <w:rPr>
          <w:rFonts w:hint="eastAsia" w:ascii="仿宋_GB2312" w:hAnsi="仿宋_GB2312" w:eastAsia="仿宋_GB2312" w:cs="仿宋_GB2312"/>
          <w:bCs/>
          <w:sz w:val="32"/>
          <w:szCs w:val="32"/>
        </w:rPr>
      </w:pPr>
      <w:r>
        <w:rPr>
          <w:rFonts w:hint="eastAsia" w:ascii="Times New Roman" w:hAnsi="Times New Roman" w:eastAsia="仿宋_GB2312" w:cs="Times New Roman"/>
          <w:sz w:val="32"/>
          <w:szCs w:val="32"/>
          <w:lang w:val="en-US" w:eastAsia="zh-CN" w:bidi="ar-SA"/>
        </w:rPr>
        <w:t>根据绩效目标表</w:t>
      </w:r>
      <w:r>
        <w:rPr>
          <w:rFonts w:hint="eastAsia" w:eastAsia="仿宋_GB2312" w:cs="Times New Roman"/>
          <w:sz w:val="32"/>
          <w:szCs w:val="32"/>
          <w:lang w:val="en-US" w:eastAsia="zh-CN" w:bidi="ar-SA"/>
        </w:rPr>
        <w:t>相关指标，逐一对应指标值数进行综合评价，自评分数为96.91分，评价结果为优秀。</w:t>
      </w:r>
    </w:p>
    <w:p w14:paraId="5C4417A9">
      <w:pPr>
        <w:spacing w:line="560" w:lineRule="exact"/>
        <w:ind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四、绩效评价指标分析</w:t>
      </w:r>
    </w:p>
    <w:p w14:paraId="4B8F35A2">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14:paraId="6164DDCE">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根据湖南省财政厅及湖南省退役军人事务厅湘财社【</w:t>
      </w:r>
      <w:r>
        <w:rPr>
          <w:rFonts w:hint="eastAsia" w:ascii="仿宋_GB2312" w:hAnsi="仿宋_GB2312" w:eastAsia="仿宋_GB2312" w:cs="仿宋_GB2312"/>
          <w:sz w:val="32"/>
          <w:szCs w:val="32"/>
          <w:lang w:val="en-US" w:eastAsia="zh-CN"/>
        </w:rPr>
        <w:t>2022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26号文件</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《财政部</w:t>
      </w:r>
      <w:r>
        <w:rPr>
          <w:rFonts w:hint="eastAsia" w:ascii="仿宋_GB2312" w:hAnsi="仿宋_GB2312" w:eastAsia="仿宋_GB2312" w:cs="仿宋_GB2312"/>
          <w:sz w:val="32"/>
          <w:szCs w:val="32"/>
          <w:lang w:val="en-US" w:eastAsia="zh-CN"/>
        </w:rPr>
        <w:t xml:space="preserve"> 退役军人部 医保局关于修改退役安置等补助资金管理办法的通知</w:t>
      </w:r>
      <w:r>
        <w:rPr>
          <w:rFonts w:hint="eastAsia" w:ascii="仿宋_GB2312" w:hAnsi="仿宋_GB2312" w:eastAsia="仿宋_GB2312" w:cs="仿宋_GB2312"/>
          <w:sz w:val="32"/>
          <w:szCs w:val="32"/>
          <w:lang w:eastAsia="zh-CN"/>
        </w:rPr>
        <w:t>》（财社【</w:t>
      </w:r>
      <w:r>
        <w:rPr>
          <w:rFonts w:hint="eastAsia" w:ascii="仿宋_GB2312" w:hAnsi="仿宋_GB2312" w:eastAsia="仿宋_GB2312" w:cs="仿宋_GB2312"/>
          <w:sz w:val="32"/>
          <w:szCs w:val="32"/>
          <w:lang w:val="en-US" w:eastAsia="zh-CN"/>
        </w:rPr>
        <w:t>2019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225号</w:t>
      </w:r>
      <w:r>
        <w:rPr>
          <w:rFonts w:hint="eastAsia" w:ascii="仿宋_GB2312" w:hAnsi="仿宋_GB2312" w:eastAsia="仿宋_GB2312" w:cs="仿宋_GB2312"/>
          <w:sz w:val="32"/>
          <w:szCs w:val="32"/>
          <w:lang w:eastAsia="zh-CN"/>
        </w:rPr>
        <w:t>），关于带病回乡和参战参试退役人员两类优抚对象补助资金管理有关事项的通知，设置本项目。</w:t>
      </w:r>
    </w:p>
    <w:p w14:paraId="214F857C">
      <w:pPr>
        <w:numPr>
          <w:ilvl w:val="0"/>
          <w:numId w:val="3"/>
        </w:num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项目过程情况。</w:t>
      </w:r>
    </w:p>
    <w:p w14:paraId="2D37515B">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default" w:ascii="仿宋_GB2312" w:hAnsi="仿宋_GB2312" w:eastAsia="仿宋_GB2312" w:cs="仿宋_GB2312"/>
          <w:sz w:val="32"/>
          <w:szCs w:val="32"/>
          <w:lang w:val="en-US" w:eastAsia="zh-CN"/>
        </w:rPr>
        <w:t>带病回乡和参战参试退役人员生活补助</w:t>
      </w:r>
      <w:r>
        <w:rPr>
          <w:rFonts w:hint="eastAsia" w:ascii="仿宋_GB2312" w:hAnsi="仿宋_GB2312" w:eastAsia="仿宋_GB2312" w:cs="仿宋_GB2312"/>
          <w:sz w:val="32"/>
          <w:szCs w:val="32"/>
          <w:lang w:val="en-US" w:eastAsia="zh-CN"/>
        </w:rPr>
        <w:t>预算82.8万元，全年预算数82.8万元。本县2024年</w:t>
      </w:r>
      <w:r>
        <w:rPr>
          <w:rFonts w:hint="default" w:ascii="仿宋_GB2312" w:hAnsi="仿宋_GB2312" w:eastAsia="仿宋_GB2312" w:cs="仿宋_GB2312"/>
          <w:sz w:val="32"/>
          <w:szCs w:val="32"/>
          <w:lang w:val="en-US" w:eastAsia="zh-CN"/>
        </w:rPr>
        <w:t>带病回乡和参战参试退役人员</w:t>
      </w:r>
      <w:r>
        <w:rPr>
          <w:rFonts w:hint="eastAsia" w:ascii="仿宋_GB2312" w:hAnsi="仿宋_GB2312" w:eastAsia="仿宋_GB2312" w:cs="仿宋_GB2312"/>
          <w:sz w:val="32"/>
          <w:szCs w:val="32"/>
          <w:lang w:val="en-US" w:eastAsia="zh-CN"/>
        </w:rPr>
        <w:t>共计472人，支出65.5万元，预算执行率79%。全部用于</w:t>
      </w:r>
      <w:r>
        <w:rPr>
          <w:rFonts w:hint="default" w:ascii="仿宋_GB2312" w:hAnsi="仿宋_GB2312" w:eastAsia="仿宋_GB2312" w:cs="仿宋_GB2312"/>
          <w:sz w:val="32"/>
          <w:szCs w:val="32"/>
          <w:lang w:val="en-US" w:eastAsia="zh-CN"/>
        </w:rPr>
        <w:t>带病回乡和参战参试退役人员</w:t>
      </w:r>
      <w:r>
        <w:rPr>
          <w:rFonts w:hint="eastAsia" w:ascii="仿宋_GB2312" w:hAnsi="仿宋_GB2312" w:eastAsia="仿宋_GB2312" w:cs="仿宋_GB2312"/>
          <w:sz w:val="32"/>
          <w:szCs w:val="32"/>
          <w:lang w:val="en-US" w:eastAsia="zh-CN"/>
        </w:rPr>
        <w:t>的生活补助。</w:t>
      </w:r>
    </w:p>
    <w:p w14:paraId="3390BC8B">
      <w:pPr>
        <w:numPr>
          <w:ilvl w:val="0"/>
          <w:numId w:val="3"/>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项目产出情况。</w:t>
      </w:r>
    </w:p>
    <w:p w14:paraId="6C8DA650">
      <w:pPr>
        <w:numPr>
          <w:ilvl w:val="0"/>
          <w:numId w:val="0"/>
        </w:numPr>
        <w:spacing w:line="560" w:lineRule="exact"/>
        <w:ind w:firstLine="640" w:firstLineChars="200"/>
        <w:jc w:val="left"/>
        <w:rPr>
          <w:rFonts w:hint="eastAsia" w:ascii="仿宋_GB2312" w:hAnsi="仿宋_GB2312" w:eastAsia="仿宋_GB2312" w:cs="仿宋_GB2312"/>
          <w:sz w:val="32"/>
          <w:szCs w:val="32"/>
        </w:rPr>
      </w:pPr>
      <w:r>
        <w:rPr>
          <w:rFonts w:hint="eastAsia" w:eastAsia="仿宋_GB2312"/>
          <w:sz w:val="32"/>
          <w:szCs w:val="32"/>
          <w:lang w:val="en-US" w:eastAsia="zh-CN"/>
        </w:rPr>
        <w:t>从综合评价得分情况看，此项目综合评价满分为96.9分，实际得分96.91分，预算执行率和人数</w:t>
      </w:r>
      <w:bookmarkStart w:id="0" w:name="_GoBack"/>
      <w:bookmarkEnd w:id="0"/>
      <w:r>
        <w:rPr>
          <w:rFonts w:hint="eastAsia" w:eastAsia="仿宋_GB2312"/>
          <w:sz w:val="32"/>
          <w:szCs w:val="32"/>
          <w:lang w:val="en-US" w:eastAsia="zh-CN"/>
        </w:rPr>
        <w:t>完成值未达到年初绩效目标，主要由于人员的自然死亡减少所致，其余各项绩效目标都能按质按量按时完成，生活补助资金拨付及时，资金发放准确率100%，及时率100%。</w:t>
      </w:r>
    </w:p>
    <w:p w14:paraId="0C355D24">
      <w:pPr>
        <w:numPr>
          <w:ilvl w:val="0"/>
          <w:numId w:val="3"/>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项目效益情况。</w:t>
      </w:r>
    </w:p>
    <w:p w14:paraId="0588F846">
      <w:pPr>
        <w:numPr>
          <w:ilvl w:val="0"/>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通过发放</w:t>
      </w:r>
      <w:r>
        <w:rPr>
          <w:rFonts w:hint="default" w:ascii="仿宋_GB2312" w:hAnsi="仿宋_GB2312" w:eastAsia="仿宋_GB2312" w:cs="仿宋_GB2312"/>
          <w:sz w:val="32"/>
          <w:szCs w:val="32"/>
          <w:lang w:val="en-US" w:eastAsia="zh-CN"/>
        </w:rPr>
        <w:t>带病回乡和参战参试退役人员生活补助</w:t>
      </w:r>
      <w:r>
        <w:rPr>
          <w:rFonts w:hint="eastAsia" w:ascii="仿宋_GB2312" w:hAnsi="仿宋_GB2312" w:eastAsia="仿宋_GB2312" w:cs="仿宋_GB2312"/>
          <w:sz w:val="32"/>
          <w:szCs w:val="32"/>
          <w:lang w:eastAsia="zh-CN"/>
        </w:rPr>
        <w:t>，稳定军心，促进社会稳定、和谐。</w:t>
      </w:r>
    </w:p>
    <w:p w14:paraId="3BA4645D">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五、主要经验及做法、存在的问题及原因分析</w:t>
      </w:r>
    </w:p>
    <w:p w14:paraId="17F75694">
      <w:pPr>
        <w:numPr>
          <w:ilvl w:val="0"/>
          <w:numId w:val="0"/>
        </w:num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县级配套资金压力增大，资金保障工作严峻，有可能导致延迟发放的情况。</w:t>
      </w:r>
    </w:p>
    <w:p w14:paraId="748A7943">
      <w:pPr>
        <w:numPr>
          <w:ilvl w:val="0"/>
          <w:numId w:val="4"/>
        </w:num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有关建议</w:t>
      </w:r>
    </w:p>
    <w:p w14:paraId="75DD6EB0">
      <w:pPr>
        <w:numPr>
          <w:ilvl w:val="0"/>
          <w:numId w:val="0"/>
        </w:num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县级财政加强资金支持力度，协调各单位各部门，保障资金按时按量拨付。</w:t>
      </w:r>
    </w:p>
    <w:p w14:paraId="4AC088EC">
      <w:pPr>
        <w:numPr>
          <w:ilvl w:val="0"/>
          <w:numId w:val="0"/>
        </w:num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七、其他需要说明的问题</w:t>
      </w:r>
    </w:p>
    <w:p w14:paraId="61BD8D83">
      <w:pPr>
        <w:pStyle w:val="3"/>
        <w:widowControl w:val="0"/>
        <w:spacing w:before="0" w:beforeAutospacing="0" w:after="0" w:afterAutospacing="0" w:line="5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无</w:t>
      </w:r>
      <w:r>
        <w:rPr>
          <w:rFonts w:hint="eastAsia" w:ascii="仿宋_GB2312" w:hAnsi="仿宋_GB2312" w:eastAsia="仿宋_GB2312" w:cs="仿宋_GB2312"/>
          <w:sz w:val="32"/>
          <w:szCs w:val="32"/>
        </w:rPr>
        <w:t xml:space="preserve">              </w:t>
      </w:r>
    </w:p>
    <w:p w14:paraId="1255907F">
      <w:pPr>
        <w:ind w:left="8960" w:hanging="8960" w:hangingChars="2800"/>
        <w:jc w:val="right"/>
        <w:rPr>
          <w:rFonts w:hint="eastAsia" w:ascii="仿宋_GB2312" w:hAnsi="仿宋_GB2312" w:eastAsia="仿宋_GB2312" w:cs="仿宋_GB2312"/>
          <w:sz w:val="32"/>
          <w:szCs w:val="32"/>
        </w:rPr>
      </w:pPr>
    </w:p>
    <w:p w14:paraId="4255D296">
      <w:pPr>
        <w:ind w:left="8960" w:hanging="8960" w:hangingChars="280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新晃侗族自治县退役军人事务局</w:t>
      </w:r>
      <w:r>
        <w:rPr>
          <w:rFonts w:hint="eastAsia" w:ascii="仿宋_GB2312" w:hAnsi="仿宋_GB2312" w:eastAsia="仿宋_GB2312" w:cs="仿宋_GB2312"/>
          <w:sz w:val="32"/>
          <w:szCs w:val="32"/>
        </w:rPr>
        <w:t xml:space="preserve">                        </w:t>
      </w:r>
    </w:p>
    <w:p w14:paraId="78ED1D8E">
      <w:pPr>
        <w:ind w:firstLine="5120" w:firstLineChars="1600"/>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 xml:space="preserve">月 </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 xml:space="preserve"> 日</w:t>
      </w:r>
    </w:p>
    <w:sectPr>
      <w:pgSz w:w="11906" w:h="16838"/>
      <w:pgMar w:top="1440" w:right="1689" w:bottom="1440" w:left="1689"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019B02"/>
    <w:multiLevelType w:val="singleLevel"/>
    <w:tmpl w:val="A2019B02"/>
    <w:lvl w:ilvl="0" w:tentative="0">
      <w:start w:val="2"/>
      <w:numFmt w:val="chineseCounting"/>
      <w:suff w:val="nothing"/>
      <w:lvlText w:val="（%1）"/>
      <w:lvlJc w:val="left"/>
      <w:rPr>
        <w:rFonts w:hint="eastAsia"/>
      </w:rPr>
    </w:lvl>
  </w:abstractNum>
  <w:abstractNum w:abstractNumId="1">
    <w:nsid w:val="E75A29E5"/>
    <w:multiLevelType w:val="singleLevel"/>
    <w:tmpl w:val="E75A29E5"/>
    <w:lvl w:ilvl="0" w:tentative="0">
      <w:start w:val="6"/>
      <w:numFmt w:val="chineseCounting"/>
      <w:suff w:val="nothing"/>
      <w:lvlText w:val="%1、"/>
      <w:lvlJc w:val="left"/>
      <w:rPr>
        <w:rFonts w:hint="eastAsia"/>
      </w:rPr>
    </w:lvl>
  </w:abstractNum>
  <w:abstractNum w:abstractNumId="2">
    <w:nsid w:val="F17C1999"/>
    <w:multiLevelType w:val="singleLevel"/>
    <w:tmpl w:val="F17C1999"/>
    <w:lvl w:ilvl="0" w:tentative="0">
      <w:start w:val="2"/>
      <w:numFmt w:val="chineseCounting"/>
      <w:suff w:val="nothing"/>
      <w:lvlText w:val="（%1）"/>
      <w:lvlJc w:val="left"/>
      <w:rPr>
        <w:rFonts w:hint="eastAsia"/>
      </w:rPr>
    </w:lvl>
  </w:abstractNum>
  <w:abstractNum w:abstractNumId="3">
    <w:nsid w:val="05AF377D"/>
    <w:multiLevelType w:val="singleLevel"/>
    <w:tmpl w:val="05AF377D"/>
    <w:lvl w:ilvl="0" w:tentative="0">
      <w:start w:val="3"/>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xNzhjYzU4ZTBkNTlmMjNhNmU0NThlYTk3YjE3MGMifQ=="/>
  </w:docVars>
  <w:rsids>
    <w:rsidRoot w:val="00000000"/>
    <w:rsid w:val="12900D3B"/>
    <w:rsid w:val="37732970"/>
    <w:rsid w:val="3B5B050A"/>
    <w:rsid w:val="42764114"/>
    <w:rsid w:val="56A360DC"/>
    <w:rsid w:val="58505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spacing w:line="240" w:lineRule="atLeast"/>
      <w:jc w:val="left"/>
    </w:pPr>
    <w:rPr>
      <w:sz w:val="18"/>
      <w:szCs w:val="18"/>
    </w:rPr>
  </w:style>
  <w:style w:type="paragraph" w:styleId="3">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6">
    <w:name w:val="Strong"/>
    <w:autoRedefine/>
    <w:qFormat/>
    <w:uiPriority w:val="0"/>
    <w:rPr>
      <w:b/>
      <w:bCs/>
    </w:rPr>
  </w:style>
  <w:style w:type="character" w:styleId="7">
    <w:name w:val="page number"/>
    <w:basedOn w:val="5"/>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1961</Words>
  <Characters>2119</Characters>
  <Lines>0</Lines>
  <Paragraphs>0</Paragraphs>
  <TotalTime>8</TotalTime>
  <ScaleCrop>false</ScaleCrop>
  <LinksUpToDate>false</LinksUpToDate>
  <CharactersWithSpaces>2185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2024-04-10T00:32:00Z</dcterms:created>
  <dc:creator>Administrator</dc:creator>
  <cp:lastModifiedBy>呆头呆脑の小豬</cp:lastModifiedBy>
  <dcterms:modified xsi:type="dcterms:W3CDTF">2025-03-26T01:58:20Z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1AB7709B3C1444349ECCE6DD8CBB80BE_12</vt:lpwstr>
  </property>
  <property fmtid="{D5CDD505-2E9C-101B-9397-08002B2CF9AE}" pid="4" name="KSOTemplateDocerSaveRecord">
    <vt:lpwstr>eyJoZGlkIjoiZjgxNzhjYzU4ZTBkNTlmMjNhNmU0NThlYTk3YjE3MGMiLCJ1c2VySWQiOiI0MzkxODQ2NTgifQ==</vt:lpwstr>
  </property>
</Properties>
</file>