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CC0ED">
      <w:pPr>
        <w:spacing w:before="240" w:line="340" w:lineRule="exact"/>
        <w:jc w:val="left"/>
        <w:rPr>
          <w:b/>
          <w:sz w:val="24"/>
        </w:rPr>
      </w:pPr>
      <w:r>
        <w:rPr>
          <w:rFonts w:hint="eastAsia" w:ascii="仿宋_GB2312" w:hAnsi="仿宋_GB2312" w:eastAsia="仿宋_GB2312" w:cs="仿宋_GB2312"/>
          <w:b/>
          <w:sz w:val="24"/>
        </w:rPr>
        <w:t>附件2-3 </w:t>
      </w:r>
    </w:p>
    <w:p w14:paraId="6EDF4B0C">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2023</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04040F10">
      <w:pPr>
        <w:spacing w:line="600" w:lineRule="exact"/>
        <w:jc w:val="center"/>
        <w:rPr>
          <w:rFonts w:hint="eastAsia" w:ascii="仿宋_GB2312" w:eastAsia="仿宋_GB2312"/>
          <w:w w:val="85"/>
          <w:sz w:val="32"/>
          <w:szCs w:val="32"/>
        </w:rPr>
      </w:pPr>
      <w:r>
        <w:rPr>
          <w:rFonts w:hint="eastAsia" w:ascii="仿宋_GB2312" w:hAnsi="方正粗宋简体" w:eastAsia="仿宋_GB2312"/>
          <w:w w:val="85"/>
          <w:sz w:val="32"/>
          <w:szCs w:val="32"/>
        </w:rPr>
        <w:t>（参考格式）</w:t>
      </w:r>
    </w:p>
    <w:p w14:paraId="2D05FEBE">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14:paraId="4B4BE454">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14:paraId="6E8B8905">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根据习近平总书记关于退役军人工作的重要讲话及指示批示精神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《中华人民共和国退役军人保障法》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省委书记张庆伟在考察调研省退役军人事务厅时的重要讲话精神和市委退役军人事务工作领导小组会议精神；结合我县基层退役军人服务站运行</w:t>
      </w:r>
      <w:r>
        <w:rPr>
          <w:rFonts w:hint="eastAsia" w:ascii="仿宋_GB2312" w:hAnsi="仿宋_GB2312" w:eastAsia="仿宋_GB2312" w:cs="仿宋_GB2312"/>
          <w:sz w:val="32"/>
          <w:szCs w:val="32"/>
          <w:lang w:val="en-US" w:eastAsia="zh-CN"/>
        </w:rPr>
        <w:t>的实际情况，保障基层服务站稳定运行，为推动军政军民团结</w:t>
      </w:r>
      <w:r>
        <w:rPr>
          <w:rFonts w:hint="eastAsia" w:ascii="仿宋_GB2312" w:hAnsi="仿宋_GB2312" w:eastAsia="仿宋_GB2312" w:cs="仿宋_GB2312"/>
          <w:sz w:val="32"/>
          <w:szCs w:val="32"/>
        </w:rPr>
        <w:t>、稳定军心</w:t>
      </w:r>
      <w:r>
        <w:rPr>
          <w:rFonts w:hint="eastAsia" w:ascii="仿宋_GB2312" w:hAnsi="仿宋_GB2312" w:eastAsia="仿宋_GB2312" w:cs="仿宋_GB2312"/>
          <w:sz w:val="32"/>
          <w:szCs w:val="32"/>
          <w:lang w:eastAsia="zh-CN"/>
        </w:rPr>
        <w:t>民心</w:t>
      </w:r>
      <w:r>
        <w:rPr>
          <w:rFonts w:hint="eastAsia" w:ascii="仿宋_GB2312" w:hAnsi="仿宋_GB2312" w:eastAsia="仿宋_GB2312" w:cs="仿宋_GB2312"/>
          <w:sz w:val="32"/>
          <w:szCs w:val="32"/>
        </w:rPr>
        <w:t>，促进社会稳定、和谐</w:t>
      </w:r>
      <w:r>
        <w:rPr>
          <w:rFonts w:hint="eastAsia" w:ascii="仿宋_GB2312" w:hAnsi="仿宋_GB2312" w:eastAsia="仿宋_GB2312" w:cs="仿宋_GB2312"/>
          <w:sz w:val="32"/>
          <w:szCs w:val="32"/>
          <w:lang w:eastAsia="zh-CN"/>
        </w:rPr>
        <w:t>，经请示县人民政府审批同意，设置本项目。</w:t>
      </w:r>
    </w:p>
    <w:p w14:paraId="7A02D308">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2024年基层退役军人服务站运行经费项目年初预算22万元，全年预算数22万元，全年执行数22万元。主要用于各乡镇基层退役军人服务站运行，有效保障基层服务站日常运行。</w:t>
      </w:r>
    </w:p>
    <w:p w14:paraId="515D8D9F">
      <w:pPr>
        <w:numPr>
          <w:ilvl w:val="0"/>
          <w:numId w:val="0"/>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（二）项目绩效目标。包括总体目标和阶段性目标。</w:t>
      </w:r>
    </w:p>
    <w:p w14:paraId="42FDFA3C">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：保障各乡镇退役军人服务站正常运行，为各乡镇退役军人做好服务工作，</w:t>
      </w:r>
      <w:r>
        <w:rPr>
          <w:rFonts w:hint="eastAsia" w:ascii="仿宋_GB2312" w:hAnsi="仿宋_GB2312" w:eastAsia="仿宋_GB2312" w:cs="仿宋_GB2312"/>
          <w:sz w:val="32"/>
          <w:szCs w:val="32"/>
          <w:lang w:val="en-US" w:eastAsia="zh-CN"/>
        </w:rPr>
        <w:t>推动军政军民团结</w:t>
      </w:r>
      <w:r>
        <w:rPr>
          <w:rFonts w:hint="eastAsia" w:ascii="仿宋_GB2312" w:hAnsi="仿宋_GB2312" w:eastAsia="仿宋_GB2312" w:cs="仿宋_GB2312"/>
          <w:sz w:val="32"/>
          <w:szCs w:val="32"/>
        </w:rPr>
        <w:t>、稳定军心</w:t>
      </w:r>
      <w:r>
        <w:rPr>
          <w:rFonts w:hint="eastAsia" w:ascii="仿宋_GB2312" w:hAnsi="仿宋_GB2312" w:eastAsia="仿宋_GB2312" w:cs="仿宋_GB2312"/>
          <w:sz w:val="32"/>
          <w:szCs w:val="32"/>
          <w:lang w:eastAsia="zh-CN"/>
        </w:rPr>
        <w:t>民心</w:t>
      </w:r>
      <w:r>
        <w:rPr>
          <w:rFonts w:hint="eastAsia" w:ascii="仿宋_GB2312" w:hAnsi="仿宋_GB2312" w:eastAsia="仿宋_GB2312" w:cs="仿宋_GB2312"/>
          <w:sz w:val="32"/>
          <w:szCs w:val="32"/>
        </w:rPr>
        <w:t>，促进社会稳定、和谐</w:t>
      </w:r>
      <w:r>
        <w:rPr>
          <w:rFonts w:hint="eastAsia" w:ascii="仿宋_GB2312" w:hAnsi="仿宋_GB2312" w:eastAsia="仿宋_GB2312" w:cs="仿宋_GB2312"/>
          <w:sz w:val="32"/>
          <w:szCs w:val="32"/>
          <w:lang w:eastAsia="zh-CN"/>
        </w:rPr>
        <w:t>。</w:t>
      </w:r>
    </w:p>
    <w:p w14:paraId="30A38066">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：保障各乡镇退役军人服务站正常运行，为各乡镇退役军人做好服务工作。</w:t>
      </w:r>
    </w:p>
    <w:p w14:paraId="63687AFA">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p>
    <w:p w14:paraId="0841C6D0">
      <w:pPr>
        <w:spacing w:line="560" w:lineRule="exact"/>
        <w:ind w:firstLine="640" w:firstLineChars="200"/>
        <w:jc w:val="left"/>
        <w:rPr>
          <w:rFonts w:hint="eastAsia" w:ascii="仿宋_GB2312" w:hAnsi="仿宋_GB2312" w:eastAsia="仿宋_GB2312" w:cs="仿宋_GB2312"/>
          <w:sz w:val="32"/>
          <w:szCs w:val="32"/>
        </w:rPr>
      </w:pPr>
    </w:p>
    <w:p w14:paraId="2F5224BE">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14:paraId="38DC260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0DB719D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14:paraId="50CB26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14:paraId="6B99030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14:paraId="3D9CAC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2024年基层退役军人服务站运行经费项目年初预算22万元，全年预算数22万元，全年执行数22万元。主要用于各乡镇基层退役军人服务站运行，有效保障基层服务站日常运行。</w:t>
      </w:r>
    </w:p>
    <w:p w14:paraId="7C2322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14:paraId="4B9EC9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14:paraId="56ACAA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14:paraId="579D816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14:paraId="309603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W w:w="82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260"/>
        <w:gridCol w:w="2196"/>
        <w:gridCol w:w="2664"/>
        <w:gridCol w:w="2178"/>
      </w:tblGrid>
      <w:tr w14:paraId="5DC0E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1260" w:type="dxa"/>
            <w:vMerge w:val="restart"/>
            <w:tcBorders>
              <w:top w:val="nil"/>
              <w:left w:val="single" w:color="000000" w:sz="8" w:space="0"/>
              <w:bottom w:val="single" w:color="000000" w:sz="8" w:space="0"/>
              <w:right w:val="single" w:color="000000" w:sz="8" w:space="0"/>
            </w:tcBorders>
            <w:shd w:val="clear"/>
            <w:vAlign w:val="center"/>
          </w:tcPr>
          <w:p w14:paraId="4E64B144">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一级指标</w:t>
            </w:r>
          </w:p>
        </w:tc>
        <w:tc>
          <w:tcPr>
            <w:tcW w:w="2196" w:type="dxa"/>
            <w:vMerge w:val="restart"/>
            <w:tcBorders>
              <w:top w:val="nil"/>
              <w:left w:val="single" w:color="000000" w:sz="8" w:space="0"/>
              <w:bottom w:val="single" w:color="000000" w:sz="8" w:space="0"/>
              <w:right w:val="single" w:color="000000" w:sz="8" w:space="0"/>
            </w:tcBorders>
            <w:shd w:val="clear"/>
            <w:vAlign w:val="center"/>
          </w:tcPr>
          <w:p w14:paraId="4A390591">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二级指标</w:t>
            </w:r>
          </w:p>
        </w:tc>
        <w:tc>
          <w:tcPr>
            <w:tcW w:w="2664" w:type="dxa"/>
            <w:vMerge w:val="restart"/>
            <w:tcBorders>
              <w:top w:val="nil"/>
              <w:left w:val="single" w:color="000000" w:sz="8" w:space="0"/>
              <w:bottom w:val="single" w:color="000000" w:sz="8" w:space="0"/>
              <w:right w:val="single" w:color="000000" w:sz="8" w:space="0"/>
            </w:tcBorders>
            <w:shd w:val="clear"/>
            <w:vAlign w:val="center"/>
          </w:tcPr>
          <w:p w14:paraId="10C6E5C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三级指标</w:t>
            </w:r>
          </w:p>
        </w:tc>
        <w:tc>
          <w:tcPr>
            <w:tcW w:w="2178" w:type="dxa"/>
            <w:vMerge w:val="restart"/>
            <w:tcBorders>
              <w:top w:val="nil"/>
              <w:left w:val="nil"/>
              <w:bottom w:val="single" w:color="000000" w:sz="8" w:space="0"/>
              <w:right w:val="nil"/>
            </w:tcBorders>
            <w:shd w:val="clear"/>
            <w:vAlign w:val="center"/>
          </w:tcPr>
          <w:p w14:paraId="15612C3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年度指标值</w:t>
            </w:r>
          </w:p>
        </w:tc>
      </w:tr>
      <w:tr w14:paraId="2820B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260" w:type="dxa"/>
            <w:vMerge w:val="continue"/>
            <w:tcBorders>
              <w:top w:val="nil"/>
              <w:left w:val="single" w:color="000000" w:sz="8" w:space="0"/>
              <w:bottom w:val="single" w:color="000000" w:sz="8" w:space="0"/>
              <w:right w:val="single" w:color="000000" w:sz="8" w:space="0"/>
            </w:tcBorders>
            <w:shd w:val="clear"/>
            <w:vAlign w:val="center"/>
          </w:tcPr>
          <w:p w14:paraId="075B1E8C">
            <w:pPr>
              <w:jc w:val="center"/>
              <w:rPr>
                <w:rFonts w:hint="eastAsia" w:ascii="微软雅黑" w:hAnsi="微软雅黑" w:eastAsia="微软雅黑" w:cs="微软雅黑"/>
                <w:b/>
                <w:bCs/>
                <w:i w:val="0"/>
                <w:iCs w:val="0"/>
                <w:color w:val="000000"/>
                <w:sz w:val="22"/>
                <w:szCs w:val="22"/>
                <w:u w:val="none"/>
              </w:rPr>
            </w:pPr>
          </w:p>
        </w:tc>
        <w:tc>
          <w:tcPr>
            <w:tcW w:w="2196" w:type="dxa"/>
            <w:vMerge w:val="continue"/>
            <w:tcBorders>
              <w:top w:val="nil"/>
              <w:left w:val="single" w:color="000000" w:sz="8" w:space="0"/>
              <w:bottom w:val="single" w:color="000000" w:sz="8" w:space="0"/>
              <w:right w:val="single" w:color="000000" w:sz="8" w:space="0"/>
            </w:tcBorders>
            <w:shd w:val="clear"/>
            <w:vAlign w:val="center"/>
          </w:tcPr>
          <w:p w14:paraId="093C9A33">
            <w:pPr>
              <w:jc w:val="center"/>
              <w:rPr>
                <w:rFonts w:hint="eastAsia" w:ascii="微软雅黑" w:hAnsi="微软雅黑" w:eastAsia="微软雅黑" w:cs="微软雅黑"/>
                <w:b/>
                <w:bCs/>
                <w:i w:val="0"/>
                <w:iCs w:val="0"/>
                <w:color w:val="000000"/>
                <w:sz w:val="22"/>
                <w:szCs w:val="22"/>
                <w:u w:val="none"/>
              </w:rPr>
            </w:pPr>
          </w:p>
        </w:tc>
        <w:tc>
          <w:tcPr>
            <w:tcW w:w="2664" w:type="dxa"/>
            <w:vMerge w:val="continue"/>
            <w:tcBorders>
              <w:top w:val="nil"/>
              <w:left w:val="single" w:color="000000" w:sz="8" w:space="0"/>
              <w:bottom w:val="single" w:color="000000" w:sz="8" w:space="0"/>
              <w:right w:val="single" w:color="000000" w:sz="8" w:space="0"/>
            </w:tcBorders>
            <w:shd w:val="clear"/>
            <w:vAlign w:val="center"/>
          </w:tcPr>
          <w:p w14:paraId="356E2D5F">
            <w:pPr>
              <w:jc w:val="center"/>
              <w:rPr>
                <w:rFonts w:hint="eastAsia" w:ascii="微软雅黑" w:hAnsi="微软雅黑" w:eastAsia="微软雅黑" w:cs="微软雅黑"/>
                <w:b/>
                <w:bCs/>
                <w:i w:val="0"/>
                <w:iCs w:val="0"/>
                <w:color w:val="000000"/>
                <w:sz w:val="22"/>
                <w:szCs w:val="22"/>
                <w:u w:val="none"/>
              </w:rPr>
            </w:pPr>
          </w:p>
        </w:tc>
        <w:tc>
          <w:tcPr>
            <w:tcW w:w="2178" w:type="dxa"/>
            <w:vMerge w:val="continue"/>
            <w:tcBorders>
              <w:top w:val="nil"/>
              <w:left w:val="nil"/>
              <w:bottom w:val="single" w:color="000000" w:sz="8" w:space="0"/>
              <w:right w:val="nil"/>
            </w:tcBorders>
            <w:shd w:val="clear"/>
            <w:vAlign w:val="center"/>
          </w:tcPr>
          <w:p w14:paraId="282D4F4B">
            <w:pPr>
              <w:jc w:val="center"/>
              <w:rPr>
                <w:rFonts w:hint="eastAsia" w:ascii="微软雅黑" w:hAnsi="微软雅黑" w:eastAsia="微软雅黑" w:cs="微软雅黑"/>
                <w:b/>
                <w:bCs/>
                <w:i w:val="0"/>
                <w:iCs w:val="0"/>
                <w:color w:val="000000"/>
                <w:sz w:val="22"/>
                <w:szCs w:val="22"/>
                <w:u w:val="none"/>
              </w:rPr>
            </w:pPr>
          </w:p>
        </w:tc>
      </w:tr>
      <w:tr w14:paraId="7891A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260" w:type="dxa"/>
            <w:vMerge w:val="continue"/>
            <w:tcBorders>
              <w:top w:val="nil"/>
              <w:left w:val="single" w:color="000000" w:sz="8" w:space="0"/>
              <w:bottom w:val="single" w:color="000000" w:sz="8" w:space="0"/>
              <w:right w:val="single" w:color="000000" w:sz="8" w:space="0"/>
            </w:tcBorders>
            <w:shd w:val="clear"/>
            <w:vAlign w:val="center"/>
          </w:tcPr>
          <w:p w14:paraId="1ABD9473">
            <w:pPr>
              <w:jc w:val="center"/>
              <w:rPr>
                <w:rFonts w:hint="eastAsia" w:ascii="微软雅黑" w:hAnsi="微软雅黑" w:eastAsia="微软雅黑" w:cs="微软雅黑"/>
                <w:b/>
                <w:bCs/>
                <w:i w:val="0"/>
                <w:iCs w:val="0"/>
                <w:color w:val="000000"/>
                <w:sz w:val="22"/>
                <w:szCs w:val="22"/>
                <w:u w:val="none"/>
              </w:rPr>
            </w:pPr>
          </w:p>
        </w:tc>
        <w:tc>
          <w:tcPr>
            <w:tcW w:w="2196" w:type="dxa"/>
            <w:vMerge w:val="continue"/>
            <w:tcBorders>
              <w:top w:val="nil"/>
              <w:left w:val="single" w:color="000000" w:sz="8" w:space="0"/>
              <w:bottom w:val="single" w:color="000000" w:sz="8" w:space="0"/>
              <w:right w:val="single" w:color="000000" w:sz="8" w:space="0"/>
            </w:tcBorders>
            <w:shd w:val="clear"/>
            <w:vAlign w:val="center"/>
          </w:tcPr>
          <w:p w14:paraId="169C3B35">
            <w:pPr>
              <w:jc w:val="center"/>
              <w:rPr>
                <w:rFonts w:hint="eastAsia" w:ascii="微软雅黑" w:hAnsi="微软雅黑" w:eastAsia="微软雅黑" w:cs="微软雅黑"/>
                <w:b/>
                <w:bCs/>
                <w:i w:val="0"/>
                <w:iCs w:val="0"/>
                <w:color w:val="000000"/>
                <w:sz w:val="22"/>
                <w:szCs w:val="22"/>
                <w:u w:val="none"/>
              </w:rPr>
            </w:pPr>
          </w:p>
        </w:tc>
        <w:tc>
          <w:tcPr>
            <w:tcW w:w="2664" w:type="dxa"/>
            <w:vMerge w:val="continue"/>
            <w:tcBorders>
              <w:top w:val="nil"/>
              <w:left w:val="single" w:color="000000" w:sz="8" w:space="0"/>
              <w:bottom w:val="single" w:color="000000" w:sz="8" w:space="0"/>
              <w:right w:val="single" w:color="000000" w:sz="8" w:space="0"/>
            </w:tcBorders>
            <w:shd w:val="clear"/>
            <w:vAlign w:val="center"/>
          </w:tcPr>
          <w:p w14:paraId="65BAD546">
            <w:pPr>
              <w:jc w:val="center"/>
              <w:rPr>
                <w:rFonts w:hint="eastAsia" w:ascii="微软雅黑" w:hAnsi="微软雅黑" w:eastAsia="微软雅黑" w:cs="微软雅黑"/>
                <w:b/>
                <w:bCs/>
                <w:i w:val="0"/>
                <w:iCs w:val="0"/>
                <w:color w:val="000000"/>
                <w:sz w:val="22"/>
                <w:szCs w:val="22"/>
                <w:u w:val="none"/>
              </w:rPr>
            </w:pPr>
          </w:p>
        </w:tc>
        <w:tc>
          <w:tcPr>
            <w:tcW w:w="2178" w:type="dxa"/>
            <w:vMerge w:val="continue"/>
            <w:tcBorders>
              <w:top w:val="nil"/>
              <w:left w:val="nil"/>
              <w:bottom w:val="single" w:color="000000" w:sz="8" w:space="0"/>
              <w:right w:val="nil"/>
            </w:tcBorders>
            <w:shd w:val="clear"/>
            <w:vAlign w:val="center"/>
          </w:tcPr>
          <w:p w14:paraId="15BBF088">
            <w:pPr>
              <w:jc w:val="center"/>
              <w:rPr>
                <w:rFonts w:hint="eastAsia" w:ascii="微软雅黑" w:hAnsi="微软雅黑" w:eastAsia="微软雅黑" w:cs="微软雅黑"/>
                <w:b/>
                <w:bCs/>
                <w:i w:val="0"/>
                <w:iCs w:val="0"/>
                <w:color w:val="000000"/>
                <w:sz w:val="22"/>
                <w:szCs w:val="22"/>
                <w:u w:val="none"/>
              </w:rPr>
            </w:pPr>
          </w:p>
        </w:tc>
      </w:tr>
      <w:tr w14:paraId="53192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 w:hRule="atLeast"/>
        </w:trPr>
        <w:tc>
          <w:tcPr>
            <w:tcW w:w="1260" w:type="dxa"/>
            <w:vMerge w:val="restart"/>
            <w:tcBorders>
              <w:top w:val="nil"/>
              <w:left w:val="single" w:color="000000" w:sz="8" w:space="0"/>
              <w:bottom w:val="single" w:color="000000" w:sz="8" w:space="0"/>
              <w:right w:val="single" w:color="000000" w:sz="8" w:space="0"/>
            </w:tcBorders>
            <w:shd w:val="clear"/>
            <w:vAlign w:val="center"/>
          </w:tcPr>
          <w:p w14:paraId="5DA2D5A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产出指标</w:t>
            </w:r>
          </w:p>
        </w:tc>
        <w:tc>
          <w:tcPr>
            <w:tcW w:w="2196" w:type="dxa"/>
            <w:vMerge w:val="restart"/>
            <w:tcBorders>
              <w:top w:val="nil"/>
              <w:left w:val="single" w:color="000000" w:sz="8" w:space="0"/>
              <w:bottom w:val="single" w:color="000000" w:sz="8" w:space="0"/>
              <w:right w:val="single" w:color="000000" w:sz="8" w:space="0"/>
            </w:tcBorders>
            <w:shd w:val="clear"/>
            <w:vAlign w:val="center"/>
          </w:tcPr>
          <w:p w14:paraId="48D57F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数量指标</w:t>
            </w:r>
          </w:p>
        </w:tc>
        <w:tc>
          <w:tcPr>
            <w:tcW w:w="2664" w:type="dxa"/>
            <w:tcBorders>
              <w:top w:val="nil"/>
              <w:left w:val="single" w:color="000000" w:sz="8" w:space="0"/>
              <w:bottom w:val="single" w:color="000000" w:sz="8" w:space="0"/>
              <w:right w:val="single" w:color="000000" w:sz="8" w:space="0"/>
            </w:tcBorders>
            <w:shd w:val="clear"/>
            <w:vAlign w:val="center"/>
          </w:tcPr>
          <w:p w14:paraId="7A3F9CB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覆盖乡镇数量</w:t>
            </w:r>
          </w:p>
        </w:tc>
        <w:tc>
          <w:tcPr>
            <w:tcW w:w="2178" w:type="dxa"/>
            <w:tcBorders>
              <w:top w:val="nil"/>
              <w:left w:val="nil"/>
              <w:bottom w:val="single" w:color="000000" w:sz="8" w:space="0"/>
              <w:right w:val="nil"/>
            </w:tcBorders>
            <w:shd w:val="clear"/>
            <w:vAlign w:val="center"/>
          </w:tcPr>
          <w:p w14:paraId="49987D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11</w:t>
            </w:r>
          </w:p>
        </w:tc>
      </w:tr>
      <w:tr w14:paraId="0A23B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 w:hRule="atLeast"/>
        </w:trPr>
        <w:tc>
          <w:tcPr>
            <w:tcW w:w="1260" w:type="dxa"/>
            <w:vMerge w:val="continue"/>
            <w:tcBorders>
              <w:top w:val="nil"/>
              <w:left w:val="single" w:color="000000" w:sz="8" w:space="0"/>
              <w:bottom w:val="single" w:color="000000" w:sz="8" w:space="0"/>
              <w:right w:val="single" w:color="000000" w:sz="8" w:space="0"/>
            </w:tcBorders>
            <w:shd w:val="clear"/>
            <w:vAlign w:val="center"/>
          </w:tcPr>
          <w:p w14:paraId="5AC12F59">
            <w:pPr>
              <w:jc w:val="center"/>
              <w:rPr>
                <w:rFonts w:hint="eastAsia" w:ascii="微软雅黑" w:hAnsi="微软雅黑" w:eastAsia="微软雅黑" w:cs="微软雅黑"/>
                <w:i w:val="0"/>
                <w:iCs w:val="0"/>
                <w:color w:val="000000"/>
                <w:sz w:val="20"/>
                <w:szCs w:val="20"/>
                <w:u w:val="none"/>
              </w:rPr>
            </w:pPr>
          </w:p>
        </w:tc>
        <w:tc>
          <w:tcPr>
            <w:tcW w:w="2196" w:type="dxa"/>
            <w:vMerge w:val="continue"/>
            <w:tcBorders>
              <w:top w:val="nil"/>
              <w:left w:val="single" w:color="000000" w:sz="8" w:space="0"/>
              <w:bottom w:val="single" w:color="000000" w:sz="8" w:space="0"/>
              <w:right w:val="single" w:color="000000" w:sz="8" w:space="0"/>
            </w:tcBorders>
            <w:shd w:val="clear"/>
            <w:vAlign w:val="center"/>
          </w:tcPr>
          <w:p w14:paraId="3F367FCB">
            <w:pPr>
              <w:jc w:val="center"/>
              <w:rPr>
                <w:rFonts w:hint="eastAsia" w:ascii="微软雅黑" w:hAnsi="微软雅黑" w:eastAsia="微软雅黑" w:cs="微软雅黑"/>
                <w:i w:val="0"/>
                <w:iCs w:val="0"/>
                <w:color w:val="000000"/>
                <w:sz w:val="20"/>
                <w:szCs w:val="20"/>
                <w:u w:val="none"/>
              </w:rPr>
            </w:pPr>
          </w:p>
        </w:tc>
        <w:tc>
          <w:tcPr>
            <w:tcW w:w="2664" w:type="dxa"/>
            <w:tcBorders>
              <w:top w:val="nil"/>
              <w:left w:val="single" w:color="000000" w:sz="8" w:space="0"/>
              <w:bottom w:val="single" w:color="000000" w:sz="8" w:space="0"/>
              <w:right w:val="single" w:color="000000" w:sz="8" w:space="0"/>
            </w:tcBorders>
            <w:shd w:val="clear"/>
            <w:vAlign w:val="center"/>
          </w:tcPr>
          <w:p w14:paraId="67CE6A3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全年服务退役军人数量</w:t>
            </w:r>
          </w:p>
        </w:tc>
        <w:tc>
          <w:tcPr>
            <w:tcW w:w="2178" w:type="dxa"/>
            <w:tcBorders>
              <w:top w:val="nil"/>
              <w:left w:val="nil"/>
              <w:bottom w:val="single" w:color="000000" w:sz="8" w:space="0"/>
              <w:right w:val="nil"/>
            </w:tcBorders>
            <w:shd w:val="clear"/>
            <w:vAlign w:val="center"/>
          </w:tcPr>
          <w:p w14:paraId="08E0ECF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39B49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 w:hRule="atLeast"/>
        </w:trPr>
        <w:tc>
          <w:tcPr>
            <w:tcW w:w="1260" w:type="dxa"/>
            <w:vMerge w:val="continue"/>
            <w:tcBorders>
              <w:top w:val="nil"/>
              <w:left w:val="single" w:color="000000" w:sz="8" w:space="0"/>
              <w:bottom w:val="single" w:color="000000" w:sz="8" w:space="0"/>
              <w:right w:val="single" w:color="000000" w:sz="8" w:space="0"/>
            </w:tcBorders>
            <w:shd w:val="clear"/>
            <w:vAlign w:val="center"/>
          </w:tcPr>
          <w:p w14:paraId="1EBF9F91">
            <w:pPr>
              <w:jc w:val="center"/>
              <w:rPr>
                <w:rFonts w:hint="eastAsia" w:ascii="微软雅黑" w:hAnsi="微软雅黑" w:eastAsia="微软雅黑" w:cs="微软雅黑"/>
                <w:i w:val="0"/>
                <w:iCs w:val="0"/>
                <w:color w:val="000000"/>
                <w:sz w:val="20"/>
                <w:szCs w:val="20"/>
                <w:u w:val="none"/>
              </w:rPr>
            </w:pPr>
          </w:p>
        </w:tc>
        <w:tc>
          <w:tcPr>
            <w:tcW w:w="2196" w:type="dxa"/>
            <w:tcBorders>
              <w:top w:val="nil"/>
              <w:left w:val="single" w:color="000000" w:sz="8" w:space="0"/>
              <w:bottom w:val="single" w:color="000000" w:sz="8" w:space="0"/>
              <w:right w:val="single" w:color="000000" w:sz="8" w:space="0"/>
            </w:tcBorders>
            <w:shd w:val="clear"/>
            <w:vAlign w:val="center"/>
          </w:tcPr>
          <w:p w14:paraId="1E8C18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质量指标</w:t>
            </w:r>
          </w:p>
        </w:tc>
        <w:tc>
          <w:tcPr>
            <w:tcW w:w="2664" w:type="dxa"/>
            <w:tcBorders>
              <w:top w:val="nil"/>
              <w:left w:val="single" w:color="000000" w:sz="8" w:space="0"/>
              <w:bottom w:val="single" w:color="000000" w:sz="8" w:space="0"/>
              <w:right w:val="single" w:color="000000" w:sz="8" w:space="0"/>
            </w:tcBorders>
            <w:shd w:val="clear"/>
            <w:vAlign w:val="center"/>
          </w:tcPr>
          <w:p w14:paraId="24068A4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工作经费使用率</w:t>
            </w:r>
          </w:p>
        </w:tc>
        <w:tc>
          <w:tcPr>
            <w:tcW w:w="2178" w:type="dxa"/>
            <w:tcBorders>
              <w:top w:val="nil"/>
              <w:left w:val="nil"/>
              <w:bottom w:val="single" w:color="000000" w:sz="8" w:space="0"/>
              <w:right w:val="nil"/>
            </w:tcBorders>
            <w:shd w:val="clear"/>
            <w:vAlign w:val="center"/>
          </w:tcPr>
          <w:p w14:paraId="32718D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80</w:t>
            </w:r>
          </w:p>
        </w:tc>
      </w:tr>
      <w:tr w14:paraId="551D5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260" w:type="dxa"/>
            <w:vMerge w:val="continue"/>
            <w:tcBorders>
              <w:top w:val="nil"/>
              <w:left w:val="single" w:color="000000" w:sz="8" w:space="0"/>
              <w:bottom w:val="single" w:color="000000" w:sz="8" w:space="0"/>
              <w:right w:val="single" w:color="000000" w:sz="8" w:space="0"/>
            </w:tcBorders>
            <w:shd w:val="clear"/>
            <w:vAlign w:val="center"/>
          </w:tcPr>
          <w:p w14:paraId="0A6DE8DE">
            <w:pPr>
              <w:jc w:val="center"/>
              <w:rPr>
                <w:rFonts w:hint="eastAsia" w:ascii="微软雅黑" w:hAnsi="微软雅黑" w:eastAsia="微软雅黑" w:cs="微软雅黑"/>
                <w:i w:val="0"/>
                <w:iCs w:val="0"/>
                <w:color w:val="000000"/>
                <w:sz w:val="20"/>
                <w:szCs w:val="20"/>
                <w:u w:val="none"/>
              </w:rPr>
            </w:pPr>
          </w:p>
        </w:tc>
        <w:tc>
          <w:tcPr>
            <w:tcW w:w="2196" w:type="dxa"/>
            <w:tcBorders>
              <w:top w:val="nil"/>
              <w:left w:val="single" w:color="000000" w:sz="8" w:space="0"/>
              <w:bottom w:val="single" w:color="000000" w:sz="8" w:space="0"/>
              <w:right w:val="single" w:color="000000" w:sz="8" w:space="0"/>
            </w:tcBorders>
            <w:shd w:val="clear"/>
            <w:vAlign w:val="center"/>
          </w:tcPr>
          <w:p w14:paraId="58DAE79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时效指标</w:t>
            </w:r>
          </w:p>
        </w:tc>
        <w:tc>
          <w:tcPr>
            <w:tcW w:w="2664" w:type="dxa"/>
            <w:tcBorders>
              <w:top w:val="nil"/>
              <w:left w:val="single" w:color="000000" w:sz="8" w:space="0"/>
              <w:bottom w:val="single" w:color="000000" w:sz="8" w:space="0"/>
              <w:right w:val="single" w:color="000000" w:sz="8" w:space="0"/>
            </w:tcBorders>
            <w:shd w:val="clear"/>
            <w:vAlign w:val="center"/>
          </w:tcPr>
          <w:p w14:paraId="10B8CA5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工作经费及时拨付情况</w:t>
            </w:r>
          </w:p>
        </w:tc>
        <w:tc>
          <w:tcPr>
            <w:tcW w:w="2178" w:type="dxa"/>
            <w:tcBorders>
              <w:top w:val="nil"/>
              <w:left w:val="nil"/>
              <w:bottom w:val="single" w:color="000000" w:sz="8" w:space="0"/>
              <w:right w:val="nil"/>
            </w:tcBorders>
            <w:shd w:val="clear"/>
            <w:vAlign w:val="center"/>
          </w:tcPr>
          <w:p w14:paraId="0D47379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2024年12月31日前</w:t>
            </w:r>
          </w:p>
        </w:tc>
      </w:tr>
      <w:tr w14:paraId="48806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260" w:type="dxa"/>
            <w:vMerge w:val="continue"/>
            <w:tcBorders>
              <w:top w:val="nil"/>
              <w:left w:val="single" w:color="000000" w:sz="8" w:space="0"/>
              <w:bottom w:val="single" w:color="000000" w:sz="8" w:space="0"/>
              <w:right w:val="single" w:color="000000" w:sz="8" w:space="0"/>
            </w:tcBorders>
            <w:shd w:val="clear"/>
            <w:vAlign w:val="center"/>
          </w:tcPr>
          <w:p w14:paraId="6603C332">
            <w:pPr>
              <w:jc w:val="center"/>
              <w:rPr>
                <w:rFonts w:hint="eastAsia" w:ascii="微软雅黑" w:hAnsi="微软雅黑" w:eastAsia="微软雅黑" w:cs="微软雅黑"/>
                <w:i w:val="0"/>
                <w:iCs w:val="0"/>
                <w:color w:val="000000"/>
                <w:sz w:val="20"/>
                <w:szCs w:val="20"/>
                <w:u w:val="none"/>
              </w:rPr>
            </w:pPr>
          </w:p>
        </w:tc>
        <w:tc>
          <w:tcPr>
            <w:tcW w:w="2196" w:type="dxa"/>
            <w:tcBorders>
              <w:top w:val="nil"/>
              <w:left w:val="single" w:color="000000" w:sz="8" w:space="0"/>
              <w:bottom w:val="single" w:color="000000" w:sz="8" w:space="0"/>
              <w:right w:val="single" w:color="000000" w:sz="8" w:space="0"/>
            </w:tcBorders>
            <w:shd w:val="clear"/>
            <w:vAlign w:val="center"/>
          </w:tcPr>
          <w:p w14:paraId="6428A6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社会效益指标</w:t>
            </w:r>
          </w:p>
        </w:tc>
        <w:tc>
          <w:tcPr>
            <w:tcW w:w="2664" w:type="dxa"/>
            <w:tcBorders>
              <w:top w:val="nil"/>
              <w:left w:val="single" w:color="000000" w:sz="8" w:space="0"/>
              <w:bottom w:val="single" w:color="000000" w:sz="8" w:space="0"/>
              <w:right w:val="single" w:color="000000" w:sz="8" w:space="0"/>
            </w:tcBorders>
            <w:shd w:val="clear"/>
            <w:vAlign w:val="center"/>
          </w:tcPr>
          <w:p w14:paraId="35291C4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提升乡镇服务站服务水平</w:t>
            </w:r>
          </w:p>
        </w:tc>
        <w:tc>
          <w:tcPr>
            <w:tcW w:w="2178" w:type="dxa"/>
            <w:tcBorders>
              <w:top w:val="nil"/>
              <w:left w:val="nil"/>
              <w:bottom w:val="single" w:color="000000" w:sz="8" w:space="0"/>
              <w:right w:val="nil"/>
            </w:tcBorders>
            <w:shd w:val="clear"/>
            <w:vAlign w:val="center"/>
          </w:tcPr>
          <w:p w14:paraId="7FBDE1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效果显著</w:t>
            </w:r>
          </w:p>
        </w:tc>
      </w:tr>
      <w:tr w14:paraId="00BE5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 w:hRule="atLeast"/>
        </w:trPr>
        <w:tc>
          <w:tcPr>
            <w:tcW w:w="1260" w:type="dxa"/>
            <w:vMerge w:val="continue"/>
            <w:tcBorders>
              <w:top w:val="nil"/>
              <w:left w:val="single" w:color="000000" w:sz="8" w:space="0"/>
              <w:bottom w:val="single" w:color="000000" w:sz="8" w:space="0"/>
              <w:right w:val="single" w:color="000000" w:sz="8" w:space="0"/>
            </w:tcBorders>
            <w:shd w:val="clear"/>
            <w:vAlign w:val="center"/>
          </w:tcPr>
          <w:p w14:paraId="5F1922E0">
            <w:pPr>
              <w:jc w:val="center"/>
              <w:rPr>
                <w:rFonts w:hint="eastAsia" w:ascii="微软雅黑" w:hAnsi="微软雅黑" w:eastAsia="微软雅黑" w:cs="微软雅黑"/>
                <w:i w:val="0"/>
                <w:iCs w:val="0"/>
                <w:color w:val="000000"/>
                <w:sz w:val="20"/>
                <w:szCs w:val="20"/>
                <w:u w:val="none"/>
              </w:rPr>
            </w:pPr>
          </w:p>
        </w:tc>
        <w:tc>
          <w:tcPr>
            <w:tcW w:w="2196" w:type="dxa"/>
            <w:tcBorders>
              <w:top w:val="nil"/>
              <w:left w:val="single" w:color="000000" w:sz="8" w:space="0"/>
              <w:bottom w:val="single" w:color="000000" w:sz="8" w:space="0"/>
              <w:right w:val="single" w:color="000000" w:sz="8" w:space="0"/>
            </w:tcBorders>
            <w:shd w:val="clear"/>
            <w:vAlign w:val="center"/>
          </w:tcPr>
          <w:p w14:paraId="3DB2FD2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可持续影响指标</w:t>
            </w:r>
          </w:p>
        </w:tc>
        <w:tc>
          <w:tcPr>
            <w:tcW w:w="2664" w:type="dxa"/>
            <w:tcBorders>
              <w:top w:val="nil"/>
              <w:left w:val="single" w:color="000000" w:sz="8" w:space="0"/>
              <w:bottom w:val="single" w:color="000000" w:sz="8" w:space="0"/>
              <w:right w:val="single" w:color="000000" w:sz="8" w:space="0"/>
            </w:tcBorders>
            <w:shd w:val="clear"/>
            <w:vAlign w:val="center"/>
          </w:tcPr>
          <w:p w14:paraId="2923D97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实施持续性宣传</w:t>
            </w:r>
          </w:p>
        </w:tc>
        <w:tc>
          <w:tcPr>
            <w:tcW w:w="2178" w:type="dxa"/>
            <w:tcBorders>
              <w:top w:val="nil"/>
              <w:left w:val="nil"/>
              <w:bottom w:val="single" w:color="000000" w:sz="8" w:space="0"/>
              <w:right w:val="nil"/>
            </w:tcBorders>
            <w:shd w:val="clear"/>
            <w:vAlign w:val="center"/>
          </w:tcPr>
          <w:p w14:paraId="7D2E3AE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效果显著</w:t>
            </w:r>
          </w:p>
        </w:tc>
      </w:tr>
      <w:tr w14:paraId="0C6A4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 w:hRule="atLeast"/>
        </w:trPr>
        <w:tc>
          <w:tcPr>
            <w:tcW w:w="1260" w:type="dxa"/>
            <w:tcBorders>
              <w:top w:val="nil"/>
              <w:left w:val="single" w:color="000000" w:sz="8" w:space="0"/>
              <w:bottom w:val="single" w:color="000000" w:sz="8" w:space="0"/>
              <w:right w:val="single" w:color="000000" w:sz="8" w:space="0"/>
            </w:tcBorders>
            <w:shd w:val="clear"/>
            <w:vAlign w:val="center"/>
          </w:tcPr>
          <w:p w14:paraId="424BA4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满意度指标</w:t>
            </w:r>
          </w:p>
        </w:tc>
        <w:tc>
          <w:tcPr>
            <w:tcW w:w="2196" w:type="dxa"/>
            <w:tcBorders>
              <w:top w:val="nil"/>
              <w:left w:val="single" w:color="000000" w:sz="8" w:space="0"/>
              <w:bottom w:val="single" w:color="000000" w:sz="8" w:space="0"/>
              <w:right w:val="single" w:color="000000" w:sz="8" w:space="0"/>
            </w:tcBorders>
            <w:shd w:val="clear"/>
            <w:vAlign w:val="center"/>
          </w:tcPr>
          <w:p w14:paraId="5301E3D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服务对象满意度指标</w:t>
            </w:r>
          </w:p>
        </w:tc>
        <w:tc>
          <w:tcPr>
            <w:tcW w:w="2664" w:type="dxa"/>
            <w:tcBorders>
              <w:top w:val="nil"/>
              <w:left w:val="single" w:color="000000" w:sz="8" w:space="0"/>
              <w:bottom w:val="single" w:color="000000" w:sz="8" w:space="0"/>
              <w:right w:val="single" w:color="000000" w:sz="8" w:space="0"/>
            </w:tcBorders>
            <w:shd w:val="clear"/>
            <w:vAlign w:val="center"/>
          </w:tcPr>
          <w:p w14:paraId="6DF0AE6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退役军人满意度</w:t>
            </w:r>
          </w:p>
        </w:tc>
        <w:tc>
          <w:tcPr>
            <w:tcW w:w="2178" w:type="dxa"/>
            <w:tcBorders>
              <w:top w:val="nil"/>
              <w:left w:val="nil"/>
              <w:bottom w:val="single" w:color="000000" w:sz="8" w:space="0"/>
              <w:right w:val="nil"/>
            </w:tcBorders>
            <w:shd w:val="clear"/>
            <w:vAlign w:val="center"/>
          </w:tcPr>
          <w:p w14:paraId="2E5EFBB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r>
      <w:tr w14:paraId="21949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260" w:type="dxa"/>
            <w:tcBorders>
              <w:top w:val="nil"/>
              <w:left w:val="single" w:color="000000" w:sz="8" w:space="0"/>
              <w:bottom w:val="single" w:color="000000" w:sz="8" w:space="0"/>
              <w:right w:val="single" w:color="000000" w:sz="8" w:space="0"/>
            </w:tcBorders>
            <w:shd w:val="clear"/>
            <w:vAlign w:val="center"/>
          </w:tcPr>
          <w:p w14:paraId="0D57B0E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成本指标</w:t>
            </w:r>
          </w:p>
        </w:tc>
        <w:tc>
          <w:tcPr>
            <w:tcW w:w="2196" w:type="dxa"/>
            <w:tcBorders>
              <w:top w:val="nil"/>
              <w:left w:val="single" w:color="000000" w:sz="8" w:space="0"/>
              <w:bottom w:val="single" w:color="000000" w:sz="8" w:space="0"/>
              <w:right w:val="single" w:color="000000" w:sz="8" w:space="0"/>
            </w:tcBorders>
            <w:shd w:val="clear"/>
            <w:vAlign w:val="center"/>
          </w:tcPr>
          <w:p w14:paraId="2DD092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经济成本指标</w:t>
            </w:r>
          </w:p>
        </w:tc>
        <w:tc>
          <w:tcPr>
            <w:tcW w:w="2664" w:type="dxa"/>
            <w:tcBorders>
              <w:top w:val="nil"/>
              <w:left w:val="single" w:color="000000" w:sz="8" w:space="0"/>
              <w:bottom w:val="single" w:color="000000" w:sz="8" w:space="0"/>
              <w:right w:val="single" w:color="000000" w:sz="8" w:space="0"/>
            </w:tcBorders>
            <w:shd w:val="clear"/>
            <w:vAlign w:val="center"/>
          </w:tcPr>
          <w:p w14:paraId="3DC2632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每个乡镇服务站工作经费</w:t>
            </w:r>
          </w:p>
        </w:tc>
        <w:tc>
          <w:tcPr>
            <w:tcW w:w="2178" w:type="dxa"/>
            <w:tcBorders>
              <w:top w:val="nil"/>
              <w:left w:val="nil"/>
              <w:bottom w:val="single" w:color="000000" w:sz="8" w:space="0"/>
              <w:right w:val="nil"/>
            </w:tcBorders>
            <w:shd w:val="clear"/>
            <w:vAlign w:val="center"/>
          </w:tcPr>
          <w:p w14:paraId="3B6E12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w:t>
            </w:r>
          </w:p>
        </w:tc>
      </w:tr>
    </w:tbl>
    <w:p w14:paraId="5CAB531E">
      <w:pPr>
        <w:spacing w:line="560" w:lineRule="exact"/>
        <w:ind w:firstLine="640" w:firstLineChars="200"/>
        <w:jc w:val="left"/>
        <w:rPr>
          <w:rFonts w:hint="eastAsia" w:ascii="仿宋_GB2312" w:hAnsi="仿宋_GB2312" w:eastAsia="仿宋_GB2312" w:cs="仿宋_GB2312"/>
          <w:sz w:val="32"/>
          <w:szCs w:val="32"/>
        </w:rPr>
      </w:pPr>
    </w:p>
    <w:p w14:paraId="320445DF">
      <w:pPr>
        <w:spacing w:line="560" w:lineRule="exact"/>
        <w:ind w:firstLine="640" w:firstLineChars="200"/>
        <w:jc w:val="left"/>
        <w:rPr>
          <w:rFonts w:hint="eastAsia" w:ascii="仿宋_GB2312" w:hAnsi="仿宋_GB2312" w:eastAsia="仿宋_GB2312" w:cs="仿宋_GB2312"/>
          <w:sz w:val="32"/>
          <w:szCs w:val="32"/>
        </w:rPr>
      </w:pPr>
    </w:p>
    <w:p w14:paraId="6CA2DEB9">
      <w:pPr>
        <w:spacing w:line="560" w:lineRule="exact"/>
        <w:ind w:firstLine="640" w:firstLineChars="200"/>
        <w:jc w:val="left"/>
        <w:rPr>
          <w:rFonts w:hint="eastAsia" w:ascii="仿宋_GB2312" w:hAnsi="仿宋_GB2312" w:eastAsia="仿宋_GB2312" w:cs="仿宋_GB2312"/>
          <w:sz w:val="32"/>
          <w:szCs w:val="32"/>
        </w:rPr>
      </w:pPr>
    </w:p>
    <w:p w14:paraId="79C11F6C">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（三）绩效评价工作过程。</w:t>
      </w:r>
    </w:p>
    <w:p w14:paraId="4D1134D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14:paraId="721A1D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14:paraId="26499E5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14:paraId="13B4CE0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4.分析资料、汇总评价数据；</w:t>
      </w:r>
    </w:p>
    <w:p w14:paraId="71BA97B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5.填写项目支出绩效单位自评表，撰写绩效自评报告</w:t>
      </w:r>
    </w:p>
    <w:p w14:paraId="119CBF22">
      <w:pPr>
        <w:spacing w:line="560" w:lineRule="exact"/>
        <w:ind w:firstLine="640" w:firstLineChars="200"/>
        <w:jc w:val="left"/>
        <w:rPr>
          <w:rFonts w:hint="eastAsia" w:ascii="仿宋_GB2312" w:hAnsi="仿宋_GB2312" w:eastAsia="仿宋_GB2312" w:cs="仿宋_GB2312"/>
          <w:sz w:val="32"/>
          <w:szCs w:val="32"/>
        </w:rPr>
      </w:pPr>
    </w:p>
    <w:p w14:paraId="2CC28CB3">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W w:w="98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212"/>
        <w:gridCol w:w="2040"/>
        <w:gridCol w:w="2535"/>
        <w:gridCol w:w="1050"/>
        <w:gridCol w:w="1230"/>
        <w:gridCol w:w="975"/>
        <w:gridCol w:w="855"/>
      </w:tblGrid>
      <w:tr w14:paraId="5CBA9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1212" w:type="dxa"/>
            <w:vMerge w:val="restart"/>
            <w:tcBorders>
              <w:top w:val="nil"/>
              <w:left w:val="single" w:color="000000" w:sz="8" w:space="0"/>
              <w:bottom w:val="single" w:color="000000" w:sz="8" w:space="0"/>
              <w:right w:val="single" w:color="000000" w:sz="8" w:space="0"/>
            </w:tcBorders>
            <w:shd w:val="clear"/>
            <w:vAlign w:val="center"/>
          </w:tcPr>
          <w:p w14:paraId="1E73D50B">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一级指标</w:t>
            </w:r>
          </w:p>
        </w:tc>
        <w:tc>
          <w:tcPr>
            <w:tcW w:w="2040" w:type="dxa"/>
            <w:vMerge w:val="restart"/>
            <w:tcBorders>
              <w:top w:val="nil"/>
              <w:left w:val="single" w:color="000000" w:sz="8" w:space="0"/>
              <w:bottom w:val="single" w:color="000000" w:sz="8" w:space="0"/>
              <w:right w:val="single" w:color="000000" w:sz="8" w:space="0"/>
            </w:tcBorders>
            <w:shd w:val="clear"/>
            <w:vAlign w:val="center"/>
          </w:tcPr>
          <w:p w14:paraId="79135EE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二级指标</w:t>
            </w:r>
          </w:p>
        </w:tc>
        <w:tc>
          <w:tcPr>
            <w:tcW w:w="2535" w:type="dxa"/>
            <w:vMerge w:val="restart"/>
            <w:tcBorders>
              <w:top w:val="nil"/>
              <w:left w:val="single" w:color="000000" w:sz="8" w:space="0"/>
              <w:bottom w:val="single" w:color="000000" w:sz="8" w:space="0"/>
              <w:right w:val="single" w:color="000000" w:sz="8" w:space="0"/>
            </w:tcBorders>
            <w:shd w:val="clear"/>
            <w:vAlign w:val="center"/>
          </w:tcPr>
          <w:p w14:paraId="355E09F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三级指标</w:t>
            </w:r>
          </w:p>
        </w:tc>
        <w:tc>
          <w:tcPr>
            <w:tcW w:w="1050" w:type="dxa"/>
            <w:vMerge w:val="restart"/>
            <w:tcBorders>
              <w:top w:val="nil"/>
              <w:left w:val="nil"/>
              <w:bottom w:val="single" w:color="000000" w:sz="8" w:space="0"/>
              <w:right w:val="nil"/>
            </w:tcBorders>
            <w:shd w:val="clear"/>
            <w:vAlign w:val="center"/>
          </w:tcPr>
          <w:p w14:paraId="2042566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年度指标值</w:t>
            </w:r>
          </w:p>
        </w:tc>
        <w:tc>
          <w:tcPr>
            <w:tcW w:w="1230" w:type="dxa"/>
            <w:vMerge w:val="restart"/>
            <w:tcBorders>
              <w:top w:val="nil"/>
              <w:left w:val="single" w:color="000000" w:sz="8" w:space="0"/>
              <w:bottom w:val="single" w:color="000000" w:sz="8" w:space="0"/>
              <w:right w:val="nil"/>
            </w:tcBorders>
            <w:shd w:val="clear"/>
            <w:vAlign w:val="center"/>
          </w:tcPr>
          <w:p w14:paraId="21C9E92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实际完成值</w:t>
            </w:r>
          </w:p>
        </w:tc>
        <w:tc>
          <w:tcPr>
            <w:tcW w:w="975" w:type="dxa"/>
            <w:vMerge w:val="restart"/>
            <w:tcBorders>
              <w:top w:val="nil"/>
              <w:left w:val="single" w:color="000000" w:sz="8" w:space="0"/>
              <w:bottom w:val="single" w:color="000000" w:sz="8" w:space="0"/>
              <w:right w:val="single" w:color="000000" w:sz="8" w:space="0"/>
            </w:tcBorders>
            <w:shd w:val="clear"/>
            <w:vAlign w:val="center"/>
          </w:tcPr>
          <w:p w14:paraId="24403BD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分值</w:t>
            </w:r>
          </w:p>
        </w:tc>
        <w:tc>
          <w:tcPr>
            <w:tcW w:w="855" w:type="dxa"/>
            <w:vMerge w:val="restart"/>
            <w:tcBorders>
              <w:top w:val="nil"/>
              <w:left w:val="single" w:color="000000" w:sz="8" w:space="0"/>
              <w:bottom w:val="single" w:color="000000" w:sz="8" w:space="0"/>
              <w:right w:val="single" w:color="000000" w:sz="8" w:space="0"/>
            </w:tcBorders>
            <w:shd w:val="clear"/>
            <w:vAlign w:val="center"/>
          </w:tcPr>
          <w:p w14:paraId="1CB3775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bdr w:val="none" w:color="auto" w:sz="0" w:space="0"/>
                <w:lang w:val="en-US" w:eastAsia="zh-CN" w:bidi="ar"/>
              </w:rPr>
              <w:t>得分</w:t>
            </w:r>
          </w:p>
        </w:tc>
      </w:tr>
      <w:tr w14:paraId="06067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12" w:type="dxa"/>
            <w:vMerge w:val="continue"/>
            <w:tcBorders>
              <w:top w:val="nil"/>
              <w:left w:val="single" w:color="000000" w:sz="8" w:space="0"/>
              <w:bottom w:val="single" w:color="000000" w:sz="8" w:space="0"/>
              <w:right w:val="single" w:color="000000" w:sz="8" w:space="0"/>
            </w:tcBorders>
            <w:shd w:val="clear"/>
            <w:vAlign w:val="center"/>
          </w:tcPr>
          <w:p w14:paraId="40298837">
            <w:pPr>
              <w:jc w:val="center"/>
              <w:rPr>
                <w:rFonts w:hint="eastAsia" w:ascii="微软雅黑" w:hAnsi="微软雅黑" w:eastAsia="微软雅黑" w:cs="微软雅黑"/>
                <w:b/>
                <w:bCs/>
                <w:i w:val="0"/>
                <w:iCs w:val="0"/>
                <w:color w:val="000000"/>
                <w:sz w:val="22"/>
                <w:szCs w:val="22"/>
                <w:u w:val="none"/>
              </w:rPr>
            </w:pPr>
          </w:p>
        </w:tc>
        <w:tc>
          <w:tcPr>
            <w:tcW w:w="2040" w:type="dxa"/>
            <w:vMerge w:val="continue"/>
            <w:tcBorders>
              <w:top w:val="nil"/>
              <w:left w:val="single" w:color="000000" w:sz="8" w:space="0"/>
              <w:bottom w:val="single" w:color="000000" w:sz="8" w:space="0"/>
              <w:right w:val="single" w:color="000000" w:sz="8" w:space="0"/>
            </w:tcBorders>
            <w:shd w:val="clear"/>
            <w:vAlign w:val="center"/>
          </w:tcPr>
          <w:p w14:paraId="1DA421C2">
            <w:pPr>
              <w:jc w:val="center"/>
              <w:rPr>
                <w:rFonts w:hint="eastAsia" w:ascii="微软雅黑" w:hAnsi="微软雅黑" w:eastAsia="微软雅黑" w:cs="微软雅黑"/>
                <w:b/>
                <w:bCs/>
                <w:i w:val="0"/>
                <w:iCs w:val="0"/>
                <w:color w:val="000000"/>
                <w:sz w:val="22"/>
                <w:szCs w:val="22"/>
                <w:u w:val="none"/>
              </w:rPr>
            </w:pPr>
          </w:p>
        </w:tc>
        <w:tc>
          <w:tcPr>
            <w:tcW w:w="2535" w:type="dxa"/>
            <w:vMerge w:val="continue"/>
            <w:tcBorders>
              <w:top w:val="nil"/>
              <w:left w:val="single" w:color="000000" w:sz="8" w:space="0"/>
              <w:bottom w:val="single" w:color="000000" w:sz="8" w:space="0"/>
              <w:right w:val="single" w:color="000000" w:sz="8" w:space="0"/>
            </w:tcBorders>
            <w:shd w:val="clear"/>
            <w:vAlign w:val="center"/>
          </w:tcPr>
          <w:p w14:paraId="2D83BE58">
            <w:pPr>
              <w:jc w:val="center"/>
              <w:rPr>
                <w:rFonts w:hint="eastAsia" w:ascii="微软雅黑" w:hAnsi="微软雅黑" w:eastAsia="微软雅黑" w:cs="微软雅黑"/>
                <w:b/>
                <w:bCs/>
                <w:i w:val="0"/>
                <w:iCs w:val="0"/>
                <w:color w:val="000000"/>
                <w:sz w:val="22"/>
                <w:szCs w:val="22"/>
                <w:u w:val="none"/>
              </w:rPr>
            </w:pPr>
          </w:p>
        </w:tc>
        <w:tc>
          <w:tcPr>
            <w:tcW w:w="1050" w:type="dxa"/>
            <w:vMerge w:val="continue"/>
            <w:tcBorders>
              <w:top w:val="nil"/>
              <w:left w:val="nil"/>
              <w:bottom w:val="single" w:color="000000" w:sz="8" w:space="0"/>
              <w:right w:val="nil"/>
            </w:tcBorders>
            <w:shd w:val="clear"/>
            <w:vAlign w:val="center"/>
          </w:tcPr>
          <w:p w14:paraId="4C229C69">
            <w:pPr>
              <w:jc w:val="center"/>
              <w:rPr>
                <w:rFonts w:hint="eastAsia" w:ascii="微软雅黑" w:hAnsi="微软雅黑" w:eastAsia="微软雅黑" w:cs="微软雅黑"/>
                <w:b/>
                <w:bCs/>
                <w:i w:val="0"/>
                <w:iCs w:val="0"/>
                <w:color w:val="000000"/>
                <w:sz w:val="22"/>
                <w:szCs w:val="22"/>
                <w:u w:val="none"/>
              </w:rPr>
            </w:pPr>
          </w:p>
        </w:tc>
        <w:tc>
          <w:tcPr>
            <w:tcW w:w="1230" w:type="dxa"/>
            <w:vMerge w:val="continue"/>
            <w:tcBorders>
              <w:top w:val="nil"/>
              <w:left w:val="single" w:color="000000" w:sz="8" w:space="0"/>
              <w:bottom w:val="single" w:color="000000" w:sz="8" w:space="0"/>
              <w:right w:val="nil"/>
            </w:tcBorders>
            <w:shd w:val="clear"/>
            <w:vAlign w:val="center"/>
          </w:tcPr>
          <w:p w14:paraId="5E8D957A">
            <w:pPr>
              <w:jc w:val="center"/>
              <w:rPr>
                <w:rFonts w:hint="eastAsia" w:ascii="微软雅黑" w:hAnsi="微软雅黑" w:eastAsia="微软雅黑" w:cs="微软雅黑"/>
                <w:b/>
                <w:bCs/>
                <w:i w:val="0"/>
                <w:iCs w:val="0"/>
                <w:color w:val="000000"/>
                <w:sz w:val="22"/>
                <w:szCs w:val="22"/>
                <w:u w:val="none"/>
              </w:rPr>
            </w:pPr>
          </w:p>
        </w:tc>
        <w:tc>
          <w:tcPr>
            <w:tcW w:w="975" w:type="dxa"/>
            <w:vMerge w:val="continue"/>
            <w:tcBorders>
              <w:top w:val="nil"/>
              <w:left w:val="single" w:color="000000" w:sz="8" w:space="0"/>
              <w:bottom w:val="single" w:color="000000" w:sz="8" w:space="0"/>
              <w:right w:val="single" w:color="000000" w:sz="8" w:space="0"/>
            </w:tcBorders>
            <w:shd w:val="clear"/>
            <w:vAlign w:val="center"/>
          </w:tcPr>
          <w:p w14:paraId="3D665534">
            <w:pPr>
              <w:jc w:val="center"/>
              <w:rPr>
                <w:rFonts w:hint="eastAsia" w:ascii="微软雅黑" w:hAnsi="微软雅黑" w:eastAsia="微软雅黑" w:cs="微软雅黑"/>
                <w:b/>
                <w:bCs/>
                <w:i w:val="0"/>
                <w:iCs w:val="0"/>
                <w:color w:val="000000"/>
                <w:sz w:val="22"/>
                <w:szCs w:val="22"/>
                <w:u w:val="none"/>
              </w:rPr>
            </w:pPr>
          </w:p>
        </w:tc>
        <w:tc>
          <w:tcPr>
            <w:tcW w:w="855" w:type="dxa"/>
            <w:vMerge w:val="continue"/>
            <w:tcBorders>
              <w:top w:val="nil"/>
              <w:left w:val="single" w:color="000000" w:sz="8" w:space="0"/>
              <w:bottom w:val="single" w:color="000000" w:sz="8" w:space="0"/>
              <w:right w:val="single" w:color="000000" w:sz="8" w:space="0"/>
            </w:tcBorders>
            <w:shd w:val="clear"/>
            <w:vAlign w:val="center"/>
          </w:tcPr>
          <w:p w14:paraId="184B757E">
            <w:pPr>
              <w:jc w:val="center"/>
              <w:rPr>
                <w:rFonts w:hint="eastAsia" w:ascii="微软雅黑" w:hAnsi="微软雅黑" w:eastAsia="微软雅黑" w:cs="微软雅黑"/>
                <w:b/>
                <w:bCs/>
                <w:i w:val="0"/>
                <w:iCs w:val="0"/>
                <w:color w:val="000000"/>
                <w:sz w:val="22"/>
                <w:szCs w:val="22"/>
                <w:u w:val="none"/>
              </w:rPr>
            </w:pPr>
          </w:p>
        </w:tc>
      </w:tr>
      <w:tr w14:paraId="239E8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212" w:type="dxa"/>
            <w:vMerge w:val="continue"/>
            <w:tcBorders>
              <w:top w:val="nil"/>
              <w:left w:val="single" w:color="000000" w:sz="8" w:space="0"/>
              <w:bottom w:val="single" w:color="000000" w:sz="8" w:space="0"/>
              <w:right w:val="single" w:color="000000" w:sz="8" w:space="0"/>
            </w:tcBorders>
            <w:shd w:val="clear"/>
            <w:vAlign w:val="center"/>
          </w:tcPr>
          <w:p w14:paraId="3415D4C6">
            <w:pPr>
              <w:jc w:val="center"/>
              <w:rPr>
                <w:rFonts w:hint="eastAsia" w:ascii="微软雅黑" w:hAnsi="微软雅黑" w:eastAsia="微软雅黑" w:cs="微软雅黑"/>
                <w:b/>
                <w:bCs/>
                <w:i w:val="0"/>
                <w:iCs w:val="0"/>
                <w:color w:val="000000"/>
                <w:sz w:val="22"/>
                <w:szCs w:val="22"/>
                <w:u w:val="none"/>
              </w:rPr>
            </w:pPr>
          </w:p>
        </w:tc>
        <w:tc>
          <w:tcPr>
            <w:tcW w:w="2040" w:type="dxa"/>
            <w:vMerge w:val="continue"/>
            <w:tcBorders>
              <w:top w:val="nil"/>
              <w:left w:val="single" w:color="000000" w:sz="8" w:space="0"/>
              <w:bottom w:val="single" w:color="000000" w:sz="8" w:space="0"/>
              <w:right w:val="single" w:color="000000" w:sz="8" w:space="0"/>
            </w:tcBorders>
            <w:shd w:val="clear"/>
            <w:vAlign w:val="center"/>
          </w:tcPr>
          <w:p w14:paraId="18E8E687">
            <w:pPr>
              <w:jc w:val="center"/>
              <w:rPr>
                <w:rFonts w:hint="eastAsia" w:ascii="微软雅黑" w:hAnsi="微软雅黑" w:eastAsia="微软雅黑" w:cs="微软雅黑"/>
                <w:b/>
                <w:bCs/>
                <w:i w:val="0"/>
                <w:iCs w:val="0"/>
                <w:color w:val="000000"/>
                <w:sz w:val="22"/>
                <w:szCs w:val="22"/>
                <w:u w:val="none"/>
              </w:rPr>
            </w:pPr>
          </w:p>
        </w:tc>
        <w:tc>
          <w:tcPr>
            <w:tcW w:w="2535" w:type="dxa"/>
            <w:vMerge w:val="continue"/>
            <w:tcBorders>
              <w:top w:val="nil"/>
              <w:left w:val="single" w:color="000000" w:sz="8" w:space="0"/>
              <w:bottom w:val="single" w:color="000000" w:sz="8" w:space="0"/>
              <w:right w:val="single" w:color="000000" w:sz="8" w:space="0"/>
            </w:tcBorders>
            <w:shd w:val="clear"/>
            <w:vAlign w:val="center"/>
          </w:tcPr>
          <w:p w14:paraId="19CDED75">
            <w:pPr>
              <w:jc w:val="center"/>
              <w:rPr>
                <w:rFonts w:hint="eastAsia" w:ascii="微软雅黑" w:hAnsi="微软雅黑" w:eastAsia="微软雅黑" w:cs="微软雅黑"/>
                <w:b/>
                <w:bCs/>
                <w:i w:val="0"/>
                <w:iCs w:val="0"/>
                <w:color w:val="000000"/>
                <w:sz w:val="22"/>
                <w:szCs w:val="22"/>
                <w:u w:val="none"/>
              </w:rPr>
            </w:pPr>
          </w:p>
        </w:tc>
        <w:tc>
          <w:tcPr>
            <w:tcW w:w="1050" w:type="dxa"/>
            <w:vMerge w:val="continue"/>
            <w:tcBorders>
              <w:top w:val="nil"/>
              <w:left w:val="nil"/>
              <w:bottom w:val="single" w:color="000000" w:sz="8" w:space="0"/>
              <w:right w:val="nil"/>
            </w:tcBorders>
            <w:shd w:val="clear"/>
            <w:vAlign w:val="center"/>
          </w:tcPr>
          <w:p w14:paraId="2F309109">
            <w:pPr>
              <w:jc w:val="center"/>
              <w:rPr>
                <w:rFonts w:hint="eastAsia" w:ascii="微软雅黑" w:hAnsi="微软雅黑" w:eastAsia="微软雅黑" w:cs="微软雅黑"/>
                <w:b/>
                <w:bCs/>
                <w:i w:val="0"/>
                <w:iCs w:val="0"/>
                <w:color w:val="000000"/>
                <w:sz w:val="22"/>
                <w:szCs w:val="22"/>
                <w:u w:val="none"/>
              </w:rPr>
            </w:pPr>
          </w:p>
        </w:tc>
        <w:tc>
          <w:tcPr>
            <w:tcW w:w="1230" w:type="dxa"/>
            <w:vMerge w:val="continue"/>
            <w:tcBorders>
              <w:top w:val="nil"/>
              <w:left w:val="single" w:color="000000" w:sz="8" w:space="0"/>
              <w:bottom w:val="single" w:color="000000" w:sz="8" w:space="0"/>
              <w:right w:val="nil"/>
            </w:tcBorders>
            <w:shd w:val="clear"/>
            <w:vAlign w:val="center"/>
          </w:tcPr>
          <w:p w14:paraId="473CFE8C">
            <w:pPr>
              <w:jc w:val="center"/>
              <w:rPr>
                <w:rFonts w:hint="eastAsia" w:ascii="微软雅黑" w:hAnsi="微软雅黑" w:eastAsia="微软雅黑" w:cs="微软雅黑"/>
                <w:b/>
                <w:bCs/>
                <w:i w:val="0"/>
                <w:iCs w:val="0"/>
                <w:color w:val="000000"/>
                <w:sz w:val="22"/>
                <w:szCs w:val="22"/>
                <w:u w:val="none"/>
              </w:rPr>
            </w:pPr>
          </w:p>
        </w:tc>
        <w:tc>
          <w:tcPr>
            <w:tcW w:w="975" w:type="dxa"/>
            <w:vMerge w:val="continue"/>
            <w:tcBorders>
              <w:top w:val="nil"/>
              <w:left w:val="single" w:color="000000" w:sz="8" w:space="0"/>
              <w:bottom w:val="single" w:color="000000" w:sz="8" w:space="0"/>
              <w:right w:val="single" w:color="000000" w:sz="8" w:space="0"/>
            </w:tcBorders>
            <w:shd w:val="clear"/>
            <w:vAlign w:val="center"/>
          </w:tcPr>
          <w:p w14:paraId="53266B6F">
            <w:pPr>
              <w:jc w:val="center"/>
              <w:rPr>
                <w:rFonts w:hint="eastAsia" w:ascii="微软雅黑" w:hAnsi="微软雅黑" w:eastAsia="微软雅黑" w:cs="微软雅黑"/>
                <w:b/>
                <w:bCs/>
                <w:i w:val="0"/>
                <w:iCs w:val="0"/>
                <w:color w:val="000000"/>
                <w:sz w:val="22"/>
                <w:szCs w:val="22"/>
                <w:u w:val="none"/>
              </w:rPr>
            </w:pPr>
          </w:p>
        </w:tc>
        <w:tc>
          <w:tcPr>
            <w:tcW w:w="855" w:type="dxa"/>
            <w:vMerge w:val="continue"/>
            <w:tcBorders>
              <w:top w:val="nil"/>
              <w:left w:val="single" w:color="000000" w:sz="8" w:space="0"/>
              <w:bottom w:val="single" w:color="000000" w:sz="8" w:space="0"/>
              <w:right w:val="single" w:color="000000" w:sz="8" w:space="0"/>
            </w:tcBorders>
            <w:shd w:val="clear"/>
            <w:vAlign w:val="center"/>
          </w:tcPr>
          <w:p w14:paraId="5505C749">
            <w:pPr>
              <w:jc w:val="center"/>
              <w:rPr>
                <w:rFonts w:hint="eastAsia" w:ascii="微软雅黑" w:hAnsi="微软雅黑" w:eastAsia="微软雅黑" w:cs="微软雅黑"/>
                <w:b/>
                <w:bCs/>
                <w:i w:val="0"/>
                <w:iCs w:val="0"/>
                <w:color w:val="000000"/>
                <w:sz w:val="22"/>
                <w:szCs w:val="22"/>
                <w:u w:val="none"/>
              </w:rPr>
            </w:pPr>
          </w:p>
        </w:tc>
      </w:tr>
      <w:tr w14:paraId="67AF8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212" w:type="dxa"/>
            <w:vMerge w:val="restart"/>
            <w:tcBorders>
              <w:top w:val="nil"/>
              <w:left w:val="single" w:color="000000" w:sz="8" w:space="0"/>
              <w:bottom w:val="single" w:color="000000" w:sz="8" w:space="0"/>
              <w:right w:val="single" w:color="000000" w:sz="8" w:space="0"/>
            </w:tcBorders>
            <w:shd w:val="clear"/>
            <w:vAlign w:val="center"/>
          </w:tcPr>
          <w:p w14:paraId="51CCD3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产出指标</w:t>
            </w:r>
          </w:p>
        </w:tc>
        <w:tc>
          <w:tcPr>
            <w:tcW w:w="2040" w:type="dxa"/>
            <w:vMerge w:val="restart"/>
            <w:tcBorders>
              <w:top w:val="nil"/>
              <w:left w:val="single" w:color="000000" w:sz="8" w:space="0"/>
              <w:bottom w:val="single" w:color="000000" w:sz="8" w:space="0"/>
              <w:right w:val="single" w:color="000000" w:sz="8" w:space="0"/>
            </w:tcBorders>
            <w:shd w:val="clear"/>
            <w:vAlign w:val="center"/>
          </w:tcPr>
          <w:p w14:paraId="75A021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数量指标</w:t>
            </w:r>
          </w:p>
        </w:tc>
        <w:tc>
          <w:tcPr>
            <w:tcW w:w="2535" w:type="dxa"/>
            <w:tcBorders>
              <w:top w:val="nil"/>
              <w:left w:val="single" w:color="000000" w:sz="8" w:space="0"/>
              <w:bottom w:val="single" w:color="000000" w:sz="8" w:space="0"/>
              <w:right w:val="single" w:color="000000" w:sz="8" w:space="0"/>
            </w:tcBorders>
            <w:shd w:val="clear"/>
            <w:vAlign w:val="center"/>
          </w:tcPr>
          <w:p w14:paraId="0958A24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覆盖乡镇数量</w:t>
            </w:r>
          </w:p>
        </w:tc>
        <w:tc>
          <w:tcPr>
            <w:tcW w:w="1050" w:type="dxa"/>
            <w:tcBorders>
              <w:top w:val="nil"/>
              <w:left w:val="nil"/>
              <w:bottom w:val="single" w:color="000000" w:sz="8" w:space="0"/>
              <w:right w:val="nil"/>
            </w:tcBorders>
            <w:shd w:val="clear"/>
            <w:vAlign w:val="center"/>
          </w:tcPr>
          <w:p w14:paraId="317434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11</w:t>
            </w:r>
          </w:p>
        </w:tc>
        <w:tc>
          <w:tcPr>
            <w:tcW w:w="1230" w:type="dxa"/>
            <w:tcBorders>
              <w:top w:val="nil"/>
              <w:left w:val="single" w:color="000000" w:sz="8" w:space="0"/>
              <w:bottom w:val="single" w:color="000000" w:sz="8" w:space="0"/>
              <w:right w:val="nil"/>
            </w:tcBorders>
            <w:shd w:val="clear"/>
            <w:vAlign w:val="center"/>
          </w:tcPr>
          <w:p w14:paraId="0BDB9E1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11</w:t>
            </w:r>
          </w:p>
        </w:tc>
        <w:tc>
          <w:tcPr>
            <w:tcW w:w="975" w:type="dxa"/>
            <w:tcBorders>
              <w:top w:val="nil"/>
              <w:left w:val="single" w:color="000000" w:sz="8" w:space="0"/>
              <w:bottom w:val="single" w:color="000000" w:sz="8" w:space="0"/>
              <w:right w:val="single" w:color="000000" w:sz="8" w:space="0"/>
            </w:tcBorders>
            <w:shd w:val="clear"/>
            <w:vAlign w:val="center"/>
          </w:tcPr>
          <w:p w14:paraId="33D6C7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855" w:type="dxa"/>
            <w:tcBorders>
              <w:top w:val="nil"/>
              <w:left w:val="single" w:color="000000" w:sz="8" w:space="0"/>
              <w:bottom w:val="single" w:color="000000" w:sz="8" w:space="0"/>
              <w:right w:val="single" w:color="000000" w:sz="8" w:space="0"/>
            </w:tcBorders>
            <w:shd w:val="clear"/>
            <w:vAlign w:val="center"/>
          </w:tcPr>
          <w:p w14:paraId="4C9658A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6CA6F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212" w:type="dxa"/>
            <w:vMerge w:val="continue"/>
            <w:tcBorders>
              <w:top w:val="nil"/>
              <w:left w:val="single" w:color="000000" w:sz="8" w:space="0"/>
              <w:bottom w:val="single" w:color="000000" w:sz="8" w:space="0"/>
              <w:right w:val="single" w:color="000000" w:sz="8" w:space="0"/>
            </w:tcBorders>
            <w:shd w:val="clear"/>
            <w:vAlign w:val="center"/>
          </w:tcPr>
          <w:p w14:paraId="1E8CD7C0">
            <w:pPr>
              <w:jc w:val="center"/>
              <w:rPr>
                <w:rFonts w:hint="eastAsia" w:ascii="微软雅黑" w:hAnsi="微软雅黑" w:eastAsia="微软雅黑" w:cs="微软雅黑"/>
                <w:i w:val="0"/>
                <w:iCs w:val="0"/>
                <w:color w:val="000000"/>
                <w:sz w:val="20"/>
                <w:szCs w:val="20"/>
                <w:u w:val="none"/>
              </w:rPr>
            </w:pPr>
          </w:p>
        </w:tc>
        <w:tc>
          <w:tcPr>
            <w:tcW w:w="2040" w:type="dxa"/>
            <w:vMerge w:val="continue"/>
            <w:tcBorders>
              <w:top w:val="nil"/>
              <w:left w:val="single" w:color="000000" w:sz="8" w:space="0"/>
              <w:bottom w:val="single" w:color="000000" w:sz="8" w:space="0"/>
              <w:right w:val="single" w:color="000000" w:sz="8" w:space="0"/>
            </w:tcBorders>
            <w:shd w:val="clear"/>
            <w:vAlign w:val="center"/>
          </w:tcPr>
          <w:p w14:paraId="5C25EE12">
            <w:pPr>
              <w:jc w:val="center"/>
              <w:rPr>
                <w:rFonts w:hint="eastAsia" w:ascii="微软雅黑" w:hAnsi="微软雅黑" w:eastAsia="微软雅黑" w:cs="微软雅黑"/>
                <w:i w:val="0"/>
                <w:iCs w:val="0"/>
                <w:color w:val="000000"/>
                <w:sz w:val="20"/>
                <w:szCs w:val="20"/>
                <w:u w:val="none"/>
              </w:rPr>
            </w:pPr>
          </w:p>
        </w:tc>
        <w:tc>
          <w:tcPr>
            <w:tcW w:w="2535" w:type="dxa"/>
            <w:tcBorders>
              <w:top w:val="nil"/>
              <w:left w:val="single" w:color="000000" w:sz="8" w:space="0"/>
              <w:bottom w:val="single" w:color="000000" w:sz="8" w:space="0"/>
              <w:right w:val="single" w:color="000000" w:sz="8" w:space="0"/>
            </w:tcBorders>
            <w:shd w:val="clear"/>
            <w:vAlign w:val="center"/>
          </w:tcPr>
          <w:p w14:paraId="1FAD06C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全年服务退役军人数量</w:t>
            </w:r>
          </w:p>
        </w:tc>
        <w:tc>
          <w:tcPr>
            <w:tcW w:w="1050" w:type="dxa"/>
            <w:tcBorders>
              <w:top w:val="nil"/>
              <w:left w:val="nil"/>
              <w:bottom w:val="single" w:color="000000" w:sz="8" w:space="0"/>
              <w:right w:val="nil"/>
            </w:tcBorders>
            <w:shd w:val="clear"/>
            <w:vAlign w:val="center"/>
          </w:tcPr>
          <w:p w14:paraId="2E0002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c>
          <w:tcPr>
            <w:tcW w:w="1230" w:type="dxa"/>
            <w:tcBorders>
              <w:top w:val="nil"/>
              <w:left w:val="single" w:color="000000" w:sz="8" w:space="0"/>
              <w:bottom w:val="single" w:color="000000" w:sz="8" w:space="0"/>
              <w:right w:val="nil"/>
            </w:tcBorders>
            <w:shd w:val="clear"/>
            <w:vAlign w:val="center"/>
          </w:tcPr>
          <w:p w14:paraId="0686A98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2200</w:t>
            </w:r>
          </w:p>
        </w:tc>
        <w:tc>
          <w:tcPr>
            <w:tcW w:w="975" w:type="dxa"/>
            <w:tcBorders>
              <w:top w:val="nil"/>
              <w:left w:val="single" w:color="000000" w:sz="8" w:space="0"/>
              <w:bottom w:val="single" w:color="000000" w:sz="8" w:space="0"/>
              <w:right w:val="single" w:color="000000" w:sz="8" w:space="0"/>
            </w:tcBorders>
            <w:shd w:val="clear"/>
            <w:vAlign w:val="center"/>
          </w:tcPr>
          <w:p w14:paraId="2DF5C1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855" w:type="dxa"/>
            <w:tcBorders>
              <w:top w:val="nil"/>
              <w:left w:val="single" w:color="000000" w:sz="8" w:space="0"/>
              <w:bottom w:val="single" w:color="000000" w:sz="8" w:space="0"/>
              <w:right w:val="single" w:color="000000" w:sz="8" w:space="0"/>
            </w:tcBorders>
            <w:shd w:val="clear"/>
            <w:vAlign w:val="center"/>
          </w:tcPr>
          <w:p w14:paraId="36CFCB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55719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212" w:type="dxa"/>
            <w:vMerge w:val="continue"/>
            <w:tcBorders>
              <w:top w:val="nil"/>
              <w:left w:val="single" w:color="000000" w:sz="8" w:space="0"/>
              <w:bottom w:val="single" w:color="000000" w:sz="8" w:space="0"/>
              <w:right w:val="single" w:color="000000" w:sz="8" w:space="0"/>
            </w:tcBorders>
            <w:shd w:val="clear"/>
            <w:vAlign w:val="center"/>
          </w:tcPr>
          <w:p w14:paraId="057BAAAC">
            <w:pPr>
              <w:jc w:val="center"/>
              <w:rPr>
                <w:rFonts w:hint="eastAsia" w:ascii="微软雅黑" w:hAnsi="微软雅黑" w:eastAsia="微软雅黑" w:cs="微软雅黑"/>
                <w:i w:val="0"/>
                <w:iCs w:val="0"/>
                <w:color w:val="000000"/>
                <w:sz w:val="20"/>
                <w:szCs w:val="20"/>
                <w:u w:val="none"/>
              </w:rPr>
            </w:pPr>
          </w:p>
        </w:tc>
        <w:tc>
          <w:tcPr>
            <w:tcW w:w="2040" w:type="dxa"/>
            <w:tcBorders>
              <w:top w:val="nil"/>
              <w:left w:val="single" w:color="000000" w:sz="8" w:space="0"/>
              <w:bottom w:val="single" w:color="000000" w:sz="8" w:space="0"/>
              <w:right w:val="single" w:color="000000" w:sz="8" w:space="0"/>
            </w:tcBorders>
            <w:shd w:val="clear"/>
            <w:vAlign w:val="center"/>
          </w:tcPr>
          <w:p w14:paraId="444218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质量指标</w:t>
            </w:r>
          </w:p>
        </w:tc>
        <w:tc>
          <w:tcPr>
            <w:tcW w:w="2535" w:type="dxa"/>
            <w:tcBorders>
              <w:top w:val="nil"/>
              <w:left w:val="single" w:color="000000" w:sz="8" w:space="0"/>
              <w:bottom w:val="single" w:color="000000" w:sz="8" w:space="0"/>
              <w:right w:val="single" w:color="000000" w:sz="8" w:space="0"/>
            </w:tcBorders>
            <w:shd w:val="clear"/>
            <w:vAlign w:val="center"/>
          </w:tcPr>
          <w:p w14:paraId="1BEFE2E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工作经费使用率</w:t>
            </w:r>
          </w:p>
        </w:tc>
        <w:tc>
          <w:tcPr>
            <w:tcW w:w="1050" w:type="dxa"/>
            <w:tcBorders>
              <w:top w:val="nil"/>
              <w:left w:val="nil"/>
              <w:bottom w:val="single" w:color="000000" w:sz="8" w:space="0"/>
              <w:right w:val="nil"/>
            </w:tcBorders>
            <w:shd w:val="clear"/>
            <w:vAlign w:val="center"/>
          </w:tcPr>
          <w:p w14:paraId="35168A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80</w:t>
            </w:r>
          </w:p>
        </w:tc>
        <w:tc>
          <w:tcPr>
            <w:tcW w:w="1230" w:type="dxa"/>
            <w:tcBorders>
              <w:top w:val="nil"/>
              <w:left w:val="single" w:color="000000" w:sz="8" w:space="0"/>
              <w:bottom w:val="single" w:color="000000" w:sz="8" w:space="0"/>
              <w:right w:val="nil"/>
            </w:tcBorders>
            <w:shd w:val="clear"/>
            <w:vAlign w:val="center"/>
          </w:tcPr>
          <w:p w14:paraId="501113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975" w:type="dxa"/>
            <w:tcBorders>
              <w:top w:val="nil"/>
              <w:left w:val="single" w:color="000000" w:sz="8" w:space="0"/>
              <w:bottom w:val="single" w:color="000000" w:sz="8" w:space="0"/>
              <w:right w:val="single" w:color="000000" w:sz="8" w:space="0"/>
            </w:tcBorders>
            <w:shd w:val="clear"/>
            <w:vAlign w:val="center"/>
          </w:tcPr>
          <w:p w14:paraId="42722E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855" w:type="dxa"/>
            <w:tcBorders>
              <w:top w:val="nil"/>
              <w:left w:val="single" w:color="000000" w:sz="8" w:space="0"/>
              <w:bottom w:val="single" w:color="000000" w:sz="8" w:space="0"/>
              <w:right w:val="single" w:color="000000" w:sz="8" w:space="0"/>
            </w:tcBorders>
            <w:shd w:val="clear"/>
            <w:vAlign w:val="center"/>
          </w:tcPr>
          <w:p w14:paraId="6168D7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21E47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212" w:type="dxa"/>
            <w:vMerge w:val="continue"/>
            <w:tcBorders>
              <w:top w:val="nil"/>
              <w:left w:val="single" w:color="000000" w:sz="8" w:space="0"/>
              <w:bottom w:val="single" w:color="000000" w:sz="8" w:space="0"/>
              <w:right w:val="single" w:color="000000" w:sz="8" w:space="0"/>
            </w:tcBorders>
            <w:shd w:val="clear"/>
            <w:vAlign w:val="center"/>
          </w:tcPr>
          <w:p w14:paraId="3CAD1183">
            <w:pPr>
              <w:jc w:val="center"/>
              <w:rPr>
                <w:rFonts w:hint="eastAsia" w:ascii="微软雅黑" w:hAnsi="微软雅黑" w:eastAsia="微软雅黑" w:cs="微软雅黑"/>
                <w:i w:val="0"/>
                <w:iCs w:val="0"/>
                <w:color w:val="000000"/>
                <w:sz w:val="20"/>
                <w:szCs w:val="20"/>
                <w:u w:val="none"/>
              </w:rPr>
            </w:pPr>
          </w:p>
        </w:tc>
        <w:tc>
          <w:tcPr>
            <w:tcW w:w="2040" w:type="dxa"/>
            <w:tcBorders>
              <w:top w:val="nil"/>
              <w:left w:val="single" w:color="000000" w:sz="8" w:space="0"/>
              <w:bottom w:val="single" w:color="000000" w:sz="8" w:space="0"/>
              <w:right w:val="single" w:color="000000" w:sz="8" w:space="0"/>
            </w:tcBorders>
            <w:shd w:val="clear"/>
            <w:vAlign w:val="center"/>
          </w:tcPr>
          <w:p w14:paraId="21E8BD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时效指标</w:t>
            </w:r>
          </w:p>
        </w:tc>
        <w:tc>
          <w:tcPr>
            <w:tcW w:w="2535" w:type="dxa"/>
            <w:tcBorders>
              <w:top w:val="nil"/>
              <w:left w:val="single" w:color="000000" w:sz="8" w:space="0"/>
              <w:bottom w:val="single" w:color="000000" w:sz="8" w:space="0"/>
              <w:right w:val="single" w:color="000000" w:sz="8" w:space="0"/>
            </w:tcBorders>
            <w:shd w:val="clear"/>
            <w:vAlign w:val="center"/>
          </w:tcPr>
          <w:p w14:paraId="7BF1E35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工作经费及时拨付情况</w:t>
            </w:r>
          </w:p>
        </w:tc>
        <w:tc>
          <w:tcPr>
            <w:tcW w:w="1050" w:type="dxa"/>
            <w:tcBorders>
              <w:top w:val="nil"/>
              <w:left w:val="nil"/>
              <w:bottom w:val="single" w:color="000000" w:sz="8" w:space="0"/>
              <w:right w:val="nil"/>
            </w:tcBorders>
            <w:shd w:val="clear"/>
            <w:vAlign w:val="center"/>
          </w:tcPr>
          <w:p w14:paraId="4748726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2024年12月31日前</w:t>
            </w:r>
          </w:p>
        </w:tc>
        <w:tc>
          <w:tcPr>
            <w:tcW w:w="1230" w:type="dxa"/>
            <w:tcBorders>
              <w:top w:val="nil"/>
              <w:left w:val="single" w:color="000000" w:sz="8" w:space="0"/>
              <w:bottom w:val="single" w:color="000000" w:sz="8" w:space="0"/>
              <w:right w:val="nil"/>
            </w:tcBorders>
            <w:shd w:val="clear"/>
            <w:vAlign w:val="center"/>
          </w:tcPr>
          <w:p w14:paraId="3842B24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2024年12月31日前</w:t>
            </w:r>
          </w:p>
        </w:tc>
        <w:tc>
          <w:tcPr>
            <w:tcW w:w="975" w:type="dxa"/>
            <w:tcBorders>
              <w:top w:val="nil"/>
              <w:left w:val="single" w:color="000000" w:sz="8" w:space="0"/>
              <w:bottom w:val="single" w:color="000000" w:sz="8" w:space="0"/>
              <w:right w:val="single" w:color="000000" w:sz="8" w:space="0"/>
            </w:tcBorders>
            <w:shd w:val="clear"/>
            <w:vAlign w:val="center"/>
          </w:tcPr>
          <w:p w14:paraId="2B55B0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855" w:type="dxa"/>
            <w:tcBorders>
              <w:top w:val="nil"/>
              <w:left w:val="single" w:color="000000" w:sz="8" w:space="0"/>
              <w:bottom w:val="single" w:color="000000" w:sz="8" w:space="0"/>
              <w:right w:val="single" w:color="000000" w:sz="8" w:space="0"/>
            </w:tcBorders>
            <w:shd w:val="clear"/>
            <w:vAlign w:val="center"/>
          </w:tcPr>
          <w:p w14:paraId="6D5AA9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260DB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212" w:type="dxa"/>
            <w:vMerge w:val="continue"/>
            <w:tcBorders>
              <w:top w:val="nil"/>
              <w:left w:val="single" w:color="000000" w:sz="8" w:space="0"/>
              <w:bottom w:val="single" w:color="000000" w:sz="8" w:space="0"/>
              <w:right w:val="single" w:color="000000" w:sz="8" w:space="0"/>
            </w:tcBorders>
            <w:shd w:val="clear"/>
            <w:vAlign w:val="center"/>
          </w:tcPr>
          <w:p w14:paraId="3BA3F3F3">
            <w:pPr>
              <w:jc w:val="center"/>
              <w:rPr>
                <w:rFonts w:hint="eastAsia" w:ascii="微软雅黑" w:hAnsi="微软雅黑" w:eastAsia="微软雅黑" w:cs="微软雅黑"/>
                <w:i w:val="0"/>
                <w:iCs w:val="0"/>
                <w:color w:val="000000"/>
                <w:sz w:val="20"/>
                <w:szCs w:val="20"/>
                <w:u w:val="none"/>
              </w:rPr>
            </w:pPr>
          </w:p>
        </w:tc>
        <w:tc>
          <w:tcPr>
            <w:tcW w:w="2040" w:type="dxa"/>
            <w:tcBorders>
              <w:top w:val="nil"/>
              <w:left w:val="single" w:color="000000" w:sz="8" w:space="0"/>
              <w:bottom w:val="single" w:color="000000" w:sz="8" w:space="0"/>
              <w:right w:val="single" w:color="000000" w:sz="8" w:space="0"/>
            </w:tcBorders>
            <w:shd w:val="clear"/>
            <w:vAlign w:val="center"/>
          </w:tcPr>
          <w:p w14:paraId="335ADF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社会效益指标</w:t>
            </w:r>
          </w:p>
        </w:tc>
        <w:tc>
          <w:tcPr>
            <w:tcW w:w="2535" w:type="dxa"/>
            <w:tcBorders>
              <w:top w:val="nil"/>
              <w:left w:val="single" w:color="000000" w:sz="8" w:space="0"/>
              <w:bottom w:val="single" w:color="000000" w:sz="8" w:space="0"/>
              <w:right w:val="single" w:color="000000" w:sz="8" w:space="0"/>
            </w:tcBorders>
            <w:shd w:val="clear"/>
            <w:vAlign w:val="center"/>
          </w:tcPr>
          <w:p w14:paraId="25C1F8C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提升乡镇服务站服务水平</w:t>
            </w:r>
          </w:p>
        </w:tc>
        <w:tc>
          <w:tcPr>
            <w:tcW w:w="1050" w:type="dxa"/>
            <w:tcBorders>
              <w:top w:val="nil"/>
              <w:left w:val="nil"/>
              <w:bottom w:val="single" w:color="000000" w:sz="8" w:space="0"/>
              <w:right w:val="nil"/>
            </w:tcBorders>
            <w:shd w:val="clear"/>
            <w:vAlign w:val="center"/>
          </w:tcPr>
          <w:p w14:paraId="1B06CD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效果显著</w:t>
            </w:r>
          </w:p>
        </w:tc>
        <w:tc>
          <w:tcPr>
            <w:tcW w:w="1230" w:type="dxa"/>
            <w:tcBorders>
              <w:top w:val="nil"/>
              <w:left w:val="single" w:color="000000" w:sz="8" w:space="0"/>
              <w:bottom w:val="single" w:color="000000" w:sz="8" w:space="0"/>
              <w:right w:val="nil"/>
            </w:tcBorders>
            <w:shd w:val="clear"/>
            <w:vAlign w:val="center"/>
          </w:tcPr>
          <w:p w14:paraId="1B4E7EB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效果良好</w:t>
            </w:r>
          </w:p>
        </w:tc>
        <w:tc>
          <w:tcPr>
            <w:tcW w:w="975" w:type="dxa"/>
            <w:tcBorders>
              <w:top w:val="nil"/>
              <w:left w:val="single" w:color="000000" w:sz="8" w:space="0"/>
              <w:bottom w:val="single" w:color="000000" w:sz="8" w:space="0"/>
              <w:right w:val="single" w:color="000000" w:sz="8" w:space="0"/>
            </w:tcBorders>
            <w:shd w:val="clear"/>
            <w:vAlign w:val="center"/>
          </w:tcPr>
          <w:p w14:paraId="1479FA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w:t>
            </w:r>
          </w:p>
        </w:tc>
        <w:tc>
          <w:tcPr>
            <w:tcW w:w="855" w:type="dxa"/>
            <w:tcBorders>
              <w:top w:val="nil"/>
              <w:left w:val="single" w:color="000000" w:sz="8" w:space="0"/>
              <w:bottom w:val="single" w:color="000000" w:sz="8" w:space="0"/>
              <w:right w:val="single" w:color="000000" w:sz="8" w:space="0"/>
            </w:tcBorders>
            <w:shd w:val="clear"/>
            <w:vAlign w:val="center"/>
          </w:tcPr>
          <w:p w14:paraId="1D6CEFC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12.00</w:t>
            </w:r>
          </w:p>
        </w:tc>
      </w:tr>
      <w:tr w14:paraId="03284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212" w:type="dxa"/>
            <w:vMerge w:val="continue"/>
            <w:tcBorders>
              <w:top w:val="nil"/>
              <w:left w:val="single" w:color="000000" w:sz="8" w:space="0"/>
              <w:bottom w:val="single" w:color="000000" w:sz="8" w:space="0"/>
              <w:right w:val="single" w:color="000000" w:sz="8" w:space="0"/>
            </w:tcBorders>
            <w:shd w:val="clear"/>
            <w:vAlign w:val="center"/>
          </w:tcPr>
          <w:p w14:paraId="3C08FF74">
            <w:pPr>
              <w:jc w:val="center"/>
              <w:rPr>
                <w:rFonts w:hint="eastAsia" w:ascii="微软雅黑" w:hAnsi="微软雅黑" w:eastAsia="微软雅黑" w:cs="微软雅黑"/>
                <w:i w:val="0"/>
                <w:iCs w:val="0"/>
                <w:color w:val="000000"/>
                <w:sz w:val="20"/>
                <w:szCs w:val="20"/>
                <w:u w:val="none"/>
              </w:rPr>
            </w:pPr>
          </w:p>
        </w:tc>
        <w:tc>
          <w:tcPr>
            <w:tcW w:w="2040" w:type="dxa"/>
            <w:tcBorders>
              <w:top w:val="nil"/>
              <w:left w:val="single" w:color="000000" w:sz="8" w:space="0"/>
              <w:bottom w:val="single" w:color="000000" w:sz="8" w:space="0"/>
              <w:right w:val="single" w:color="000000" w:sz="8" w:space="0"/>
            </w:tcBorders>
            <w:shd w:val="clear"/>
            <w:vAlign w:val="center"/>
          </w:tcPr>
          <w:p w14:paraId="6044CD7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可持续影响指标</w:t>
            </w:r>
          </w:p>
        </w:tc>
        <w:tc>
          <w:tcPr>
            <w:tcW w:w="2535" w:type="dxa"/>
            <w:tcBorders>
              <w:top w:val="nil"/>
              <w:left w:val="single" w:color="000000" w:sz="8" w:space="0"/>
              <w:bottom w:val="single" w:color="000000" w:sz="8" w:space="0"/>
              <w:right w:val="single" w:color="000000" w:sz="8" w:space="0"/>
            </w:tcBorders>
            <w:shd w:val="clear"/>
            <w:vAlign w:val="center"/>
          </w:tcPr>
          <w:p w14:paraId="34D15E8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实施持续性宣传</w:t>
            </w:r>
          </w:p>
        </w:tc>
        <w:tc>
          <w:tcPr>
            <w:tcW w:w="1050" w:type="dxa"/>
            <w:tcBorders>
              <w:top w:val="nil"/>
              <w:left w:val="nil"/>
              <w:bottom w:val="single" w:color="000000" w:sz="8" w:space="0"/>
              <w:right w:val="nil"/>
            </w:tcBorders>
            <w:shd w:val="clear"/>
            <w:vAlign w:val="center"/>
          </w:tcPr>
          <w:p w14:paraId="0AB68C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效果显著</w:t>
            </w:r>
          </w:p>
        </w:tc>
        <w:tc>
          <w:tcPr>
            <w:tcW w:w="1230" w:type="dxa"/>
            <w:tcBorders>
              <w:top w:val="nil"/>
              <w:left w:val="single" w:color="000000" w:sz="8" w:space="0"/>
              <w:bottom w:val="single" w:color="000000" w:sz="8" w:space="0"/>
              <w:right w:val="nil"/>
            </w:tcBorders>
            <w:shd w:val="clear"/>
            <w:vAlign w:val="center"/>
          </w:tcPr>
          <w:p w14:paraId="235BCD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效果良好</w:t>
            </w:r>
          </w:p>
        </w:tc>
        <w:tc>
          <w:tcPr>
            <w:tcW w:w="975" w:type="dxa"/>
            <w:tcBorders>
              <w:top w:val="nil"/>
              <w:left w:val="single" w:color="000000" w:sz="8" w:space="0"/>
              <w:bottom w:val="single" w:color="000000" w:sz="8" w:space="0"/>
              <w:right w:val="single" w:color="000000" w:sz="8" w:space="0"/>
            </w:tcBorders>
            <w:shd w:val="clear"/>
            <w:vAlign w:val="center"/>
          </w:tcPr>
          <w:p w14:paraId="225BA0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15</w:t>
            </w:r>
          </w:p>
        </w:tc>
        <w:tc>
          <w:tcPr>
            <w:tcW w:w="855" w:type="dxa"/>
            <w:tcBorders>
              <w:top w:val="nil"/>
              <w:left w:val="single" w:color="000000" w:sz="8" w:space="0"/>
              <w:bottom w:val="single" w:color="000000" w:sz="8" w:space="0"/>
              <w:right w:val="single" w:color="000000" w:sz="8" w:space="0"/>
            </w:tcBorders>
            <w:shd w:val="clear"/>
            <w:vAlign w:val="center"/>
          </w:tcPr>
          <w:p w14:paraId="6B9530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12.00</w:t>
            </w:r>
          </w:p>
        </w:tc>
      </w:tr>
      <w:tr w14:paraId="53A89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212" w:type="dxa"/>
            <w:tcBorders>
              <w:top w:val="nil"/>
              <w:left w:val="single" w:color="000000" w:sz="8" w:space="0"/>
              <w:bottom w:val="single" w:color="000000" w:sz="8" w:space="0"/>
              <w:right w:val="single" w:color="000000" w:sz="8" w:space="0"/>
            </w:tcBorders>
            <w:shd w:val="clear"/>
            <w:vAlign w:val="center"/>
          </w:tcPr>
          <w:p w14:paraId="1774546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满意度指标</w:t>
            </w:r>
          </w:p>
        </w:tc>
        <w:tc>
          <w:tcPr>
            <w:tcW w:w="2040" w:type="dxa"/>
            <w:tcBorders>
              <w:top w:val="nil"/>
              <w:left w:val="single" w:color="000000" w:sz="8" w:space="0"/>
              <w:bottom w:val="single" w:color="000000" w:sz="8" w:space="0"/>
              <w:right w:val="single" w:color="000000" w:sz="8" w:space="0"/>
            </w:tcBorders>
            <w:shd w:val="clear"/>
            <w:vAlign w:val="center"/>
          </w:tcPr>
          <w:p w14:paraId="27A70C5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服务对象满意度指标</w:t>
            </w:r>
          </w:p>
        </w:tc>
        <w:tc>
          <w:tcPr>
            <w:tcW w:w="2535" w:type="dxa"/>
            <w:tcBorders>
              <w:top w:val="nil"/>
              <w:left w:val="single" w:color="000000" w:sz="8" w:space="0"/>
              <w:bottom w:val="single" w:color="000000" w:sz="8" w:space="0"/>
              <w:right w:val="single" w:color="000000" w:sz="8" w:space="0"/>
            </w:tcBorders>
            <w:shd w:val="clear"/>
            <w:vAlign w:val="center"/>
          </w:tcPr>
          <w:p w14:paraId="049B714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退役军人满意度</w:t>
            </w:r>
          </w:p>
        </w:tc>
        <w:tc>
          <w:tcPr>
            <w:tcW w:w="1050" w:type="dxa"/>
            <w:tcBorders>
              <w:top w:val="nil"/>
              <w:left w:val="nil"/>
              <w:bottom w:val="single" w:color="000000" w:sz="8" w:space="0"/>
              <w:right w:val="nil"/>
            </w:tcBorders>
            <w:shd w:val="clear"/>
            <w:vAlign w:val="center"/>
          </w:tcPr>
          <w:p w14:paraId="67E390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c>
          <w:tcPr>
            <w:tcW w:w="1230" w:type="dxa"/>
            <w:tcBorders>
              <w:top w:val="nil"/>
              <w:left w:val="single" w:color="000000" w:sz="8" w:space="0"/>
              <w:bottom w:val="single" w:color="000000" w:sz="8" w:space="0"/>
              <w:right w:val="nil"/>
            </w:tcBorders>
            <w:shd w:val="clear"/>
            <w:vAlign w:val="center"/>
          </w:tcPr>
          <w:p w14:paraId="4995015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c>
          <w:tcPr>
            <w:tcW w:w="975" w:type="dxa"/>
            <w:tcBorders>
              <w:top w:val="nil"/>
              <w:left w:val="single" w:color="000000" w:sz="8" w:space="0"/>
              <w:bottom w:val="single" w:color="000000" w:sz="8" w:space="0"/>
              <w:right w:val="single" w:color="000000" w:sz="8" w:space="0"/>
            </w:tcBorders>
            <w:shd w:val="clear"/>
            <w:vAlign w:val="center"/>
          </w:tcPr>
          <w:p w14:paraId="646954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855" w:type="dxa"/>
            <w:tcBorders>
              <w:top w:val="nil"/>
              <w:left w:val="single" w:color="000000" w:sz="8" w:space="0"/>
              <w:bottom w:val="single" w:color="000000" w:sz="8" w:space="0"/>
              <w:right w:val="single" w:color="000000" w:sz="8" w:space="0"/>
            </w:tcBorders>
            <w:shd w:val="clear"/>
            <w:vAlign w:val="center"/>
          </w:tcPr>
          <w:p w14:paraId="70F397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r w14:paraId="0A6A5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212" w:type="dxa"/>
            <w:tcBorders>
              <w:top w:val="nil"/>
              <w:left w:val="single" w:color="000000" w:sz="8" w:space="0"/>
              <w:bottom w:val="single" w:color="000000" w:sz="8" w:space="0"/>
              <w:right w:val="single" w:color="000000" w:sz="8" w:space="0"/>
            </w:tcBorders>
            <w:shd w:val="clear"/>
            <w:vAlign w:val="center"/>
          </w:tcPr>
          <w:p w14:paraId="62E02BD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成本指标</w:t>
            </w:r>
          </w:p>
        </w:tc>
        <w:tc>
          <w:tcPr>
            <w:tcW w:w="2040" w:type="dxa"/>
            <w:tcBorders>
              <w:top w:val="nil"/>
              <w:left w:val="single" w:color="000000" w:sz="8" w:space="0"/>
              <w:bottom w:val="single" w:color="000000" w:sz="8" w:space="0"/>
              <w:right w:val="single" w:color="000000" w:sz="8" w:space="0"/>
            </w:tcBorders>
            <w:shd w:val="clear"/>
            <w:vAlign w:val="center"/>
          </w:tcPr>
          <w:p w14:paraId="1591F3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经济成本指标</w:t>
            </w:r>
          </w:p>
        </w:tc>
        <w:tc>
          <w:tcPr>
            <w:tcW w:w="2535" w:type="dxa"/>
            <w:tcBorders>
              <w:top w:val="nil"/>
              <w:left w:val="single" w:color="000000" w:sz="8" w:space="0"/>
              <w:bottom w:val="single" w:color="000000" w:sz="8" w:space="0"/>
              <w:right w:val="single" w:color="000000" w:sz="8" w:space="0"/>
            </w:tcBorders>
            <w:shd w:val="clear"/>
            <w:vAlign w:val="center"/>
          </w:tcPr>
          <w:p w14:paraId="6596A06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每个乡镇服务站工作经费</w:t>
            </w:r>
          </w:p>
        </w:tc>
        <w:tc>
          <w:tcPr>
            <w:tcW w:w="1050" w:type="dxa"/>
            <w:tcBorders>
              <w:top w:val="nil"/>
              <w:left w:val="nil"/>
              <w:bottom w:val="single" w:color="000000" w:sz="8" w:space="0"/>
              <w:right w:val="nil"/>
            </w:tcBorders>
            <w:shd w:val="clear"/>
            <w:vAlign w:val="center"/>
          </w:tcPr>
          <w:p w14:paraId="2443DFD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w:t>
            </w:r>
          </w:p>
        </w:tc>
        <w:tc>
          <w:tcPr>
            <w:tcW w:w="1230" w:type="dxa"/>
            <w:tcBorders>
              <w:top w:val="nil"/>
              <w:left w:val="single" w:color="000000" w:sz="8" w:space="0"/>
              <w:bottom w:val="single" w:color="000000" w:sz="8" w:space="0"/>
              <w:right w:val="nil"/>
            </w:tcBorders>
            <w:shd w:val="clear"/>
            <w:vAlign w:val="center"/>
          </w:tcPr>
          <w:p w14:paraId="670F28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w:t>
            </w:r>
          </w:p>
        </w:tc>
        <w:tc>
          <w:tcPr>
            <w:tcW w:w="975" w:type="dxa"/>
            <w:tcBorders>
              <w:top w:val="nil"/>
              <w:left w:val="single" w:color="000000" w:sz="8" w:space="0"/>
              <w:bottom w:val="single" w:color="000000" w:sz="8" w:space="0"/>
              <w:right w:val="single" w:color="000000" w:sz="8" w:space="0"/>
            </w:tcBorders>
            <w:shd w:val="clear"/>
            <w:vAlign w:val="center"/>
          </w:tcPr>
          <w:p w14:paraId="6F9EA8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855" w:type="dxa"/>
            <w:tcBorders>
              <w:top w:val="nil"/>
              <w:left w:val="single" w:color="000000" w:sz="8" w:space="0"/>
              <w:bottom w:val="single" w:color="000000" w:sz="8" w:space="0"/>
              <w:right w:val="single" w:color="000000" w:sz="8" w:space="0"/>
            </w:tcBorders>
            <w:shd w:val="clear"/>
            <w:vAlign w:val="center"/>
          </w:tcPr>
          <w:p w14:paraId="578F92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10.00</w:t>
            </w:r>
          </w:p>
        </w:tc>
      </w:tr>
    </w:tbl>
    <w:p w14:paraId="2C110B58">
      <w:pPr>
        <w:spacing w:line="560" w:lineRule="exact"/>
        <w:ind w:firstLine="640" w:firstLineChars="200"/>
        <w:jc w:val="left"/>
        <w:rPr>
          <w:rFonts w:hint="eastAsia" w:ascii="仿宋_GB2312" w:hAnsi="仿宋_GB2312" w:eastAsia="仿宋_GB2312" w:cs="仿宋_GB2312"/>
          <w:bCs/>
          <w:sz w:val="32"/>
          <w:szCs w:val="32"/>
        </w:rPr>
      </w:pPr>
    </w:p>
    <w:p w14:paraId="77375EB0">
      <w:pPr>
        <w:spacing w:line="560" w:lineRule="exact"/>
        <w:ind w:firstLine="640" w:firstLineChars="200"/>
        <w:jc w:val="left"/>
        <w:rPr>
          <w:rFonts w:hint="default" w:ascii="仿宋_GB2312" w:hAnsi="仿宋_GB2312" w:eastAsia="仿宋_GB2312" w:cs="仿宋_GB2312"/>
          <w:bCs/>
          <w:sz w:val="32"/>
          <w:szCs w:val="32"/>
          <w:lang w:val="en-US"/>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94分，评价结果为优秀。扣分指标主要是社会效益指标和可持续影响指标：运行经费保障了日常运行，但是服务站服务水平及实施持续性宣传经费缺口仍然较大。</w:t>
      </w:r>
    </w:p>
    <w:p w14:paraId="726F29E3">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14:paraId="58B02048">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41C5224D">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根据上级部门工作要求，结合我县基层退役军人服务站运行</w:t>
      </w:r>
      <w:r>
        <w:rPr>
          <w:rFonts w:hint="eastAsia" w:ascii="仿宋_GB2312" w:hAnsi="仿宋_GB2312" w:eastAsia="仿宋_GB2312" w:cs="仿宋_GB2312"/>
          <w:sz w:val="32"/>
          <w:szCs w:val="32"/>
          <w:lang w:val="en-US" w:eastAsia="zh-CN"/>
        </w:rPr>
        <w:t>的实际情况，保障基层服务站稳定运行，为推动军政军民团结</w:t>
      </w:r>
      <w:r>
        <w:rPr>
          <w:rFonts w:hint="eastAsia" w:ascii="仿宋_GB2312" w:hAnsi="仿宋_GB2312" w:eastAsia="仿宋_GB2312" w:cs="仿宋_GB2312"/>
          <w:sz w:val="32"/>
          <w:szCs w:val="32"/>
        </w:rPr>
        <w:t>、稳定军心</w:t>
      </w:r>
      <w:r>
        <w:rPr>
          <w:rFonts w:hint="eastAsia" w:ascii="仿宋_GB2312" w:hAnsi="仿宋_GB2312" w:eastAsia="仿宋_GB2312" w:cs="仿宋_GB2312"/>
          <w:sz w:val="32"/>
          <w:szCs w:val="32"/>
          <w:lang w:eastAsia="zh-CN"/>
        </w:rPr>
        <w:t>民心</w:t>
      </w:r>
      <w:r>
        <w:rPr>
          <w:rFonts w:hint="eastAsia" w:ascii="仿宋_GB2312" w:hAnsi="仿宋_GB2312" w:eastAsia="仿宋_GB2312" w:cs="仿宋_GB2312"/>
          <w:sz w:val="32"/>
          <w:szCs w:val="32"/>
        </w:rPr>
        <w:t>，促进社会稳定、和谐</w:t>
      </w:r>
      <w:r>
        <w:rPr>
          <w:rFonts w:hint="eastAsia" w:ascii="仿宋_GB2312" w:hAnsi="仿宋_GB2312" w:eastAsia="仿宋_GB2312" w:cs="仿宋_GB2312"/>
          <w:sz w:val="32"/>
          <w:szCs w:val="32"/>
          <w:lang w:eastAsia="zh-CN"/>
        </w:rPr>
        <w:t>，经请示县人民政府审批同意，设置本项目。</w:t>
      </w:r>
    </w:p>
    <w:p w14:paraId="6BA40A5F">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p>
    <w:p w14:paraId="6897707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2024年基层退役军人服务站运行经费项目年初预算22万元，全年预算数22万元，全年执行数22万元，执行率100%。主要用于各乡镇基层退役军人服务站运行，有效保障基层服务站日常运行。</w:t>
      </w:r>
    </w:p>
    <w:p w14:paraId="048A8981">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1880B1FB">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从综合评价得分情况看，此项目综合评价满分为100分，实际得分94分，各项绩效指标均达到年初设定目标，</w:t>
      </w:r>
      <w:r>
        <w:rPr>
          <w:rFonts w:hint="eastAsia" w:eastAsia="仿宋_GB2312" w:cs="Times New Roman"/>
          <w:sz w:val="32"/>
          <w:szCs w:val="32"/>
          <w:lang w:val="en-US" w:eastAsia="zh-CN" w:bidi="ar-SA"/>
        </w:rPr>
        <w:t>扣分指标主要是社会效益指标和可持续影响指标（年度指标值为：效果显著；实际完成值：效果良好）</w:t>
      </w:r>
      <w:r>
        <w:rPr>
          <w:rFonts w:hint="eastAsia" w:eastAsia="仿宋_GB2312"/>
          <w:sz w:val="32"/>
          <w:szCs w:val="32"/>
          <w:lang w:val="en-US" w:eastAsia="zh-CN"/>
        </w:rPr>
        <w:t>。</w:t>
      </w:r>
    </w:p>
    <w:p w14:paraId="6BB466C4">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70C1ACE8">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有效保障各乡镇基层服务站正常有序运行，夯实基层基础，有效服务各乡镇退役士兵，</w:t>
      </w:r>
      <w:r>
        <w:rPr>
          <w:rFonts w:hint="eastAsia" w:ascii="仿宋_GB2312" w:hAnsi="仿宋_GB2312" w:eastAsia="仿宋_GB2312" w:cs="仿宋_GB2312"/>
          <w:sz w:val="32"/>
          <w:szCs w:val="32"/>
          <w:lang w:val="en-US" w:eastAsia="zh-CN"/>
        </w:rPr>
        <w:t>推动军政军民团结</w:t>
      </w:r>
      <w:r>
        <w:rPr>
          <w:rFonts w:hint="eastAsia" w:ascii="仿宋_GB2312" w:hAnsi="仿宋_GB2312" w:eastAsia="仿宋_GB2312" w:cs="仿宋_GB2312"/>
          <w:sz w:val="32"/>
          <w:szCs w:val="32"/>
        </w:rPr>
        <w:t>、稳定军心</w:t>
      </w:r>
      <w:r>
        <w:rPr>
          <w:rFonts w:hint="eastAsia" w:ascii="仿宋_GB2312" w:hAnsi="仿宋_GB2312" w:eastAsia="仿宋_GB2312" w:cs="仿宋_GB2312"/>
          <w:sz w:val="32"/>
          <w:szCs w:val="32"/>
          <w:lang w:eastAsia="zh-CN"/>
        </w:rPr>
        <w:t>民心</w:t>
      </w:r>
      <w:r>
        <w:rPr>
          <w:rFonts w:hint="eastAsia" w:ascii="仿宋_GB2312" w:hAnsi="仿宋_GB2312" w:eastAsia="仿宋_GB2312" w:cs="仿宋_GB2312"/>
          <w:sz w:val="32"/>
          <w:szCs w:val="32"/>
        </w:rPr>
        <w:t>，促进社会稳定、和谐</w:t>
      </w:r>
      <w:r>
        <w:rPr>
          <w:rFonts w:hint="eastAsia" w:ascii="仿宋_GB2312" w:hAnsi="仿宋_GB2312" w:eastAsia="仿宋_GB2312" w:cs="仿宋_GB2312"/>
          <w:sz w:val="32"/>
          <w:szCs w:val="32"/>
          <w:lang w:eastAsia="zh-CN"/>
        </w:rPr>
        <w:t>。</w:t>
      </w:r>
    </w:p>
    <w:p w14:paraId="7068AD9E">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五、主要经验及做法、存在的问题及原因分析</w:t>
      </w:r>
    </w:p>
    <w:p w14:paraId="2EBFA2BC">
      <w:pPr>
        <w:spacing w:line="560" w:lineRule="exact"/>
        <w:ind w:firstLine="640" w:firstLineChars="200"/>
        <w:jc w:val="left"/>
        <w:rPr>
          <w:rFonts w:hint="eastAsia" w:ascii="宋体" w:hAnsi="宋体" w:eastAsia="宋体" w:cs="宋体"/>
          <w:b/>
          <w:bCs w:val="0"/>
          <w:sz w:val="32"/>
          <w:szCs w:val="32"/>
          <w:lang w:eastAsia="zh-CN"/>
        </w:rPr>
      </w:pPr>
      <w:r>
        <w:rPr>
          <w:rFonts w:hint="eastAsia" w:ascii="仿宋_GB2312" w:hAnsi="仿宋_GB2312" w:eastAsia="仿宋_GB2312" w:cs="仿宋_GB2312"/>
          <w:sz w:val="32"/>
          <w:szCs w:val="32"/>
          <w:lang w:val="en-US" w:eastAsia="zh-CN"/>
        </w:rPr>
        <w:t>按时拨付基层退役军人服务站运行经费，有效保障基层退役军人服务体系运行，有效夯实基层基础。由于县级财政资金紧张，相关资金拨付压力较大。</w:t>
      </w:r>
    </w:p>
    <w:p w14:paraId="46B2EEAB">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六、有关建议</w:t>
      </w:r>
    </w:p>
    <w:p w14:paraId="0A42BC11">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县级财政加强资金支持，保障相关资金及时拨付。</w:t>
      </w:r>
    </w:p>
    <w:p w14:paraId="28E51F0D">
      <w:pPr>
        <w:spacing w:line="560" w:lineRule="exact"/>
        <w:ind w:firstLine="643" w:firstLineChars="200"/>
        <w:jc w:val="left"/>
        <w:rPr>
          <w:rFonts w:hint="eastAsia" w:ascii="宋体" w:hAnsi="宋体" w:eastAsia="宋体" w:cs="宋体"/>
          <w:b/>
          <w:bCs w:val="0"/>
          <w:sz w:val="32"/>
          <w:szCs w:val="32"/>
          <w:lang w:eastAsia="zh-CN"/>
        </w:rPr>
      </w:pPr>
    </w:p>
    <w:p w14:paraId="36C6E82A">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14:paraId="274A1812">
      <w:pPr>
        <w:pStyle w:val="3"/>
        <w:widowControl w:val="0"/>
        <w:spacing w:before="0" w:beforeAutospacing="0" w:after="0" w:afterAutospacing="0" w:line="52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无</w:t>
      </w:r>
    </w:p>
    <w:p w14:paraId="0B40FB75">
      <w:pPr>
        <w:ind w:left="8960" w:hanging="8960" w:hangingChars="28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新晃侗族自治县退役军人事务局</w:t>
      </w:r>
      <w:r>
        <w:rPr>
          <w:rFonts w:hint="eastAsia" w:ascii="仿宋_GB2312" w:hAnsi="仿宋_GB2312" w:eastAsia="仿宋_GB2312" w:cs="仿宋_GB2312"/>
          <w:sz w:val="32"/>
          <w:szCs w:val="32"/>
        </w:rPr>
        <w:t xml:space="preserve">                        </w:t>
      </w:r>
    </w:p>
    <w:p w14:paraId="66C35309">
      <w:pPr>
        <w:ind w:firstLine="6080" w:firstLineChars="1900"/>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37732970"/>
    <w:rsid w:val="4D876958"/>
    <w:rsid w:val="56A360DC"/>
    <w:rsid w:val="6C946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282</Words>
  <Characters>287</Characters>
  <Lines>0</Lines>
  <Paragraphs>0</Paragraphs>
  <TotalTime>0</TotalTime>
  <ScaleCrop>false</ScaleCrop>
  <LinksUpToDate>false</LinksUpToDate>
  <CharactersWithSpaces>357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2025-03-25T07:20:12Z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1AB7709B3C1444349ECCE6DD8CBB80BE_12</vt:lpwstr>
  </property>
  <property fmtid="{D5CDD505-2E9C-101B-9397-08002B2CF9AE}" pid="4" name="KSOTemplateDocerSaveRecord">
    <vt:lpwstr>eyJoZGlkIjoiZjgxNzhjYzU4ZTBkNTlmMjNhNmU0NThlYTk3YjE3MGMiLCJ1c2VySWQiOiI0MzkxODQ2NTgifQ==</vt:lpwstr>
  </property>
</Properties>
</file>