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EB10C">
      <w:pPr>
        <w:spacing w:before="240" w:line="340" w:lineRule="exact"/>
        <w:jc w:val="left"/>
        <w:rPr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附件2-3 </w:t>
      </w:r>
    </w:p>
    <w:p w14:paraId="000C3A86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ascii="宋体" w:hAnsi="宋体" w:eastAsia="方正粗宋简体"/>
          <w:b/>
          <w:w w:val="85"/>
          <w:sz w:val="36"/>
          <w:szCs w:val="36"/>
          <w:lang w:eastAsia="zh-CN"/>
        </w:rPr>
        <w:t>202</w:t>
      </w:r>
      <w:r>
        <w:rPr>
          <w:rFonts w:hint="eastAsia" w:ascii="宋体" w:hAnsi="宋体" w:eastAsia="方正粗宋简体"/>
          <w:b/>
          <w:w w:val="85"/>
          <w:sz w:val="36"/>
          <w:szCs w:val="36"/>
          <w:lang w:val="en-US" w:eastAsia="zh-CN"/>
        </w:rPr>
        <w:t>4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28FB7239"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</w:p>
    <w:p w14:paraId="1EC1655E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一、基本情况</w:t>
      </w:r>
    </w:p>
    <w:p w14:paraId="26032D62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（一）项目概况。包括项目背景、主要内容及实施情况、资金投入和使用情况等。</w:t>
      </w:r>
    </w:p>
    <w:p w14:paraId="5D4642C2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" w:hAnsi="仿宋" w:eastAsia="仿宋" w:cs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-SA"/>
        </w:rPr>
        <w:t>4</w:t>
      </w:r>
      <w:r>
        <w:rPr>
          <w:rFonts w:ascii="仿宋" w:hAnsi="仿宋" w:eastAsia="仿宋" w:cs="仿宋_GB2312"/>
          <w:color w:val="auto"/>
          <w:sz w:val="32"/>
          <w:szCs w:val="32"/>
          <w:lang w:val="en-US" w:eastAsia="zh-CN"/>
        </w:rPr>
        <w:t>年我县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各类优抚对象共2014人，优抚对象补助及医疗保障经费（上级资金）年初预算1377.17万元，全年预算数1651.05万元，全年执行数1651.05万元。</w:t>
      </w:r>
      <w:r>
        <w:rPr>
          <w:rFonts w:ascii="仿宋" w:hAnsi="仿宋" w:eastAsia="仿宋" w:cs="仿宋_GB2312"/>
          <w:sz w:val="32"/>
          <w:szCs w:val="32"/>
          <w:lang w:val="en-US" w:eastAsia="zh-CN"/>
        </w:rPr>
        <w:t>主要用于优抚对象的生活补助、一次性死亡补助、医疗救助、1-6级伤残军人的医疗保险和大病保险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等</w:t>
      </w:r>
      <w:r>
        <w:rPr>
          <w:rFonts w:ascii="仿宋" w:hAnsi="仿宋" w:eastAsia="仿宋" w:cs="仿宋_GB2312"/>
          <w:sz w:val="32"/>
          <w:szCs w:val="32"/>
          <w:lang w:val="en-US" w:eastAsia="zh-CN"/>
        </w:rPr>
        <w:t>。</w:t>
      </w:r>
    </w:p>
    <w:p w14:paraId="6159EC6F">
      <w:pPr>
        <w:numPr>
          <w:ilvl w:val="0"/>
          <w:numId w:val="1"/>
        </w:numPr>
        <w:spacing w:line="560" w:lineRule="exact"/>
        <w:ind w:left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项目绩效目标。包括总体目标和阶段性目标。</w:t>
      </w:r>
    </w:p>
    <w:p w14:paraId="02BE7C88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总体目标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:通过发放优抚对象抚恤补助资金，使优抚对象等人员的基本生活得到有效保障。</w:t>
      </w:r>
    </w:p>
    <w:p w14:paraId="60F2662B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阶段性目标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:本年度按时发放优抚对象抚恤补助资金，使优抚对象等人员的基本生活得到有效保障。</w:t>
      </w:r>
    </w:p>
    <w:p w14:paraId="58C63F5F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0590576"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二、绩效评价工作开展情况</w:t>
      </w:r>
    </w:p>
    <w:p w14:paraId="64CCD6ED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（一）绩效评价目的、对象和范围。</w:t>
      </w:r>
    </w:p>
    <w:p w14:paraId="68E0DD2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（1）严格执行《预算法》，强化支出责任，提高项目资金使用效益，对项目支出情况开展绩效评价，践行“花钱必问效、无效必问责”。</w:t>
      </w:r>
    </w:p>
    <w:p w14:paraId="20119E0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通过对项目资金的绩效评价，进一步了解和掌握项目实施的具体情况，评价其项目资金安排的科学性、合理性、规范性和资金使用成效，及时总结项目管理经验，完善项目管理办法，提高项目管理水平和资金的使用效益。</w:t>
      </w:r>
    </w:p>
    <w:p w14:paraId="3F84E03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（3）促使项目承担科室及项目分管领导，对绩效评价中发现的问题，认真整改，及时调整和完善单位的工作计划和绩效目标，提高管理水平，同时为项目后续资金投入、分配和管理提供决策依据。</w:t>
      </w:r>
    </w:p>
    <w:p w14:paraId="41BFAD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/>
        <w:rPr>
          <w:rFonts w:hint="default" w:ascii="Times New Roman" w:hAnsi="Times New Roman" w:eastAsia="方正粗宋简体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（4）2024年度优抚对象补助及医疗保障经费（上级资金）项目1个，涉及资金1651.05万元，主要范围是优抚对象生活补助及医疗补助等。</w:t>
      </w:r>
    </w:p>
    <w:p w14:paraId="59D6DAAF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（二）绩效评价原则、评价指标体系（附表说明）、评价方法、评价标准等。</w:t>
      </w:r>
    </w:p>
    <w:p w14:paraId="01E3B5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（1）科学公正。绩效评价应当运用科学合理的方法，按照规范的程序，对项目绩效进行客观、公正地反映。</w:t>
      </w:r>
    </w:p>
    <w:p w14:paraId="41FA6F8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3BD19E1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（3）激励约束。绩效评价结果应与预算安排、政策调整、改进管理实质性挂钩，体现奖优罚劣和激励相容导向，有效要安排、低效要压减、无效要问责。</w:t>
      </w:r>
    </w:p>
    <w:p w14:paraId="3103DFD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（4）公开透明。绩效评价结果应依法依规公开，并自觉接受社会监督。</w:t>
      </w:r>
    </w:p>
    <w:tbl>
      <w:tblPr>
        <w:tblStyle w:val="4"/>
        <w:tblW w:w="837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2190"/>
        <w:gridCol w:w="2790"/>
        <w:gridCol w:w="1955"/>
      </w:tblGrid>
      <w:tr w14:paraId="08B0D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4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CCD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19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A1D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9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358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55" w:type="dxa"/>
            <w:vMerge w:val="restar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043B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年度指标值</w:t>
            </w:r>
          </w:p>
        </w:tc>
      </w:tr>
      <w:tr w14:paraId="40B5E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4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9A39B6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46F91B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4FDA0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5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A2ED92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59A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44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AE071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4FCA26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79E2F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5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4A35A9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98F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44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474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1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DCA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7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5AA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优抚对象补助及医疗保障经费发放人数</w:t>
            </w:r>
          </w:p>
        </w:tc>
        <w:tc>
          <w:tcPr>
            <w:tcW w:w="195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4900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</w:tr>
      <w:tr w14:paraId="5534F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44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8E086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8CB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7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246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补助资金发放准确率</w:t>
            </w:r>
          </w:p>
        </w:tc>
        <w:tc>
          <w:tcPr>
            <w:tcW w:w="195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8B3D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70716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44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F17D9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E19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7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12D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补助资金发放及时率</w:t>
            </w:r>
          </w:p>
        </w:tc>
        <w:tc>
          <w:tcPr>
            <w:tcW w:w="195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330D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2AA7B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44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8A5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1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0BE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7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5791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95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79E2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 w14:paraId="6F529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44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5A302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9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C0E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7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DB9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保障优抚对象的待遇</w:t>
            </w:r>
          </w:p>
        </w:tc>
        <w:tc>
          <w:tcPr>
            <w:tcW w:w="195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8725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按各项标准发放</w:t>
            </w:r>
          </w:p>
        </w:tc>
      </w:tr>
      <w:tr w14:paraId="0FE25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44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610E3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7CE79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058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改善优抚对象生活情况</w:t>
            </w:r>
          </w:p>
        </w:tc>
        <w:tc>
          <w:tcPr>
            <w:tcW w:w="195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5277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改善明显</w:t>
            </w:r>
          </w:p>
        </w:tc>
      </w:tr>
      <w:tr w14:paraId="2B566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44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72FDC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A52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7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0AB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95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D17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 w14:paraId="42FFE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44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ED1E4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335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7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06D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促进军民稳定</w:t>
            </w:r>
          </w:p>
        </w:tc>
        <w:tc>
          <w:tcPr>
            <w:tcW w:w="195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4989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</w:tr>
      <w:tr w14:paraId="294A9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AF2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F45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7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687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95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3C7A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</w:tr>
      <w:tr w14:paraId="212CA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44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D0C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50E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7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09C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优抚对象补助及医疗保障资金</w:t>
            </w:r>
          </w:p>
        </w:tc>
        <w:tc>
          <w:tcPr>
            <w:tcW w:w="195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662C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1377.17万元</w:t>
            </w:r>
          </w:p>
        </w:tc>
      </w:tr>
      <w:tr w14:paraId="50F60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44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E9DA0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1F0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27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7F8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95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6E35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 w14:paraId="7D31F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4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63D7A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F2B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27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760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95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4A6B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</w:tbl>
    <w:p w14:paraId="64AD85A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</w:p>
    <w:p w14:paraId="6D570E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</w:p>
    <w:p w14:paraId="01D0345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</w:p>
    <w:p w14:paraId="468C4227">
      <w:pPr>
        <w:numPr>
          <w:ilvl w:val="0"/>
          <w:numId w:val="1"/>
        </w:numPr>
        <w:spacing w:line="560" w:lineRule="exact"/>
        <w:ind w:left="400" w:leftChars="200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绩效评价工作过程。</w:t>
      </w:r>
    </w:p>
    <w:p w14:paraId="4E38DE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1.成立绩效评价领导小组；</w:t>
      </w:r>
    </w:p>
    <w:p w14:paraId="050B948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2.组织相关人员进行培训；</w:t>
      </w:r>
    </w:p>
    <w:p w14:paraId="368C972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3.收集相关资料；</w:t>
      </w:r>
    </w:p>
    <w:p w14:paraId="125680A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4.分析资料、汇总评价数据；</w:t>
      </w:r>
    </w:p>
    <w:p w14:paraId="028467E8"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5.填写项目支出绩效单位自评表，撰写绩效自评报告</w:t>
      </w:r>
    </w:p>
    <w:tbl>
      <w:tblPr>
        <w:tblStyle w:val="4"/>
        <w:tblpPr w:leftFromText="180" w:rightFromText="180" w:vertAnchor="text" w:horzAnchor="page" w:tblpX="1442" w:tblpY="1176"/>
        <w:tblOverlap w:val="never"/>
        <w:tblW w:w="100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635"/>
        <w:gridCol w:w="2700"/>
        <w:gridCol w:w="1605"/>
        <w:gridCol w:w="1424"/>
        <w:gridCol w:w="630"/>
        <w:gridCol w:w="841"/>
      </w:tblGrid>
      <w:tr w14:paraId="764DF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8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9A6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3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4C5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A46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605" w:type="dxa"/>
            <w:vMerge w:val="restar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38AB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42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3057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3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5FF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841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FFC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</w:tr>
      <w:tr w14:paraId="218E9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A762D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E76C8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3A42D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B3ABB75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FA7638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D4163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667BDF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655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830EA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4AB24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2F1C75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8557885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B743C5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F635FB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A1F9B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4F4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8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A91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D8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808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优抚对象补助及医疗保障经费发放人数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46EB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424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A4B7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2050人</w:t>
            </w:r>
          </w:p>
        </w:tc>
        <w:tc>
          <w:tcPr>
            <w:tcW w:w="63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691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23A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3BD22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A4AFD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DD7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0D8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补助资金发放准确率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ED7D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424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CB33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3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C10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693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64F64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4B9F4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CE6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0801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补助资金发放及时率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29F4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424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2E9D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3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9CC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CDF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38CF5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11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70C49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576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C1B7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保障优抚对象的待遇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BFDC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按各项标准发放</w:t>
            </w:r>
          </w:p>
        </w:tc>
        <w:tc>
          <w:tcPr>
            <w:tcW w:w="1424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98D8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按标准发放</w:t>
            </w:r>
          </w:p>
        </w:tc>
        <w:tc>
          <w:tcPr>
            <w:tcW w:w="63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405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9C6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34E57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1D83C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2D501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5B1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改善优抚对象生活情况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72F5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改善明显</w:t>
            </w:r>
          </w:p>
        </w:tc>
        <w:tc>
          <w:tcPr>
            <w:tcW w:w="1424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693A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改善明显</w:t>
            </w:r>
          </w:p>
        </w:tc>
        <w:tc>
          <w:tcPr>
            <w:tcW w:w="63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3E6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B80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</w:t>
            </w:r>
          </w:p>
        </w:tc>
      </w:tr>
      <w:tr w14:paraId="49B15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53657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0B0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6716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促进军民稳定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718B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424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5563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63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704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DA6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17A62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D8E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304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0D0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CE1E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1424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8BBE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63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2E0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EDC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1DDAE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FD5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F2A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B7D5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优抚对象补助及医疗保障资金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A132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1377.17万元</w:t>
            </w:r>
          </w:p>
        </w:tc>
        <w:tc>
          <w:tcPr>
            <w:tcW w:w="1424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DAB9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1651.05万元</w:t>
            </w:r>
          </w:p>
        </w:tc>
        <w:tc>
          <w:tcPr>
            <w:tcW w:w="63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355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84F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</w:t>
            </w:r>
          </w:p>
        </w:tc>
      </w:tr>
    </w:tbl>
    <w:p w14:paraId="10465308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 w14:paraId="0B108596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 w14:paraId="4BF4DAB6"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</w:p>
    <w:p w14:paraId="2B42E82C">
      <w:pPr>
        <w:spacing w:line="560" w:lineRule="exact"/>
        <w:ind w:left="0" w:firstLine="640" w:firstLineChars="200"/>
        <w:jc w:val="left"/>
        <w:rPr>
          <w:rFonts w:hint="eastAsia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根据绩效目标表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相关指标，逐一对应指标值数进行综合评价，自评分数为100分，评价结果为优秀。</w:t>
      </w:r>
    </w:p>
    <w:p w14:paraId="12826B24">
      <w:pPr>
        <w:spacing w:line="560" w:lineRule="exact"/>
        <w:ind w:left="0" w:firstLine="640" w:firstLineChars="200"/>
        <w:jc w:val="left"/>
        <w:rPr>
          <w:rFonts w:hint="eastAsia" w:eastAsia="仿宋_GB2312" w:cs="Times New Roman"/>
          <w:sz w:val="32"/>
          <w:szCs w:val="32"/>
          <w:lang w:val="en-US" w:eastAsia="zh-CN" w:bidi="ar-SA"/>
        </w:rPr>
      </w:pPr>
    </w:p>
    <w:p w14:paraId="1DE1BA9D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四、绩效评价指标分析</w:t>
      </w:r>
    </w:p>
    <w:p w14:paraId="7A87C232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</w:p>
    <w:p w14:paraId="57ACA73D">
      <w:pPr>
        <w:spacing w:line="560" w:lineRule="exact"/>
        <w:ind w:left="0" w:firstLine="640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为继承和发扬拥军优属的光荣传统，促进拥军优属工作的社会化和规范化，支持部队建设，保障军人和优抚对象的合法权益，根据《军人抚恤优待条例》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等法律法规相关标准规定要求，确认及发放优抚对象补助资金。</w:t>
      </w:r>
    </w:p>
    <w:p w14:paraId="4B07FA11">
      <w:pPr>
        <w:numPr>
          <w:ilvl w:val="0"/>
          <w:numId w:val="2"/>
        </w:num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 w14:paraId="1D0C795D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2024年度优抚对象补助及医疗保障经费（上级资金）项目1个，年初预算数1377.17万元，全年预算数1651.05万元，收入资金1651.05万元，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执行率为100%,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主要范围是</w:t>
      </w:r>
      <w:r>
        <w:rPr>
          <w:rFonts w:ascii="仿宋" w:hAnsi="仿宋" w:eastAsia="仿宋" w:cs="仿宋_GB2312"/>
          <w:sz w:val="32"/>
          <w:szCs w:val="32"/>
          <w:lang w:val="en-US" w:eastAsia="zh-CN"/>
        </w:rPr>
        <w:t>用于优抚对象的生活补助、一次性死亡补助、医疗救助、1-6级伤残军人的医疗保险和大病保险等项目支出。</w:t>
      </w:r>
    </w:p>
    <w:p w14:paraId="0E48386D">
      <w:pPr>
        <w:numPr>
          <w:ilvl w:val="0"/>
          <w:numId w:val="2"/>
        </w:numPr>
        <w:spacing w:line="560" w:lineRule="exact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 w14:paraId="0559A623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从综合评价得分情况看，此项目综合评价满分为100分，实际得分10</w:t>
      </w:r>
      <w:bookmarkStart w:id="0" w:name="_GoBack"/>
      <w:bookmarkEnd w:id="0"/>
      <w:r>
        <w:rPr>
          <w:rFonts w:hint="eastAsia" w:eastAsia="仿宋_GB2312"/>
          <w:sz w:val="32"/>
          <w:szCs w:val="32"/>
          <w:lang w:val="en-US" w:eastAsia="zh-CN"/>
        </w:rPr>
        <w:t>0分，无扣分项目，各项绩效目标按质按量按时完成。</w:t>
      </w:r>
    </w:p>
    <w:p w14:paraId="3C6096CB">
      <w:pPr>
        <w:numPr>
          <w:ilvl w:val="0"/>
          <w:numId w:val="2"/>
        </w:numPr>
        <w:spacing w:line="560" w:lineRule="exact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项目效益情况。</w:t>
      </w:r>
    </w:p>
    <w:p w14:paraId="500AE83D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通过发放优抚对象抚恤补助资金，使优抚对象等人员的基本生活得到有效保障</w:t>
      </w:r>
      <w:r>
        <w:rPr>
          <w:rFonts w:hint="eastAsia" w:ascii="仿宋_GB2312" w:eastAsia="仿宋_GB2312"/>
          <w:sz w:val="32"/>
          <w:szCs w:val="32"/>
          <w:lang w:eastAsia="zh-CN"/>
        </w:rPr>
        <w:t>，更加体现国家对退役军人的关爱，提升了退役军人幸福感荣誉感获得感。</w:t>
      </w:r>
    </w:p>
    <w:p w14:paraId="3B7A58EE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</w:p>
    <w:p w14:paraId="538BE9A9">
      <w:pPr>
        <w:numPr>
          <w:ilvl w:val="0"/>
          <w:numId w:val="3"/>
        </w:num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主要经验及做法、存在的问题及原因分析</w:t>
      </w:r>
    </w:p>
    <w:p w14:paraId="3895CAE2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宋体" w:hAnsi="宋体" w:eastAsia="宋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由于</w:t>
      </w:r>
      <w:r>
        <w:rPr>
          <w:rFonts w:ascii="仿宋" w:hAnsi="仿宋" w:eastAsia="仿宋" w:cs="仿宋_GB2312"/>
          <w:sz w:val="32"/>
          <w:szCs w:val="32"/>
          <w:lang w:val="en-US" w:eastAsia="zh-CN"/>
        </w:rPr>
        <w:t>优抚对象抚恤补助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逐年提标，加上县级财政大部分靠上级转移支付，本级财政保障配套资金压力较大。</w:t>
      </w:r>
    </w:p>
    <w:p w14:paraId="209CEFC1"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</w:p>
    <w:p w14:paraId="65CB648C">
      <w:pPr>
        <w:numPr>
          <w:ilvl w:val="0"/>
          <w:numId w:val="3"/>
        </w:numPr>
        <w:spacing w:line="560" w:lineRule="exact"/>
        <w:ind w:left="1" w:leftChars="0"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有关建议</w:t>
      </w:r>
    </w:p>
    <w:p w14:paraId="2DDE2784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请中央、省加大对少数民族县补助</w:t>
      </w:r>
      <w:r>
        <w:rPr>
          <w:rFonts w:ascii="仿宋" w:hAnsi="仿宋" w:eastAsia="仿宋" w:cs="仿宋_GB2312"/>
          <w:sz w:val="32"/>
          <w:szCs w:val="32"/>
          <w:lang w:val="en-US" w:eastAsia="zh-CN"/>
        </w:rPr>
        <w:t>资金的扶持力度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，同时县级财政从各方面加大配套资金保障措施。</w:t>
      </w:r>
    </w:p>
    <w:p w14:paraId="1F7948E5"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七、其他需要说明的问题</w:t>
      </w:r>
    </w:p>
    <w:p w14:paraId="306B0E36">
      <w:pPr>
        <w:pStyle w:val="3"/>
        <w:widowControl w:val="0"/>
        <w:spacing w:before="0" w:beforeAutospacing="0" w:after="0" w:afterAutospacing="0" w:line="52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 w14:paraId="21B88E30">
      <w:pPr>
        <w:ind w:left="8960" w:hanging="8960" w:hangingChars="28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                                     </w:t>
      </w:r>
    </w:p>
    <w:p w14:paraId="07124308">
      <w:pPr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54979576">
      <w:pPr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4D7B772"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新晃侗族自治县退役军人事务局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</w:p>
    <w:p w14:paraId="2B888583">
      <w:pPr>
        <w:ind w:left="0" w:leftChars="0"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2EF7E73B">
      <w:pPr>
        <w:ind w:left="0" w:leftChars="0"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871DAE1">
      <w:pPr>
        <w:ind w:left="0" w:leftChars="0"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361C5A4">
      <w:pPr>
        <w:ind w:left="0" w:leftChars="0"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AE92028">
      <w:pPr>
        <w:ind w:left="0" w:leftChars="0"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40E5DE3">
      <w:pPr>
        <w:ind w:left="0" w:leftChars="0"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087DBF5">
      <w:pPr>
        <w:ind w:left="0" w:leftChars="0"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56249B3">
      <w:pPr>
        <w:ind w:left="0" w:leftChars="0"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64C1805">
      <w:pPr>
        <w:ind w:left="0" w:leftChars="0"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7C850B">
      <w:pPr>
        <w:ind w:left="0" w:leftChars="0"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FAA78EF">
      <w:pPr>
        <w:ind w:left="0" w:leftChars="0"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0587400">
      <w:pPr>
        <w:ind w:left="0" w:leftChars="0"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255357C">
      <w:pPr>
        <w:ind w:left="0" w:leftChars="0"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02BE05C">
      <w:pPr>
        <w:pStyle w:val="3"/>
        <w:widowControl w:val="0"/>
        <w:spacing w:before="0" w:beforeAutospacing="0" w:after="0" w:afterAutospacing="0" w:line="600" w:lineRule="exact"/>
        <w:jc w:val="center"/>
        <w:rPr>
          <w:rStyle w:val="6"/>
          <w:rFonts w:cs="Times New Roman"/>
          <w:bCs w:val="0"/>
          <w:spacing w:val="-23"/>
          <w:sz w:val="36"/>
          <w:szCs w:val="36"/>
        </w:rPr>
      </w:pPr>
      <w:r>
        <w:rPr>
          <w:rStyle w:val="6"/>
          <w:rFonts w:hint="eastAsia" w:cs="Times New Roman"/>
          <w:bCs w:val="0"/>
          <w:spacing w:val="-23"/>
          <w:sz w:val="36"/>
          <w:szCs w:val="36"/>
        </w:rPr>
        <w:t>2024</w:t>
      </w:r>
      <w:r>
        <w:rPr>
          <w:rStyle w:val="6"/>
          <w:rFonts w:cs="Times New Roman"/>
          <w:bCs w:val="0"/>
          <w:spacing w:val="-23"/>
          <w:sz w:val="36"/>
          <w:szCs w:val="36"/>
        </w:rPr>
        <w:t>年度</w:t>
      </w:r>
      <w:r>
        <w:rPr>
          <w:rStyle w:val="6"/>
          <w:rFonts w:hint="eastAsia" w:cs="Times New Roman"/>
          <w:bCs w:val="0"/>
          <w:spacing w:val="-23"/>
          <w:sz w:val="36"/>
          <w:szCs w:val="36"/>
        </w:rPr>
        <w:t>新晃县</w:t>
      </w:r>
      <w:r>
        <w:rPr>
          <w:rStyle w:val="6"/>
          <w:rFonts w:hint="eastAsia" w:cs="Times New Roman"/>
          <w:bCs w:val="0"/>
          <w:spacing w:val="-23"/>
          <w:sz w:val="36"/>
          <w:szCs w:val="36"/>
          <w:u w:val="single"/>
        </w:rPr>
        <w:t xml:space="preserve">        </w:t>
      </w:r>
      <w:r>
        <w:rPr>
          <w:rStyle w:val="6"/>
          <w:rFonts w:cs="Times New Roman"/>
          <w:bCs w:val="0"/>
          <w:spacing w:val="-23"/>
          <w:sz w:val="36"/>
          <w:szCs w:val="36"/>
        </w:rPr>
        <w:t>部门（单位）整体支出绩效自评报告</w:t>
      </w:r>
    </w:p>
    <w:p w14:paraId="5537D618">
      <w:pPr>
        <w:pStyle w:val="3"/>
        <w:widowControl w:val="0"/>
        <w:spacing w:before="0" w:beforeAutospacing="0" w:after="0" w:afterAutospacing="0" w:line="800" w:lineRule="exact"/>
        <w:jc w:val="center"/>
        <w:rPr>
          <w:rStyle w:val="6"/>
          <w:rFonts w:hint="eastAsia" w:ascii="仿宋_GB2312" w:hAnsi="仿宋_GB2312" w:eastAsia="仿宋_GB2312" w:cs="仿宋_GB2312"/>
          <w:b w:val="0"/>
          <w:bCs w:val="0"/>
          <w:spacing w:val="-23"/>
          <w:sz w:val="36"/>
          <w:szCs w:val="36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spacing w:val="-23"/>
          <w:sz w:val="32"/>
          <w:szCs w:val="32"/>
        </w:rPr>
        <w:t>（参考格式）</w:t>
      </w:r>
    </w:p>
    <w:p w14:paraId="35139A8B">
      <w:pPr>
        <w:spacing w:before="240" w:line="560" w:lineRule="exact"/>
        <w:ind w:firstLine="643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  <w:b/>
          <w:bCs/>
          <w:sz w:val="32"/>
          <w:szCs w:val="32"/>
        </w:rPr>
        <w:t>一、部门（单位）基本概况</w:t>
      </w:r>
    </w:p>
    <w:p w14:paraId="3F6C0AE7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部门（单位）职能及组成，人员结构情况，2024年度财政收支和年末固定资产状况，财政财务管理制度及执行情况。</w:t>
      </w:r>
    </w:p>
    <w:p w14:paraId="00FD4B75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二、部门（单位）整体支出绩效状况</w:t>
      </w:r>
    </w:p>
    <w:p w14:paraId="0B4595CC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部门年度整体工作目标任务完成情况，包括：财政资金支出产生的实际效益、社会公众与服务对象满意情况等。</w:t>
      </w:r>
    </w:p>
    <w:p w14:paraId="5C35E4EA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三、存在的问题及原因</w:t>
      </w:r>
    </w:p>
    <w:p w14:paraId="2DCD0590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分析当前影响本部门（单位）财政资金使用绩效的问题及原因。</w:t>
      </w:r>
    </w:p>
    <w:p w14:paraId="7F15AB0C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四、提高财政资金绩效的措施与建议</w:t>
      </w:r>
    </w:p>
    <w:p w14:paraId="1235DBEC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针对存在的问题及有关情况，提出下一步提高本部门（单位）财政资金使用绩效的措施与建议。</w:t>
      </w:r>
    </w:p>
    <w:p w14:paraId="627E4DAB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五、附件（佐证依据）</w:t>
      </w:r>
    </w:p>
    <w:p w14:paraId="587F1DAB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提供自评报告的有关文件、资料等，以进一步解释和证明报告所反映的相关内容。</w:t>
      </w:r>
    </w:p>
    <w:p w14:paraId="032FC69B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</w:t>
      </w:r>
    </w:p>
    <w:p w14:paraId="64FD0B68">
      <w:pPr>
        <w:spacing w:line="560" w:lineRule="exact"/>
        <w:ind w:firstLine="4960" w:firstLineChars="155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部门（单位）（签章）</w:t>
      </w:r>
    </w:p>
    <w:p w14:paraId="1648125A">
      <w:pPr>
        <w:ind w:left="0" w:leftChars="0" w:firstLine="5120" w:firstLineChars="16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年  月  日</w:t>
      </w:r>
    </w:p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1446A9"/>
    <w:multiLevelType w:val="singleLevel"/>
    <w:tmpl w:val="BA1446A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3A6B88D"/>
    <w:multiLevelType w:val="singleLevel"/>
    <w:tmpl w:val="73A6B88D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AD3E21A"/>
    <w:multiLevelType w:val="singleLevel"/>
    <w:tmpl w:val="7AD3E21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NzhjYzU4ZTBkNTlmMjNhNmU0NThlYTk3YjE3MGMifQ=="/>
  </w:docVars>
  <w:rsids>
    <w:rsidRoot w:val="00000000"/>
    <w:rsid w:val="00E93B14"/>
    <w:rsid w:val="037178C1"/>
    <w:rsid w:val="12162D59"/>
    <w:rsid w:val="2B55058D"/>
    <w:rsid w:val="37732970"/>
    <w:rsid w:val="56A360DC"/>
    <w:rsid w:val="651E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autoRedefine/>
    <w:qFormat/>
    <w:uiPriority w:val="0"/>
    <w:rPr>
      <w:b/>
      <w:bCs/>
    </w:rPr>
  </w:style>
  <w:style w:type="character" w:styleId="7">
    <w:name w:val="page number"/>
    <w:basedOn w:val="5"/>
    <w:autoRedefine/>
    <w:qFormat/>
    <w:uiPriority w:val="0"/>
  </w:style>
  <w:style w:type="paragraph" w:customStyle="1" w:styleId="8">
    <w:name w:val="正文1"/>
    <w:autoRedefine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1405</Words>
  <Characters>1541</Characters>
  <Lines>0</Lines>
  <Paragraphs>0</Paragraphs>
  <TotalTime>6</TotalTime>
  <ScaleCrop>false</ScaleCrop>
  <LinksUpToDate>false</LinksUpToDate>
  <CharactersWithSpaces>1558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2024-04-10T00:32:00Z</dcterms:created>
  <dc:creator>Administrator</dc:creator>
  <cp:lastModifiedBy>呆头呆脑の小豬</cp:lastModifiedBy>
  <dcterms:modified xsi:type="dcterms:W3CDTF">2025-03-26T01:55:00Z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1AB7709B3C1444349ECCE6DD8CBB80BE_12</vt:lpwstr>
  </property>
  <property fmtid="{D5CDD505-2E9C-101B-9397-08002B2CF9AE}" pid="4" name="KSOTemplateDocerSaveRecord">
    <vt:lpwstr>eyJoZGlkIjoiZjgxNzhjYzU4ZTBkNTlmMjNhNmU0NThlYTk3YjE3MGMiLCJ1c2VySWQiOiI0MzkxODQ2NTgifQ==</vt:lpwstr>
  </property>
</Properties>
</file>