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7572EB">
      <w:pPr>
        <w:spacing w:before="240" w:line="340" w:lineRule="exact"/>
        <w:jc w:val="left"/>
        <w:rPr>
          <w:b/>
          <w:sz w:val="24"/>
        </w:rPr>
      </w:pPr>
      <w:r>
        <w:rPr>
          <w:rFonts w:hint="eastAsia" w:ascii="仿宋_GB2312" w:hAnsi="仿宋_GB2312" w:eastAsia="仿宋_GB2312" w:cs="仿宋_GB2312"/>
          <w:b/>
          <w:sz w:val="24"/>
        </w:rPr>
        <w:t>附件2-3 </w:t>
      </w:r>
    </w:p>
    <w:p w14:paraId="7E6EFBD9">
      <w:pPr>
        <w:spacing w:line="600" w:lineRule="exact"/>
        <w:jc w:val="center"/>
        <w:rPr>
          <w:rFonts w:hint="eastAsia" w:ascii="宋体" w:hAnsi="宋体"/>
          <w:b/>
          <w:w w:val="85"/>
          <w:sz w:val="36"/>
          <w:szCs w:val="36"/>
        </w:rPr>
      </w:pPr>
      <w:r>
        <w:rPr>
          <w:rFonts w:eastAsia="方正粗宋简体"/>
          <w:w w:val="85"/>
          <w:sz w:val="44"/>
          <w:szCs w:val="44"/>
        </w:rPr>
        <w:t> </w:t>
      </w:r>
      <w:r>
        <w:rPr>
          <w:rFonts w:hint="eastAsia" w:ascii="宋体" w:hAnsi="宋体" w:eastAsia="方正粗宋简体"/>
          <w:b/>
          <w:w w:val="85"/>
          <w:sz w:val="36"/>
          <w:szCs w:val="36"/>
          <w:lang w:eastAsia="zh-CN"/>
        </w:rPr>
        <w:t>202</w:t>
      </w:r>
      <w:r>
        <w:rPr>
          <w:rFonts w:hint="eastAsia" w:ascii="宋体" w:hAnsi="宋体" w:eastAsia="方正粗宋简体"/>
          <w:b/>
          <w:w w:val="85"/>
          <w:sz w:val="36"/>
          <w:szCs w:val="36"/>
          <w:lang w:val="en-US" w:eastAsia="zh-CN"/>
        </w:rPr>
        <w:t>4</w:t>
      </w:r>
      <w:r>
        <w:rPr>
          <w:rFonts w:ascii="宋体" w:hAnsi="宋体"/>
          <w:b/>
          <w:w w:val="85"/>
          <w:sz w:val="36"/>
          <w:szCs w:val="36"/>
        </w:rPr>
        <w:t>年度新晃县</w:t>
      </w:r>
      <w:r>
        <w:rPr>
          <w:rFonts w:hint="eastAsia" w:ascii="宋体" w:hAnsi="宋体"/>
          <w:b/>
          <w:w w:val="85"/>
          <w:sz w:val="36"/>
          <w:szCs w:val="36"/>
        </w:rPr>
        <w:t>项目</w:t>
      </w:r>
      <w:r>
        <w:rPr>
          <w:rFonts w:ascii="宋体" w:hAnsi="宋体"/>
          <w:b/>
          <w:w w:val="85"/>
          <w:sz w:val="36"/>
          <w:szCs w:val="36"/>
        </w:rPr>
        <w:t>支出</w:t>
      </w:r>
      <w:r>
        <w:rPr>
          <w:rFonts w:hint="eastAsia" w:ascii="宋体" w:hAnsi="宋体"/>
          <w:b/>
          <w:w w:val="85"/>
          <w:sz w:val="36"/>
          <w:szCs w:val="36"/>
        </w:rPr>
        <w:t>绩效</w:t>
      </w:r>
      <w:r>
        <w:rPr>
          <w:rFonts w:ascii="宋体" w:hAnsi="宋体"/>
          <w:b/>
          <w:w w:val="85"/>
          <w:sz w:val="36"/>
          <w:szCs w:val="36"/>
        </w:rPr>
        <w:t>自评报告</w:t>
      </w:r>
    </w:p>
    <w:p w14:paraId="0FAF7901">
      <w:pPr>
        <w:spacing w:line="600" w:lineRule="exact"/>
        <w:jc w:val="center"/>
        <w:rPr>
          <w:rFonts w:hint="eastAsia" w:ascii="仿宋_GB2312" w:eastAsia="仿宋_GB2312"/>
          <w:w w:val="85"/>
          <w:sz w:val="32"/>
          <w:szCs w:val="32"/>
        </w:rPr>
      </w:pPr>
    </w:p>
    <w:p w14:paraId="5977FDD4">
      <w:pPr>
        <w:spacing w:line="560" w:lineRule="exact"/>
        <w:ind w:firstLine="643" w:firstLineChars="200"/>
        <w:jc w:val="left"/>
        <w:rPr>
          <w:rFonts w:hint="eastAsia" w:ascii="仿宋_GB2312" w:hAnsi="仿宋_GB2312" w:eastAsia="仿宋_GB2312" w:cs="仿宋_GB2312"/>
          <w:bCs/>
          <w:sz w:val="32"/>
          <w:szCs w:val="32"/>
        </w:rPr>
      </w:pPr>
      <w:r>
        <w:rPr>
          <w:rFonts w:hint="eastAsia" w:ascii="宋体" w:hAnsi="宋体" w:eastAsia="宋体" w:cs="宋体"/>
          <w:b/>
          <w:bCs w:val="0"/>
          <w:sz w:val="32"/>
          <w:szCs w:val="32"/>
        </w:rPr>
        <w:t>一、基本情况</w:t>
      </w:r>
    </w:p>
    <w:p w14:paraId="3F406BC0">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（一）项目概况。包括项目背景、主要内容及实施情况、资金投入和使用情况等。</w:t>
      </w:r>
    </w:p>
    <w:p w14:paraId="6E8B8905">
      <w:p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根据习近平总书记关于退役军人工作的重要讲话及指示批示精神</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《中华人民共和国退役军人保障法》</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湖南省退役军人事务厅发关于做好义务兵家庭优待金发放工作的通知、县委退役军人事务工作领导小组会议纪要，设置本项目。</w:t>
      </w:r>
    </w:p>
    <w:p w14:paraId="30E4B910">
      <w:pPr>
        <w:spacing w:line="560" w:lineRule="exact"/>
        <w:ind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2024年义务兵家庭优待金（上级资金）年初预算126.2万元，全年预算数126.2万元，全年执行数45.3万元，主要用于经兵役机关批准服现役的义务兵家庭优待金。</w:t>
      </w:r>
    </w:p>
    <w:p w14:paraId="6FBE4C4F">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（二）项目绩效目标。包括总体目标和阶段性目标。</w:t>
      </w:r>
    </w:p>
    <w:p w14:paraId="053D5A30">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总体目标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通过发放义务兵家庭优待金，体现了国家和社会对义务兵及其家庭的优待，鼓励适龄公民应征入伍和履行兵役义务。</w:t>
      </w:r>
    </w:p>
    <w:p w14:paraId="2022C5CF">
      <w:p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阶段性目标</w:t>
      </w:r>
      <w:r>
        <w:rPr>
          <w:rFonts w:hint="eastAsia" w:ascii="仿宋_GB2312" w:hAnsi="仿宋_GB2312" w:eastAsia="仿宋_GB2312" w:cs="仿宋_GB2312"/>
          <w:sz w:val="32"/>
          <w:szCs w:val="32"/>
          <w:lang w:eastAsia="zh-CN"/>
        </w:rPr>
        <w:t>：向义务兵家庭发放优待金，切实维护义务兵家庭权益，激励适龄青年参军保卫祖国。</w:t>
      </w:r>
    </w:p>
    <w:p w14:paraId="413BAE92">
      <w:pPr>
        <w:spacing w:line="560" w:lineRule="exact"/>
        <w:ind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二、绩效评价工作开展情况</w:t>
      </w:r>
    </w:p>
    <w:p w14:paraId="22E4276D">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（一）绩效评价目的、对象和范围。</w:t>
      </w:r>
    </w:p>
    <w:p w14:paraId="0DB719D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640" w:firstLineChars="20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（1）严格执行《预算法》，强化支出责任，提高项目资金使用效益，对项目支出情况开展绩效评价，践行“花钱必问效、无效必问责”。</w:t>
      </w:r>
    </w:p>
    <w:p w14:paraId="50CB26F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2）通过对项目资金的绩效评价，进一步了解和掌握项目实施的具体情况，评价其项目资金安排的科学性、合理性、规范性和资金使用成效，及时总结项目管理经验，完善项目管理办法，提高项目管理水平和资金的使用效益。</w:t>
      </w:r>
    </w:p>
    <w:p w14:paraId="6B99030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64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（3）促使项目承担科室及项目分管领导，对绩效评价中发现的问题，认真整改，及时调整和完善单位的工作计划和绩效目标，提高管理水平，同时为项目后续资金投入、分配和管理提供决策依据。</w:t>
      </w:r>
    </w:p>
    <w:p w14:paraId="1B90D8F9">
      <w:pPr>
        <w:spacing w:line="560" w:lineRule="exact"/>
        <w:ind w:firstLine="640" w:firstLineChars="200"/>
        <w:jc w:val="left"/>
        <w:rPr>
          <w:rFonts w:hint="default" w:ascii="仿宋_GB2312" w:hAnsi="仿宋_GB2312" w:eastAsia="仿宋_GB2312" w:cs="仿宋_GB2312"/>
          <w:sz w:val="32"/>
          <w:szCs w:val="32"/>
          <w:lang w:val="en-US" w:eastAsia="zh-CN"/>
        </w:rPr>
      </w:pPr>
      <w:r>
        <w:rPr>
          <w:rFonts w:hint="eastAsia" w:ascii="Times New Roman" w:hAnsi="Times New Roman" w:eastAsia="仿宋_GB2312" w:cs="Times New Roman"/>
          <w:sz w:val="32"/>
          <w:szCs w:val="32"/>
          <w:lang w:val="en-US" w:eastAsia="zh-CN" w:bidi="ar-SA"/>
        </w:rPr>
        <w:t>（4）</w:t>
      </w:r>
      <w:r>
        <w:rPr>
          <w:rFonts w:hint="eastAsia" w:ascii="仿宋_GB2312" w:hAnsi="仿宋_GB2312" w:eastAsia="仿宋_GB2312" w:cs="仿宋_GB2312"/>
          <w:sz w:val="32"/>
          <w:szCs w:val="32"/>
          <w:lang w:val="en-US" w:eastAsia="zh-CN"/>
        </w:rPr>
        <w:t>2024年义务兵家庭优待金（上级资金）</w:t>
      </w:r>
      <w:r>
        <w:rPr>
          <w:rFonts w:hint="eastAsia" w:ascii="Times New Roman" w:hAnsi="Times New Roman" w:eastAsia="仿宋_GB2312" w:cs="Times New Roman"/>
          <w:sz w:val="32"/>
          <w:szCs w:val="32"/>
          <w:lang w:val="en-US" w:eastAsia="zh-CN" w:bidi="ar-SA"/>
        </w:rPr>
        <w:t>项目1个，涉及资金126.2万元，</w:t>
      </w:r>
      <w:r>
        <w:rPr>
          <w:rFonts w:hint="eastAsia" w:ascii="仿宋_GB2312" w:hAnsi="仿宋_GB2312" w:eastAsia="仿宋_GB2312" w:cs="仿宋_GB2312"/>
          <w:sz w:val="32"/>
          <w:szCs w:val="32"/>
          <w:lang w:val="en-US" w:eastAsia="zh-CN"/>
        </w:rPr>
        <w:t>主要用于经兵役机关批准服现役的义务兵家庭优待金。</w:t>
      </w:r>
    </w:p>
    <w:p w14:paraId="5B7B6687">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（二）绩效评价原则、评价指标体系（附表说明）、评价方法、评价标准等。</w:t>
      </w:r>
    </w:p>
    <w:p w14:paraId="4B9EC95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right="0" w:firstLine="640" w:firstLineChars="20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（1）科学公正。绩效评价应当运用科学合理的方法，按照规范的程序，对项目绩效进行客观、公正地反映。</w:t>
      </w:r>
    </w:p>
    <w:p w14:paraId="56ACAAA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（2）统筹兼顾。单位自评、部门评价和财政评价应职责明确，各有侧重，相互衔接。单位自评应由项目单位自主实施，即“谁支出、谁自评”。部门评价和财政评价应在单位自评的基础上开展。</w:t>
      </w:r>
    </w:p>
    <w:p w14:paraId="579D816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（3）激励约束。绩效评价结果应与预算安排、政策调整、改进管理实质性挂钩，体现奖优罚劣和激励相容导向，有效要安排、低效要压减、无效要问责。</w:t>
      </w:r>
    </w:p>
    <w:p w14:paraId="309603C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64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（4）公开透明。绩效评价结果应依法依规公开，并自觉接受社会监督。</w:t>
      </w:r>
    </w:p>
    <w:tbl>
      <w:tblPr>
        <w:tblStyle w:val="4"/>
        <w:tblW w:w="895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66"/>
        <w:gridCol w:w="2381"/>
        <w:gridCol w:w="3650"/>
        <w:gridCol w:w="1561"/>
      </w:tblGrid>
      <w:tr w14:paraId="72E25F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366" w:type="dxa"/>
            <w:vMerge w:val="restart"/>
            <w:tcBorders>
              <w:top w:val="nil"/>
              <w:left w:val="single" w:color="000000" w:sz="8" w:space="0"/>
              <w:bottom w:val="single" w:color="000000" w:sz="8" w:space="0"/>
              <w:right w:val="single" w:color="000000" w:sz="8" w:space="0"/>
            </w:tcBorders>
            <w:shd w:val="clear" w:color="auto" w:fill="auto"/>
            <w:vAlign w:val="center"/>
          </w:tcPr>
          <w:p w14:paraId="59F931AA">
            <w:pPr>
              <w:keepNext w:val="0"/>
              <w:keepLines w:val="0"/>
              <w:widowControl/>
              <w:suppressLineNumbers w:val="0"/>
              <w:jc w:val="center"/>
              <w:textAlignment w:val="center"/>
              <w:rPr>
                <w:rFonts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一级指标</w:t>
            </w:r>
          </w:p>
        </w:tc>
        <w:tc>
          <w:tcPr>
            <w:tcW w:w="2381" w:type="dxa"/>
            <w:vMerge w:val="restart"/>
            <w:tcBorders>
              <w:top w:val="nil"/>
              <w:left w:val="single" w:color="000000" w:sz="8" w:space="0"/>
              <w:bottom w:val="single" w:color="000000" w:sz="8" w:space="0"/>
              <w:right w:val="single" w:color="000000" w:sz="8" w:space="0"/>
            </w:tcBorders>
            <w:shd w:val="clear" w:color="auto" w:fill="auto"/>
            <w:vAlign w:val="center"/>
          </w:tcPr>
          <w:p w14:paraId="5145ABE4">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二级指标</w:t>
            </w:r>
          </w:p>
        </w:tc>
        <w:tc>
          <w:tcPr>
            <w:tcW w:w="3650" w:type="dxa"/>
            <w:vMerge w:val="restart"/>
            <w:tcBorders>
              <w:top w:val="nil"/>
              <w:left w:val="single" w:color="000000" w:sz="8" w:space="0"/>
              <w:bottom w:val="single" w:color="000000" w:sz="8" w:space="0"/>
              <w:right w:val="single" w:color="000000" w:sz="8" w:space="0"/>
            </w:tcBorders>
            <w:shd w:val="clear" w:color="auto" w:fill="auto"/>
            <w:vAlign w:val="center"/>
          </w:tcPr>
          <w:p w14:paraId="14049828">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三级指标</w:t>
            </w:r>
          </w:p>
        </w:tc>
        <w:tc>
          <w:tcPr>
            <w:tcW w:w="1561" w:type="dxa"/>
            <w:vMerge w:val="restart"/>
            <w:tcBorders>
              <w:top w:val="nil"/>
              <w:left w:val="nil"/>
              <w:bottom w:val="single" w:color="000000" w:sz="8" w:space="0"/>
              <w:right w:val="nil"/>
            </w:tcBorders>
            <w:shd w:val="clear" w:color="auto" w:fill="auto"/>
            <w:vAlign w:val="center"/>
          </w:tcPr>
          <w:p w14:paraId="20C7AD0E">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年度指标值</w:t>
            </w:r>
          </w:p>
        </w:tc>
      </w:tr>
      <w:tr w14:paraId="30DDCC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366" w:type="dxa"/>
            <w:vMerge w:val="continue"/>
            <w:tcBorders>
              <w:top w:val="nil"/>
              <w:left w:val="single" w:color="000000" w:sz="8" w:space="0"/>
              <w:bottom w:val="single" w:color="000000" w:sz="8" w:space="0"/>
              <w:right w:val="single" w:color="000000" w:sz="8" w:space="0"/>
            </w:tcBorders>
            <w:shd w:val="clear" w:color="auto" w:fill="auto"/>
            <w:vAlign w:val="center"/>
          </w:tcPr>
          <w:p w14:paraId="78299F6A">
            <w:pPr>
              <w:jc w:val="center"/>
              <w:rPr>
                <w:rFonts w:hint="eastAsia" w:ascii="微软雅黑" w:hAnsi="微软雅黑" w:eastAsia="微软雅黑" w:cs="微软雅黑"/>
                <w:b/>
                <w:bCs/>
                <w:i w:val="0"/>
                <w:iCs w:val="0"/>
                <w:color w:val="000000"/>
                <w:sz w:val="22"/>
                <w:szCs w:val="22"/>
                <w:u w:val="none"/>
              </w:rPr>
            </w:pPr>
          </w:p>
        </w:tc>
        <w:tc>
          <w:tcPr>
            <w:tcW w:w="2381" w:type="dxa"/>
            <w:vMerge w:val="continue"/>
            <w:tcBorders>
              <w:top w:val="nil"/>
              <w:left w:val="single" w:color="000000" w:sz="8" w:space="0"/>
              <w:bottom w:val="single" w:color="000000" w:sz="8" w:space="0"/>
              <w:right w:val="single" w:color="000000" w:sz="8" w:space="0"/>
            </w:tcBorders>
            <w:shd w:val="clear" w:color="auto" w:fill="auto"/>
            <w:vAlign w:val="center"/>
          </w:tcPr>
          <w:p w14:paraId="27A53E14">
            <w:pPr>
              <w:jc w:val="center"/>
              <w:rPr>
                <w:rFonts w:hint="eastAsia" w:ascii="微软雅黑" w:hAnsi="微软雅黑" w:eastAsia="微软雅黑" w:cs="微软雅黑"/>
                <w:b/>
                <w:bCs/>
                <w:i w:val="0"/>
                <w:iCs w:val="0"/>
                <w:color w:val="000000"/>
                <w:sz w:val="22"/>
                <w:szCs w:val="22"/>
                <w:u w:val="none"/>
              </w:rPr>
            </w:pPr>
          </w:p>
        </w:tc>
        <w:tc>
          <w:tcPr>
            <w:tcW w:w="3650" w:type="dxa"/>
            <w:vMerge w:val="continue"/>
            <w:tcBorders>
              <w:top w:val="nil"/>
              <w:left w:val="single" w:color="000000" w:sz="8" w:space="0"/>
              <w:bottom w:val="single" w:color="000000" w:sz="8" w:space="0"/>
              <w:right w:val="single" w:color="000000" w:sz="8" w:space="0"/>
            </w:tcBorders>
            <w:shd w:val="clear" w:color="auto" w:fill="auto"/>
            <w:vAlign w:val="center"/>
          </w:tcPr>
          <w:p w14:paraId="000C801D">
            <w:pPr>
              <w:jc w:val="center"/>
              <w:rPr>
                <w:rFonts w:hint="eastAsia" w:ascii="微软雅黑" w:hAnsi="微软雅黑" w:eastAsia="微软雅黑" w:cs="微软雅黑"/>
                <w:b/>
                <w:bCs/>
                <w:i w:val="0"/>
                <w:iCs w:val="0"/>
                <w:color w:val="000000"/>
                <w:sz w:val="22"/>
                <w:szCs w:val="22"/>
                <w:u w:val="none"/>
              </w:rPr>
            </w:pPr>
          </w:p>
        </w:tc>
        <w:tc>
          <w:tcPr>
            <w:tcW w:w="1561" w:type="dxa"/>
            <w:vMerge w:val="continue"/>
            <w:tcBorders>
              <w:top w:val="nil"/>
              <w:left w:val="nil"/>
              <w:bottom w:val="single" w:color="000000" w:sz="8" w:space="0"/>
              <w:right w:val="nil"/>
            </w:tcBorders>
            <w:shd w:val="clear" w:color="auto" w:fill="auto"/>
            <w:vAlign w:val="center"/>
          </w:tcPr>
          <w:p w14:paraId="062E04B7">
            <w:pPr>
              <w:jc w:val="center"/>
              <w:rPr>
                <w:rFonts w:hint="eastAsia" w:ascii="微软雅黑" w:hAnsi="微软雅黑" w:eastAsia="微软雅黑" w:cs="微软雅黑"/>
                <w:b/>
                <w:bCs/>
                <w:i w:val="0"/>
                <w:iCs w:val="0"/>
                <w:color w:val="000000"/>
                <w:sz w:val="22"/>
                <w:szCs w:val="22"/>
                <w:u w:val="none"/>
              </w:rPr>
            </w:pPr>
          </w:p>
        </w:tc>
      </w:tr>
      <w:tr w14:paraId="47B74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6" w:hRule="atLeast"/>
        </w:trPr>
        <w:tc>
          <w:tcPr>
            <w:tcW w:w="1366" w:type="dxa"/>
            <w:vMerge w:val="continue"/>
            <w:tcBorders>
              <w:top w:val="nil"/>
              <w:left w:val="single" w:color="000000" w:sz="8" w:space="0"/>
              <w:bottom w:val="single" w:color="000000" w:sz="8" w:space="0"/>
              <w:right w:val="single" w:color="000000" w:sz="8" w:space="0"/>
            </w:tcBorders>
            <w:shd w:val="clear" w:color="auto" w:fill="auto"/>
            <w:vAlign w:val="center"/>
          </w:tcPr>
          <w:p w14:paraId="50920B28">
            <w:pPr>
              <w:jc w:val="center"/>
              <w:rPr>
                <w:rFonts w:hint="eastAsia" w:ascii="微软雅黑" w:hAnsi="微软雅黑" w:eastAsia="微软雅黑" w:cs="微软雅黑"/>
                <w:b/>
                <w:bCs/>
                <w:i w:val="0"/>
                <w:iCs w:val="0"/>
                <w:color w:val="000000"/>
                <w:sz w:val="22"/>
                <w:szCs w:val="22"/>
                <w:u w:val="none"/>
              </w:rPr>
            </w:pPr>
          </w:p>
        </w:tc>
        <w:tc>
          <w:tcPr>
            <w:tcW w:w="2381" w:type="dxa"/>
            <w:vMerge w:val="continue"/>
            <w:tcBorders>
              <w:top w:val="nil"/>
              <w:left w:val="single" w:color="000000" w:sz="8" w:space="0"/>
              <w:bottom w:val="single" w:color="000000" w:sz="8" w:space="0"/>
              <w:right w:val="single" w:color="000000" w:sz="8" w:space="0"/>
            </w:tcBorders>
            <w:shd w:val="clear" w:color="auto" w:fill="auto"/>
            <w:vAlign w:val="center"/>
          </w:tcPr>
          <w:p w14:paraId="2D71276B">
            <w:pPr>
              <w:jc w:val="center"/>
              <w:rPr>
                <w:rFonts w:hint="eastAsia" w:ascii="微软雅黑" w:hAnsi="微软雅黑" w:eastAsia="微软雅黑" w:cs="微软雅黑"/>
                <w:b/>
                <w:bCs/>
                <w:i w:val="0"/>
                <w:iCs w:val="0"/>
                <w:color w:val="000000"/>
                <w:sz w:val="22"/>
                <w:szCs w:val="22"/>
                <w:u w:val="none"/>
              </w:rPr>
            </w:pPr>
          </w:p>
        </w:tc>
        <w:tc>
          <w:tcPr>
            <w:tcW w:w="3650" w:type="dxa"/>
            <w:vMerge w:val="continue"/>
            <w:tcBorders>
              <w:top w:val="nil"/>
              <w:left w:val="single" w:color="000000" w:sz="8" w:space="0"/>
              <w:bottom w:val="single" w:color="000000" w:sz="8" w:space="0"/>
              <w:right w:val="single" w:color="000000" w:sz="8" w:space="0"/>
            </w:tcBorders>
            <w:shd w:val="clear" w:color="auto" w:fill="auto"/>
            <w:vAlign w:val="center"/>
          </w:tcPr>
          <w:p w14:paraId="399D5A93">
            <w:pPr>
              <w:jc w:val="center"/>
              <w:rPr>
                <w:rFonts w:hint="eastAsia" w:ascii="微软雅黑" w:hAnsi="微软雅黑" w:eastAsia="微软雅黑" w:cs="微软雅黑"/>
                <w:b/>
                <w:bCs/>
                <w:i w:val="0"/>
                <w:iCs w:val="0"/>
                <w:color w:val="000000"/>
                <w:sz w:val="22"/>
                <w:szCs w:val="22"/>
                <w:u w:val="none"/>
              </w:rPr>
            </w:pPr>
          </w:p>
        </w:tc>
        <w:tc>
          <w:tcPr>
            <w:tcW w:w="1561" w:type="dxa"/>
            <w:vMerge w:val="continue"/>
            <w:tcBorders>
              <w:top w:val="nil"/>
              <w:left w:val="nil"/>
              <w:bottom w:val="single" w:color="000000" w:sz="8" w:space="0"/>
              <w:right w:val="nil"/>
            </w:tcBorders>
            <w:shd w:val="clear" w:color="auto" w:fill="auto"/>
            <w:vAlign w:val="center"/>
          </w:tcPr>
          <w:p w14:paraId="047BBF5A">
            <w:pPr>
              <w:jc w:val="center"/>
              <w:rPr>
                <w:rFonts w:hint="eastAsia" w:ascii="微软雅黑" w:hAnsi="微软雅黑" w:eastAsia="微软雅黑" w:cs="微软雅黑"/>
                <w:b/>
                <w:bCs/>
                <w:i w:val="0"/>
                <w:iCs w:val="0"/>
                <w:color w:val="000000"/>
                <w:sz w:val="22"/>
                <w:szCs w:val="22"/>
                <w:u w:val="none"/>
              </w:rPr>
            </w:pPr>
          </w:p>
        </w:tc>
      </w:tr>
      <w:tr w14:paraId="6B6B8D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6" w:hRule="atLeast"/>
        </w:trPr>
        <w:tc>
          <w:tcPr>
            <w:tcW w:w="1366" w:type="dxa"/>
            <w:vMerge w:val="restart"/>
            <w:tcBorders>
              <w:top w:val="nil"/>
              <w:left w:val="single" w:color="000000" w:sz="8" w:space="0"/>
              <w:bottom w:val="single" w:color="000000" w:sz="8" w:space="0"/>
              <w:right w:val="single" w:color="000000" w:sz="8" w:space="0"/>
            </w:tcBorders>
            <w:shd w:val="clear" w:color="auto" w:fill="auto"/>
            <w:vAlign w:val="center"/>
          </w:tcPr>
          <w:p w14:paraId="7F36118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产出指标</w:t>
            </w:r>
          </w:p>
        </w:tc>
        <w:tc>
          <w:tcPr>
            <w:tcW w:w="2381" w:type="dxa"/>
            <w:tcBorders>
              <w:top w:val="nil"/>
              <w:left w:val="single" w:color="000000" w:sz="8" w:space="0"/>
              <w:bottom w:val="single" w:color="000000" w:sz="8" w:space="0"/>
              <w:right w:val="single" w:color="000000" w:sz="8" w:space="0"/>
            </w:tcBorders>
            <w:shd w:val="clear" w:color="auto" w:fill="auto"/>
            <w:vAlign w:val="center"/>
          </w:tcPr>
          <w:p w14:paraId="4E0E11C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数量指标</w:t>
            </w:r>
          </w:p>
        </w:tc>
        <w:tc>
          <w:tcPr>
            <w:tcW w:w="3650" w:type="dxa"/>
            <w:tcBorders>
              <w:top w:val="nil"/>
              <w:left w:val="single" w:color="000000" w:sz="8" w:space="0"/>
              <w:bottom w:val="single" w:color="000000" w:sz="8" w:space="0"/>
              <w:right w:val="single" w:color="000000" w:sz="8" w:space="0"/>
            </w:tcBorders>
            <w:shd w:val="clear" w:color="auto" w:fill="auto"/>
            <w:vAlign w:val="center"/>
          </w:tcPr>
          <w:p w14:paraId="5995BF3E">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义务兵家庭优待金发放人数</w:t>
            </w:r>
          </w:p>
        </w:tc>
        <w:tc>
          <w:tcPr>
            <w:tcW w:w="1561" w:type="dxa"/>
            <w:tcBorders>
              <w:top w:val="nil"/>
              <w:left w:val="nil"/>
              <w:bottom w:val="single" w:color="000000" w:sz="8" w:space="0"/>
              <w:right w:val="nil"/>
            </w:tcBorders>
            <w:shd w:val="clear" w:color="auto" w:fill="auto"/>
            <w:vAlign w:val="center"/>
          </w:tcPr>
          <w:p w14:paraId="081081D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70</w:t>
            </w:r>
          </w:p>
        </w:tc>
      </w:tr>
      <w:tr w14:paraId="23841F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8" w:hRule="atLeast"/>
        </w:trPr>
        <w:tc>
          <w:tcPr>
            <w:tcW w:w="1366" w:type="dxa"/>
            <w:vMerge w:val="continue"/>
            <w:tcBorders>
              <w:top w:val="nil"/>
              <w:left w:val="single" w:color="000000" w:sz="8" w:space="0"/>
              <w:bottom w:val="single" w:color="000000" w:sz="8" w:space="0"/>
              <w:right w:val="single" w:color="000000" w:sz="8" w:space="0"/>
            </w:tcBorders>
            <w:shd w:val="clear" w:color="auto" w:fill="auto"/>
            <w:vAlign w:val="center"/>
          </w:tcPr>
          <w:p w14:paraId="17A7EB7F">
            <w:pPr>
              <w:jc w:val="center"/>
              <w:rPr>
                <w:rFonts w:hint="eastAsia" w:ascii="微软雅黑" w:hAnsi="微软雅黑" w:eastAsia="微软雅黑" w:cs="微软雅黑"/>
                <w:i w:val="0"/>
                <w:iCs w:val="0"/>
                <w:color w:val="000000"/>
                <w:sz w:val="20"/>
                <w:szCs w:val="20"/>
                <w:u w:val="none"/>
              </w:rPr>
            </w:pPr>
          </w:p>
        </w:tc>
        <w:tc>
          <w:tcPr>
            <w:tcW w:w="2381" w:type="dxa"/>
            <w:tcBorders>
              <w:top w:val="nil"/>
              <w:left w:val="single" w:color="000000" w:sz="8" w:space="0"/>
              <w:bottom w:val="single" w:color="000000" w:sz="8" w:space="0"/>
              <w:right w:val="single" w:color="000000" w:sz="8" w:space="0"/>
            </w:tcBorders>
            <w:shd w:val="clear" w:color="auto" w:fill="auto"/>
            <w:vAlign w:val="center"/>
          </w:tcPr>
          <w:p w14:paraId="5E2F83F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质量指标</w:t>
            </w:r>
          </w:p>
        </w:tc>
        <w:tc>
          <w:tcPr>
            <w:tcW w:w="3650" w:type="dxa"/>
            <w:tcBorders>
              <w:top w:val="nil"/>
              <w:left w:val="single" w:color="000000" w:sz="8" w:space="0"/>
              <w:bottom w:val="single" w:color="000000" w:sz="8" w:space="0"/>
              <w:right w:val="single" w:color="000000" w:sz="8" w:space="0"/>
            </w:tcBorders>
            <w:shd w:val="clear" w:color="auto" w:fill="auto"/>
            <w:vAlign w:val="center"/>
          </w:tcPr>
          <w:p w14:paraId="5135B05C">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义务兵家庭优待金发放准确率</w:t>
            </w:r>
          </w:p>
        </w:tc>
        <w:tc>
          <w:tcPr>
            <w:tcW w:w="1561" w:type="dxa"/>
            <w:tcBorders>
              <w:top w:val="nil"/>
              <w:left w:val="nil"/>
              <w:bottom w:val="single" w:color="000000" w:sz="8" w:space="0"/>
              <w:right w:val="nil"/>
            </w:tcBorders>
            <w:shd w:val="clear" w:color="auto" w:fill="auto"/>
            <w:vAlign w:val="center"/>
          </w:tcPr>
          <w:p w14:paraId="30213DB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r>
      <w:tr w14:paraId="1AC095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8" w:hRule="atLeast"/>
        </w:trPr>
        <w:tc>
          <w:tcPr>
            <w:tcW w:w="1366" w:type="dxa"/>
            <w:vMerge w:val="continue"/>
            <w:tcBorders>
              <w:top w:val="nil"/>
              <w:left w:val="single" w:color="000000" w:sz="8" w:space="0"/>
              <w:bottom w:val="single" w:color="000000" w:sz="8" w:space="0"/>
              <w:right w:val="single" w:color="000000" w:sz="8" w:space="0"/>
            </w:tcBorders>
            <w:shd w:val="clear" w:color="auto" w:fill="auto"/>
            <w:vAlign w:val="center"/>
          </w:tcPr>
          <w:p w14:paraId="34DF0077">
            <w:pPr>
              <w:jc w:val="center"/>
              <w:rPr>
                <w:rFonts w:hint="eastAsia" w:ascii="微软雅黑" w:hAnsi="微软雅黑" w:eastAsia="微软雅黑" w:cs="微软雅黑"/>
                <w:i w:val="0"/>
                <w:iCs w:val="0"/>
                <w:color w:val="000000"/>
                <w:sz w:val="20"/>
                <w:szCs w:val="20"/>
                <w:u w:val="none"/>
              </w:rPr>
            </w:pPr>
          </w:p>
        </w:tc>
        <w:tc>
          <w:tcPr>
            <w:tcW w:w="2381" w:type="dxa"/>
            <w:tcBorders>
              <w:top w:val="nil"/>
              <w:left w:val="single" w:color="000000" w:sz="8" w:space="0"/>
              <w:bottom w:val="single" w:color="000000" w:sz="8" w:space="0"/>
              <w:right w:val="single" w:color="000000" w:sz="8" w:space="0"/>
            </w:tcBorders>
            <w:shd w:val="clear" w:color="auto" w:fill="auto"/>
            <w:vAlign w:val="center"/>
          </w:tcPr>
          <w:p w14:paraId="69EC857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时效指标</w:t>
            </w:r>
          </w:p>
        </w:tc>
        <w:tc>
          <w:tcPr>
            <w:tcW w:w="3650" w:type="dxa"/>
            <w:tcBorders>
              <w:top w:val="nil"/>
              <w:left w:val="single" w:color="000000" w:sz="8" w:space="0"/>
              <w:bottom w:val="single" w:color="000000" w:sz="8" w:space="0"/>
              <w:right w:val="single" w:color="000000" w:sz="8" w:space="0"/>
            </w:tcBorders>
            <w:shd w:val="clear" w:color="auto" w:fill="auto"/>
            <w:vAlign w:val="center"/>
          </w:tcPr>
          <w:p w14:paraId="549779B1">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义务兵家庭优待金发放及时率</w:t>
            </w:r>
          </w:p>
        </w:tc>
        <w:tc>
          <w:tcPr>
            <w:tcW w:w="1561" w:type="dxa"/>
            <w:tcBorders>
              <w:top w:val="nil"/>
              <w:left w:val="nil"/>
              <w:bottom w:val="single" w:color="000000" w:sz="8" w:space="0"/>
              <w:right w:val="nil"/>
            </w:tcBorders>
            <w:shd w:val="clear" w:color="auto" w:fill="auto"/>
            <w:vAlign w:val="center"/>
          </w:tcPr>
          <w:p w14:paraId="4216D45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r>
      <w:tr w14:paraId="0362E4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8" w:hRule="atLeast"/>
        </w:trPr>
        <w:tc>
          <w:tcPr>
            <w:tcW w:w="1366" w:type="dxa"/>
            <w:vMerge w:val="restart"/>
            <w:tcBorders>
              <w:top w:val="nil"/>
              <w:left w:val="single" w:color="000000" w:sz="8" w:space="0"/>
              <w:bottom w:val="single" w:color="000000" w:sz="8" w:space="0"/>
              <w:right w:val="single" w:color="000000" w:sz="8" w:space="0"/>
            </w:tcBorders>
            <w:shd w:val="clear" w:color="auto" w:fill="auto"/>
            <w:vAlign w:val="center"/>
          </w:tcPr>
          <w:p w14:paraId="5E93112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效益指标</w:t>
            </w:r>
          </w:p>
        </w:tc>
        <w:tc>
          <w:tcPr>
            <w:tcW w:w="2381" w:type="dxa"/>
            <w:tcBorders>
              <w:top w:val="nil"/>
              <w:left w:val="single" w:color="000000" w:sz="8" w:space="0"/>
              <w:bottom w:val="single" w:color="000000" w:sz="8" w:space="0"/>
              <w:right w:val="single" w:color="000000" w:sz="8" w:space="0"/>
            </w:tcBorders>
            <w:shd w:val="clear" w:color="auto" w:fill="auto"/>
            <w:vAlign w:val="center"/>
          </w:tcPr>
          <w:p w14:paraId="0FEC43A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经济效益指标</w:t>
            </w:r>
          </w:p>
        </w:tc>
        <w:tc>
          <w:tcPr>
            <w:tcW w:w="3650" w:type="dxa"/>
            <w:tcBorders>
              <w:top w:val="nil"/>
              <w:left w:val="single" w:color="000000" w:sz="8" w:space="0"/>
              <w:bottom w:val="single" w:color="000000" w:sz="8" w:space="0"/>
              <w:right w:val="single" w:color="000000" w:sz="8" w:space="0"/>
            </w:tcBorders>
            <w:shd w:val="clear" w:color="auto" w:fill="auto"/>
            <w:vAlign w:val="center"/>
          </w:tcPr>
          <w:p w14:paraId="278E0EC6">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义务兵家庭优待金（上级资金）</w:t>
            </w:r>
          </w:p>
        </w:tc>
        <w:tc>
          <w:tcPr>
            <w:tcW w:w="1561" w:type="dxa"/>
            <w:tcBorders>
              <w:top w:val="nil"/>
              <w:left w:val="nil"/>
              <w:bottom w:val="single" w:color="000000" w:sz="8" w:space="0"/>
              <w:right w:val="nil"/>
            </w:tcBorders>
            <w:shd w:val="clear" w:color="auto" w:fill="auto"/>
            <w:vAlign w:val="center"/>
          </w:tcPr>
          <w:p w14:paraId="5609356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6000元/年</w:t>
            </w:r>
          </w:p>
        </w:tc>
      </w:tr>
      <w:tr w14:paraId="355A58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6" w:hRule="atLeast"/>
        </w:trPr>
        <w:tc>
          <w:tcPr>
            <w:tcW w:w="1366" w:type="dxa"/>
            <w:vMerge w:val="continue"/>
            <w:tcBorders>
              <w:top w:val="nil"/>
              <w:left w:val="single" w:color="000000" w:sz="8" w:space="0"/>
              <w:bottom w:val="single" w:color="000000" w:sz="8" w:space="0"/>
              <w:right w:val="single" w:color="000000" w:sz="8" w:space="0"/>
            </w:tcBorders>
            <w:shd w:val="clear" w:color="auto" w:fill="auto"/>
            <w:vAlign w:val="center"/>
          </w:tcPr>
          <w:p w14:paraId="01F28F48">
            <w:pPr>
              <w:jc w:val="center"/>
              <w:rPr>
                <w:rFonts w:hint="eastAsia" w:ascii="微软雅黑" w:hAnsi="微软雅黑" w:eastAsia="微软雅黑" w:cs="微软雅黑"/>
                <w:i w:val="0"/>
                <w:iCs w:val="0"/>
                <w:color w:val="000000"/>
                <w:sz w:val="20"/>
                <w:szCs w:val="20"/>
                <w:u w:val="none"/>
              </w:rPr>
            </w:pPr>
          </w:p>
        </w:tc>
        <w:tc>
          <w:tcPr>
            <w:tcW w:w="2381" w:type="dxa"/>
            <w:tcBorders>
              <w:top w:val="nil"/>
              <w:left w:val="single" w:color="000000" w:sz="8" w:space="0"/>
              <w:bottom w:val="single" w:color="000000" w:sz="8" w:space="0"/>
              <w:right w:val="single" w:color="000000" w:sz="8" w:space="0"/>
            </w:tcBorders>
            <w:shd w:val="clear" w:color="auto" w:fill="auto"/>
            <w:vAlign w:val="center"/>
          </w:tcPr>
          <w:p w14:paraId="3B61F22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社会效益指标</w:t>
            </w:r>
          </w:p>
        </w:tc>
        <w:tc>
          <w:tcPr>
            <w:tcW w:w="3650" w:type="dxa"/>
            <w:tcBorders>
              <w:top w:val="nil"/>
              <w:left w:val="single" w:color="000000" w:sz="8" w:space="0"/>
              <w:bottom w:val="single" w:color="000000" w:sz="8" w:space="0"/>
              <w:right w:val="single" w:color="000000" w:sz="8" w:space="0"/>
            </w:tcBorders>
            <w:shd w:val="clear" w:color="auto" w:fill="auto"/>
            <w:vAlign w:val="center"/>
          </w:tcPr>
          <w:p w14:paraId="073DB00F">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义务兵家庭受益率</w:t>
            </w:r>
          </w:p>
        </w:tc>
        <w:tc>
          <w:tcPr>
            <w:tcW w:w="1561" w:type="dxa"/>
            <w:tcBorders>
              <w:top w:val="nil"/>
              <w:left w:val="nil"/>
              <w:bottom w:val="single" w:color="000000" w:sz="8" w:space="0"/>
              <w:right w:val="nil"/>
            </w:tcBorders>
            <w:shd w:val="clear" w:color="auto" w:fill="auto"/>
            <w:vAlign w:val="center"/>
          </w:tcPr>
          <w:p w14:paraId="1AF57B2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r>
      <w:tr w14:paraId="682A8A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6" w:hRule="atLeast"/>
        </w:trPr>
        <w:tc>
          <w:tcPr>
            <w:tcW w:w="1366" w:type="dxa"/>
            <w:vMerge w:val="continue"/>
            <w:tcBorders>
              <w:top w:val="nil"/>
              <w:left w:val="single" w:color="000000" w:sz="8" w:space="0"/>
              <w:bottom w:val="single" w:color="000000" w:sz="8" w:space="0"/>
              <w:right w:val="single" w:color="000000" w:sz="8" w:space="0"/>
            </w:tcBorders>
            <w:shd w:val="clear" w:color="auto" w:fill="auto"/>
            <w:vAlign w:val="center"/>
          </w:tcPr>
          <w:p w14:paraId="08AF15E3">
            <w:pPr>
              <w:jc w:val="center"/>
              <w:rPr>
                <w:rFonts w:hint="eastAsia" w:ascii="微软雅黑" w:hAnsi="微软雅黑" w:eastAsia="微软雅黑" w:cs="微软雅黑"/>
                <w:i w:val="0"/>
                <w:iCs w:val="0"/>
                <w:color w:val="000000"/>
                <w:sz w:val="20"/>
                <w:szCs w:val="20"/>
                <w:u w:val="none"/>
              </w:rPr>
            </w:pPr>
          </w:p>
        </w:tc>
        <w:tc>
          <w:tcPr>
            <w:tcW w:w="2381" w:type="dxa"/>
            <w:tcBorders>
              <w:top w:val="nil"/>
              <w:left w:val="single" w:color="000000" w:sz="8" w:space="0"/>
              <w:bottom w:val="single" w:color="000000" w:sz="8" w:space="0"/>
              <w:right w:val="single" w:color="000000" w:sz="8" w:space="0"/>
            </w:tcBorders>
            <w:shd w:val="clear" w:color="auto" w:fill="auto"/>
            <w:vAlign w:val="center"/>
          </w:tcPr>
          <w:p w14:paraId="5E06F1A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可持续影响指标</w:t>
            </w:r>
          </w:p>
        </w:tc>
        <w:tc>
          <w:tcPr>
            <w:tcW w:w="3650" w:type="dxa"/>
            <w:tcBorders>
              <w:top w:val="nil"/>
              <w:left w:val="single" w:color="000000" w:sz="8" w:space="0"/>
              <w:bottom w:val="single" w:color="000000" w:sz="8" w:space="0"/>
              <w:right w:val="single" w:color="000000" w:sz="8" w:space="0"/>
            </w:tcBorders>
            <w:shd w:val="clear" w:color="auto" w:fill="auto"/>
            <w:vAlign w:val="center"/>
          </w:tcPr>
          <w:p w14:paraId="24B49E71">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激励适龄青年参军</w:t>
            </w:r>
          </w:p>
        </w:tc>
        <w:tc>
          <w:tcPr>
            <w:tcW w:w="1561" w:type="dxa"/>
            <w:tcBorders>
              <w:top w:val="nil"/>
              <w:left w:val="nil"/>
              <w:bottom w:val="single" w:color="000000" w:sz="8" w:space="0"/>
              <w:right w:val="nil"/>
            </w:tcBorders>
            <w:shd w:val="clear" w:color="auto" w:fill="auto"/>
            <w:vAlign w:val="center"/>
          </w:tcPr>
          <w:p w14:paraId="4B4AF35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效果良好</w:t>
            </w:r>
          </w:p>
        </w:tc>
      </w:tr>
      <w:tr w14:paraId="68C30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8" w:hRule="atLeast"/>
        </w:trPr>
        <w:tc>
          <w:tcPr>
            <w:tcW w:w="1366" w:type="dxa"/>
            <w:tcBorders>
              <w:top w:val="nil"/>
              <w:left w:val="single" w:color="000000" w:sz="8" w:space="0"/>
              <w:bottom w:val="single" w:color="000000" w:sz="8" w:space="0"/>
              <w:right w:val="single" w:color="000000" w:sz="8" w:space="0"/>
            </w:tcBorders>
            <w:shd w:val="clear" w:color="auto" w:fill="auto"/>
            <w:vAlign w:val="center"/>
          </w:tcPr>
          <w:p w14:paraId="6D6003D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满意度指标</w:t>
            </w:r>
          </w:p>
        </w:tc>
        <w:tc>
          <w:tcPr>
            <w:tcW w:w="2381" w:type="dxa"/>
            <w:tcBorders>
              <w:top w:val="nil"/>
              <w:left w:val="single" w:color="000000" w:sz="8" w:space="0"/>
              <w:bottom w:val="single" w:color="000000" w:sz="8" w:space="0"/>
              <w:right w:val="single" w:color="000000" w:sz="8" w:space="0"/>
            </w:tcBorders>
            <w:shd w:val="clear" w:color="auto" w:fill="auto"/>
            <w:vAlign w:val="center"/>
          </w:tcPr>
          <w:p w14:paraId="6FCC47D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服务对象满意度指标</w:t>
            </w:r>
          </w:p>
        </w:tc>
        <w:tc>
          <w:tcPr>
            <w:tcW w:w="3650" w:type="dxa"/>
            <w:tcBorders>
              <w:top w:val="nil"/>
              <w:left w:val="single" w:color="000000" w:sz="8" w:space="0"/>
              <w:bottom w:val="single" w:color="000000" w:sz="8" w:space="0"/>
              <w:right w:val="single" w:color="000000" w:sz="8" w:space="0"/>
            </w:tcBorders>
            <w:shd w:val="clear" w:color="auto" w:fill="auto"/>
            <w:vAlign w:val="center"/>
          </w:tcPr>
          <w:p w14:paraId="4579C0F7">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服务对象满意度</w:t>
            </w:r>
          </w:p>
        </w:tc>
        <w:tc>
          <w:tcPr>
            <w:tcW w:w="1561" w:type="dxa"/>
            <w:tcBorders>
              <w:top w:val="nil"/>
              <w:left w:val="nil"/>
              <w:bottom w:val="single" w:color="000000" w:sz="8" w:space="0"/>
              <w:right w:val="nil"/>
            </w:tcBorders>
            <w:shd w:val="clear" w:color="auto" w:fill="auto"/>
            <w:vAlign w:val="center"/>
          </w:tcPr>
          <w:p w14:paraId="5F62BD9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r>
    </w:tbl>
    <w:p w14:paraId="2B68A4DB">
      <w:pPr>
        <w:spacing w:line="560" w:lineRule="exact"/>
        <w:ind w:firstLine="640" w:firstLineChars="200"/>
        <w:jc w:val="left"/>
        <w:rPr>
          <w:rFonts w:hint="eastAsia" w:ascii="仿宋_GB2312" w:hAnsi="仿宋_GB2312" w:eastAsia="仿宋_GB2312" w:cs="仿宋_GB2312"/>
          <w:sz w:val="32"/>
          <w:szCs w:val="32"/>
        </w:rPr>
      </w:pPr>
    </w:p>
    <w:p w14:paraId="252BDC0F">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（三）绩效评价工作过程。</w:t>
      </w:r>
    </w:p>
    <w:p w14:paraId="4D1134D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right="0" w:firstLine="640" w:firstLineChars="20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1.成立绩效评价领导小组；</w:t>
      </w:r>
    </w:p>
    <w:p w14:paraId="721A1D4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2.组织相关人员进行培训；</w:t>
      </w:r>
    </w:p>
    <w:p w14:paraId="26499E5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3.收集相关资料；</w:t>
      </w:r>
    </w:p>
    <w:p w14:paraId="05B6508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4.分析资料、汇总评价数据；</w:t>
      </w:r>
    </w:p>
    <w:p w14:paraId="71BA97BC">
      <w:pPr>
        <w:numPr>
          <w:ilvl w:val="0"/>
          <w:numId w:val="0"/>
        </w:numPr>
        <w:spacing w:line="560" w:lineRule="exact"/>
        <w:ind w:leftChars="200"/>
        <w:jc w:val="left"/>
        <w:rPr>
          <w:rFonts w:hint="eastAsia" w:ascii="仿宋_GB2312" w:eastAsia="仿宋_GB2312"/>
          <w:sz w:val="32"/>
          <w:szCs w:val="32"/>
        </w:rPr>
      </w:pPr>
      <w:r>
        <w:rPr>
          <w:rFonts w:hint="eastAsia" w:ascii="Times New Roman" w:hAnsi="Times New Roman" w:eastAsia="仿宋_GB2312" w:cs="Times New Roman"/>
          <w:sz w:val="32"/>
          <w:szCs w:val="32"/>
          <w:lang w:val="en-US" w:eastAsia="zh-CN" w:bidi="ar-SA"/>
        </w:rPr>
        <w:t>　5.填写项目支出绩效单位自评表，撰写绩效自评报告</w:t>
      </w:r>
    </w:p>
    <w:p w14:paraId="57326394">
      <w:pPr>
        <w:spacing w:line="560" w:lineRule="exact"/>
        <w:ind w:firstLine="643" w:firstLineChars="200"/>
        <w:jc w:val="left"/>
        <w:rPr>
          <w:rFonts w:hint="eastAsia" w:ascii="宋体" w:hAnsi="宋体" w:eastAsia="宋体" w:cs="宋体"/>
          <w:b/>
          <w:bCs w:val="0"/>
          <w:sz w:val="32"/>
          <w:szCs w:val="32"/>
        </w:rPr>
      </w:pPr>
    </w:p>
    <w:p w14:paraId="18AF15E0">
      <w:pPr>
        <w:spacing w:line="560" w:lineRule="exact"/>
        <w:ind w:firstLine="643" w:firstLineChars="200"/>
        <w:jc w:val="left"/>
        <w:rPr>
          <w:rFonts w:hint="eastAsia" w:ascii="仿宋_GB2312" w:hAnsi="仿宋_GB2312" w:eastAsia="仿宋_GB2312" w:cs="仿宋_GB2312"/>
          <w:bCs/>
          <w:sz w:val="32"/>
          <w:szCs w:val="32"/>
        </w:rPr>
      </w:pPr>
      <w:r>
        <w:rPr>
          <w:rFonts w:hint="eastAsia" w:ascii="宋体" w:hAnsi="宋体" w:eastAsia="宋体" w:cs="宋体"/>
          <w:b/>
          <w:bCs w:val="0"/>
          <w:sz w:val="32"/>
          <w:szCs w:val="32"/>
        </w:rPr>
        <w:t>三、综合评价情况及评价结论</w:t>
      </w:r>
      <w:r>
        <w:rPr>
          <w:rFonts w:hint="eastAsia" w:ascii="仿宋_GB2312" w:hAnsi="仿宋_GB2312" w:eastAsia="仿宋_GB2312" w:cs="仿宋_GB2312"/>
          <w:bCs/>
          <w:sz w:val="32"/>
          <w:szCs w:val="32"/>
        </w:rPr>
        <w:t>（附相关评分表）</w:t>
      </w:r>
    </w:p>
    <w:tbl>
      <w:tblPr>
        <w:tblStyle w:val="4"/>
        <w:tblW w:w="939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77"/>
        <w:gridCol w:w="1815"/>
        <w:gridCol w:w="2205"/>
        <w:gridCol w:w="1488"/>
        <w:gridCol w:w="1200"/>
        <w:gridCol w:w="525"/>
        <w:gridCol w:w="780"/>
      </w:tblGrid>
      <w:tr w14:paraId="60F6E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77" w:type="dxa"/>
            <w:vMerge w:val="restart"/>
            <w:tcBorders>
              <w:top w:val="nil"/>
              <w:left w:val="single" w:color="000000" w:sz="8" w:space="0"/>
              <w:bottom w:val="single" w:color="000000" w:sz="8" w:space="0"/>
              <w:right w:val="single" w:color="000000" w:sz="8" w:space="0"/>
            </w:tcBorders>
            <w:shd w:val="clear" w:color="auto" w:fill="auto"/>
            <w:vAlign w:val="center"/>
          </w:tcPr>
          <w:p w14:paraId="40C764E1">
            <w:pPr>
              <w:keepNext w:val="0"/>
              <w:keepLines w:val="0"/>
              <w:widowControl/>
              <w:suppressLineNumbers w:val="0"/>
              <w:jc w:val="center"/>
              <w:textAlignment w:val="center"/>
              <w:rPr>
                <w:rFonts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一级指标</w:t>
            </w:r>
          </w:p>
        </w:tc>
        <w:tc>
          <w:tcPr>
            <w:tcW w:w="1815" w:type="dxa"/>
            <w:vMerge w:val="restart"/>
            <w:tcBorders>
              <w:top w:val="nil"/>
              <w:left w:val="single" w:color="000000" w:sz="8" w:space="0"/>
              <w:bottom w:val="single" w:color="000000" w:sz="8" w:space="0"/>
              <w:right w:val="single" w:color="000000" w:sz="8" w:space="0"/>
            </w:tcBorders>
            <w:shd w:val="clear" w:color="auto" w:fill="auto"/>
            <w:vAlign w:val="center"/>
          </w:tcPr>
          <w:p w14:paraId="54C142A4">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二级指标</w:t>
            </w:r>
          </w:p>
        </w:tc>
        <w:tc>
          <w:tcPr>
            <w:tcW w:w="2205" w:type="dxa"/>
            <w:vMerge w:val="restart"/>
            <w:tcBorders>
              <w:top w:val="nil"/>
              <w:left w:val="single" w:color="000000" w:sz="8" w:space="0"/>
              <w:bottom w:val="single" w:color="000000" w:sz="8" w:space="0"/>
              <w:right w:val="single" w:color="000000" w:sz="8" w:space="0"/>
            </w:tcBorders>
            <w:shd w:val="clear" w:color="auto" w:fill="auto"/>
            <w:vAlign w:val="center"/>
          </w:tcPr>
          <w:p w14:paraId="73EC0595">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三级指标</w:t>
            </w:r>
          </w:p>
        </w:tc>
        <w:tc>
          <w:tcPr>
            <w:tcW w:w="1488" w:type="dxa"/>
            <w:vMerge w:val="restart"/>
            <w:tcBorders>
              <w:top w:val="nil"/>
              <w:left w:val="nil"/>
              <w:bottom w:val="single" w:color="000000" w:sz="8" w:space="0"/>
              <w:right w:val="nil"/>
            </w:tcBorders>
            <w:shd w:val="clear" w:color="auto" w:fill="auto"/>
            <w:vAlign w:val="center"/>
          </w:tcPr>
          <w:p w14:paraId="0F470684">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年度指标值</w:t>
            </w:r>
          </w:p>
        </w:tc>
        <w:tc>
          <w:tcPr>
            <w:tcW w:w="1200" w:type="dxa"/>
            <w:vMerge w:val="restart"/>
            <w:tcBorders>
              <w:top w:val="nil"/>
              <w:left w:val="single" w:color="000000" w:sz="8" w:space="0"/>
              <w:bottom w:val="single" w:color="000000" w:sz="8" w:space="0"/>
              <w:right w:val="nil"/>
            </w:tcBorders>
            <w:shd w:val="clear" w:color="auto" w:fill="auto"/>
            <w:vAlign w:val="center"/>
          </w:tcPr>
          <w:p w14:paraId="49D08C96">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实际完成值</w:t>
            </w:r>
          </w:p>
        </w:tc>
        <w:tc>
          <w:tcPr>
            <w:tcW w:w="525" w:type="dxa"/>
            <w:vMerge w:val="restart"/>
            <w:tcBorders>
              <w:top w:val="nil"/>
              <w:left w:val="single" w:color="000000" w:sz="8" w:space="0"/>
              <w:bottom w:val="single" w:color="000000" w:sz="8" w:space="0"/>
              <w:right w:val="single" w:color="000000" w:sz="8" w:space="0"/>
            </w:tcBorders>
            <w:shd w:val="clear" w:color="auto" w:fill="auto"/>
            <w:vAlign w:val="center"/>
          </w:tcPr>
          <w:p w14:paraId="0324BC5E">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分值</w:t>
            </w:r>
          </w:p>
        </w:tc>
        <w:tc>
          <w:tcPr>
            <w:tcW w:w="780" w:type="dxa"/>
            <w:vMerge w:val="restart"/>
            <w:tcBorders>
              <w:top w:val="nil"/>
              <w:left w:val="single" w:color="000000" w:sz="8" w:space="0"/>
              <w:bottom w:val="single" w:color="000000" w:sz="8" w:space="0"/>
              <w:right w:val="single" w:color="000000" w:sz="8" w:space="0"/>
            </w:tcBorders>
            <w:shd w:val="clear" w:color="auto" w:fill="auto"/>
            <w:vAlign w:val="center"/>
          </w:tcPr>
          <w:p w14:paraId="6ED052D7">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得分</w:t>
            </w:r>
          </w:p>
        </w:tc>
      </w:tr>
      <w:tr w14:paraId="0B850A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377" w:type="dxa"/>
            <w:vMerge w:val="continue"/>
            <w:tcBorders>
              <w:top w:val="nil"/>
              <w:left w:val="single" w:color="000000" w:sz="8" w:space="0"/>
              <w:bottom w:val="single" w:color="000000" w:sz="8" w:space="0"/>
              <w:right w:val="single" w:color="000000" w:sz="8" w:space="0"/>
            </w:tcBorders>
            <w:shd w:val="clear" w:color="auto" w:fill="auto"/>
            <w:vAlign w:val="center"/>
          </w:tcPr>
          <w:p w14:paraId="566B8428">
            <w:pPr>
              <w:jc w:val="center"/>
              <w:rPr>
                <w:rFonts w:hint="eastAsia" w:ascii="微软雅黑" w:hAnsi="微软雅黑" w:eastAsia="微软雅黑" w:cs="微软雅黑"/>
                <w:b/>
                <w:bCs/>
                <w:i w:val="0"/>
                <w:iCs w:val="0"/>
                <w:color w:val="000000"/>
                <w:sz w:val="22"/>
                <w:szCs w:val="22"/>
                <w:u w:val="none"/>
              </w:rPr>
            </w:pPr>
          </w:p>
        </w:tc>
        <w:tc>
          <w:tcPr>
            <w:tcW w:w="1815" w:type="dxa"/>
            <w:vMerge w:val="continue"/>
            <w:tcBorders>
              <w:top w:val="nil"/>
              <w:left w:val="single" w:color="000000" w:sz="8" w:space="0"/>
              <w:bottom w:val="single" w:color="000000" w:sz="8" w:space="0"/>
              <w:right w:val="single" w:color="000000" w:sz="8" w:space="0"/>
            </w:tcBorders>
            <w:shd w:val="clear" w:color="auto" w:fill="auto"/>
            <w:vAlign w:val="center"/>
          </w:tcPr>
          <w:p w14:paraId="26E8E1B7">
            <w:pPr>
              <w:jc w:val="center"/>
              <w:rPr>
                <w:rFonts w:hint="eastAsia" w:ascii="微软雅黑" w:hAnsi="微软雅黑" w:eastAsia="微软雅黑" w:cs="微软雅黑"/>
                <w:b/>
                <w:bCs/>
                <w:i w:val="0"/>
                <w:iCs w:val="0"/>
                <w:color w:val="000000"/>
                <w:sz w:val="22"/>
                <w:szCs w:val="22"/>
                <w:u w:val="none"/>
              </w:rPr>
            </w:pPr>
          </w:p>
        </w:tc>
        <w:tc>
          <w:tcPr>
            <w:tcW w:w="2205" w:type="dxa"/>
            <w:vMerge w:val="continue"/>
            <w:tcBorders>
              <w:top w:val="nil"/>
              <w:left w:val="single" w:color="000000" w:sz="8" w:space="0"/>
              <w:bottom w:val="single" w:color="000000" w:sz="8" w:space="0"/>
              <w:right w:val="single" w:color="000000" w:sz="8" w:space="0"/>
            </w:tcBorders>
            <w:shd w:val="clear" w:color="auto" w:fill="auto"/>
            <w:vAlign w:val="center"/>
          </w:tcPr>
          <w:p w14:paraId="149207E2">
            <w:pPr>
              <w:jc w:val="center"/>
              <w:rPr>
                <w:rFonts w:hint="eastAsia" w:ascii="微软雅黑" w:hAnsi="微软雅黑" w:eastAsia="微软雅黑" w:cs="微软雅黑"/>
                <w:b/>
                <w:bCs/>
                <w:i w:val="0"/>
                <w:iCs w:val="0"/>
                <w:color w:val="000000"/>
                <w:sz w:val="22"/>
                <w:szCs w:val="22"/>
                <w:u w:val="none"/>
              </w:rPr>
            </w:pPr>
          </w:p>
        </w:tc>
        <w:tc>
          <w:tcPr>
            <w:tcW w:w="1488" w:type="dxa"/>
            <w:vMerge w:val="continue"/>
            <w:tcBorders>
              <w:top w:val="nil"/>
              <w:left w:val="nil"/>
              <w:bottom w:val="single" w:color="000000" w:sz="8" w:space="0"/>
              <w:right w:val="nil"/>
            </w:tcBorders>
            <w:shd w:val="clear" w:color="auto" w:fill="auto"/>
            <w:vAlign w:val="center"/>
          </w:tcPr>
          <w:p w14:paraId="14DC8C18">
            <w:pPr>
              <w:jc w:val="center"/>
              <w:rPr>
                <w:rFonts w:hint="eastAsia" w:ascii="微软雅黑" w:hAnsi="微软雅黑" w:eastAsia="微软雅黑" w:cs="微软雅黑"/>
                <w:b/>
                <w:bCs/>
                <w:i w:val="0"/>
                <w:iCs w:val="0"/>
                <w:color w:val="000000"/>
                <w:sz w:val="22"/>
                <w:szCs w:val="22"/>
                <w:u w:val="none"/>
              </w:rPr>
            </w:pPr>
          </w:p>
        </w:tc>
        <w:tc>
          <w:tcPr>
            <w:tcW w:w="1200" w:type="dxa"/>
            <w:vMerge w:val="continue"/>
            <w:tcBorders>
              <w:top w:val="nil"/>
              <w:left w:val="single" w:color="000000" w:sz="8" w:space="0"/>
              <w:bottom w:val="single" w:color="000000" w:sz="8" w:space="0"/>
              <w:right w:val="nil"/>
            </w:tcBorders>
            <w:shd w:val="clear" w:color="auto" w:fill="auto"/>
            <w:vAlign w:val="center"/>
          </w:tcPr>
          <w:p w14:paraId="4C2FA49A">
            <w:pPr>
              <w:jc w:val="center"/>
              <w:rPr>
                <w:rFonts w:hint="eastAsia" w:ascii="微软雅黑" w:hAnsi="微软雅黑" w:eastAsia="微软雅黑" w:cs="微软雅黑"/>
                <w:b/>
                <w:bCs/>
                <w:i w:val="0"/>
                <w:iCs w:val="0"/>
                <w:color w:val="000000"/>
                <w:sz w:val="22"/>
                <w:szCs w:val="22"/>
                <w:u w:val="none"/>
              </w:rPr>
            </w:pPr>
          </w:p>
        </w:tc>
        <w:tc>
          <w:tcPr>
            <w:tcW w:w="525" w:type="dxa"/>
            <w:vMerge w:val="continue"/>
            <w:tcBorders>
              <w:top w:val="nil"/>
              <w:left w:val="single" w:color="000000" w:sz="8" w:space="0"/>
              <w:bottom w:val="single" w:color="000000" w:sz="8" w:space="0"/>
              <w:right w:val="single" w:color="000000" w:sz="8" w:space="0"/>
            </w:tcBorders>
            <w:shd w:val="clear" w:color="auto" w:fill="auto"/>
            <w:vAlign w:val="center"/>
          </w:tcPr>
          <w:p w14:paraId="661A8A39">
            <w:pPr>
              <w:jc w:val="center"/>
              <w:rPr>
                <w:rFonts w:hint="eastAsia" w:ascii="微软雅黑" w:hAnsi="微软雅黑" w:eastAsia="微软雅黑" w:cs="微软雅黑"/>
                <w:b/>
                <w:bCs/>
                <w:i w:val="0"/>
                <w:iCs w:val="0"/>
                <w:color w:val="000000"/>
                <w:sz w:val="22"/>
                <w:szCs w:val="22"/>
                <w:u w:val="none"/>
              </w:rPr>
            </w:pPr>
          </w:p>
        </w:tc>
        <w:tc>
          <w:tcPr>
            <w:tcW w:w="780" w:type="dxa"/>
            <w:vMerge w:val="continue"/>
            <w:tcBorders>
              <w:top w:val="nil"/>
              <w:left w:val="single" w:color="000000" w:sz="8" w:space="0"/>
              <w:bottom w:val="single" w:color="000000" w:sz="8" w:space="0"/>
              <w:right w:val="single" w:color="000000" w:sz="8" w:space="0"/>
            </w:tcBorders>
            <w:shd w:val="clear" w:color="auto" w:fill="auto"/>
            <w:vAlign w:val="center"/>
          </w:tcPr>
          <w:p w14:paraId="7B8C8036">
            <w:pPr>
              <w:jc w:val="center"/>
              <w:rPr>
                <w:rFonts w:hint="eastAsia" w:ascii="微软雅黑" w:hAnsi="微软雅黑" w:eastAsia="微软雅黑" w:cs="微软雅黑"/>
                <w:b/>
                <w:bCs/>
                <w:i w:val="0"/>
                <w:iCs w:val="0"/>
                <w:color w:val="000000"/>
                <w:sz w:val="22"/>
                <w:szCs w:val="22"/>
                <w:u w:val="none"/>
              </w:rPr>
            </w:pPr>
          </w:p>
        </w:tc>
      </w:tr>
      <w:tr w14:paraId="0EF8DA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377" w:type="dxa"/>
            <w:vMerge w:val="continue"/>
            <w:tcBorders>
              <w:top w:val="nil"/>
              <w:left w:val="single" w:color="000000" w:sz="8" w:space="0"/>
              <w:bottom w:val="single" w:color="000000" w:sz="8" w:space="0"/>
              <w:right w:val="single" w:color="000000" w:sz="8" w:space="0"/>
            </w:tcBorders>
            <w:shd w:val="clear" w:color="auto" w:fill="auto"/>
            <w:vAlign w:val="center"/>
          </w:tcPr>
          <w:p w14:paraId="70B79F68">
            <w:pPr>
              <w:jc w:val="center"/>
              <w:rPr>
                <w:rFonts w:hint="eastAsia" w:ascii="微软雅黑" w:hAnsi="微软雅黑" w:eastAsia="微软雅黑" w:cs="微软雅黑"/>
                <w:b/>
                <w:bCs/>
                <w:i w:val="0"/>
                <w:iCs w:val="0"/>
                <w:color w:val="000000"/>
                <w:sz w:val="22"/>
                <w:szCs w:val="22"/>
                <w:u w:val="none"/>
              </w:rPr>
            </w:pPr>
          </w:p>
        </w:tc>
        <w:tc>
          <w:tcPr>
            <w:tcW w:w="1815" w:type="dxa"/>
            <w:vMerge w:val="continue"/>
            <w:tcBorders>
              <w:top w:val="nil"/>
              <w:left w:val="single" w:color="000000" w:sz="8" w:space="0"/>
              <w:bottom w:val="single" w:color="000000" w:sz="8" w:space="0"/>
              <w:right w:val="single" w:color="000000" w:sz="8" w:space="0"/>
            </w:tcBorders>
            <w:shd w:val="clear" w:color="auto" w:fill="auto"/>
            <w:vAlign w:val="center"/>
          </w:tcPr>
          <w:p w14:paraId="773B8FED">
            <w:pPr>
              <w:jc w:val="center"/>
              <w:rPr>
                <w:rFonts w:hint="eastAsia" w:ascii="微软雅黑" w:hAnsi="微软雅黑" w:eastAsia="微软雅黑" w:cs="微软雅黑"/>
                <w:b/>
                <w:bCs/>
                <w:i w:val="0"/>
                <w:iCs w:val="0"/>
                <w:color w:val="000000"/>
                <w:sz w:val="22"/>
                <w:szCs w:val="22"/>
                <w:u w:val="none"/>
              </w:rPr>
            </w:pPr>
          </w:p>
        </w:tc>
        <w:tc>
          <w:tcPr>
            <w:tcW w:w="2205" w:type="dxa"/>
            <w:vMerge w:val="continue"/>
            <w:tcBorders>
              <w:top w:val="nil"/>
              <w:left w:val="single" w:color="000000" w:sz="8" w:space="0"/>
              <w:bottom w:val="single" w:color="000000" w:sz="8" w:space="0"/>
              <w:right w:val="single" w:color="000000" w:sz="8" w:space="0"/>
            </w:tcBorders>
            <w:shd w:val="clear" w:color="auto" w:fill="auto"/>
            <w:vAlign w:val="center"/>
          </w:tcPr>
          <w:p w14:paraId="175DF078">
            <w:pPr>
              <w:jc w:val="center"/>
              <w:rPr>
                <w:rFonts w:hint="eastAsia" w:ascii="微软雅黑" w:hAnsi="微软雅黑" w:eastAsia="微软雅黑" w:cs="微软雅黑"/>
                <w:b/>
                <w:bCs/>
                <w:i w:val="0"/>
                <w:iCs w:val="0"/>
                <w:color w:val="000000"/>
                <w:sz w:val="22"/>
                <w:szCs w:val="22"/>
                <w:u w:val="none"/>
              </w:rPr>
            </w:pPr>
          </w:p>
        </w:tc>
        <w:tc>
          <w:tcPr>
            <w:tcW w:w="1488" w:type="dxa"/>
            <w:vMerge w:val="continue"/>
            <w:tcBorders>
              <w:top w:val="nil"/>
              <w:left w:val="nil"/>
              <w:bottom w:val="single" w:color="000000" w:sz="8" w:space="0"/>
              <w:right w:val="nil"/>
            </w:tcBorders>
            <w:shd w:val="clear" w:color="auto" w:fill="auto"/>
            <w:vAlign w:val="center"/>
          </w:tcPr>
          <w:p w14:paraId="4993BAA2">
            <w:pPr>
              <w:jc w:val="center"/>
              <w:rPr>
                <w:rFonts w:hint="eastAsia" w:ascii="微软雅黑" w:hAnsi="微软雅黑" w:eastAsia="微软雅黑" w:cs="微软雅黑"/>
                <w:b/>
                <w:bCs/>
                <w:i w:val="0"/>
                <w:iCs w:val="0"/>
                <w:color w:val="000000"/>
                <w:sz w:val="22"/>
                <w:szCs w:val="22"/>
                <w:u w:val="none"/>
              </w:rPr>
            </w:pPr>
          </w:p>
        </w:tc>
        <w:tc>
          <w:tcPr>
            <w:tcW w:w="1200" w:type="dxa"/>
            <w:vMerge w:val="continue"/>
            <w:tcBorders>
              <w:top w:val="nil"/>
              <w:left w:val="single" w:color="000000" w:sz="8" w:space="0"/>
              <w:bottom w:val="single" w:color="000000" w:sz="8" w:space="0"/>
              <w:right w:val="nil"/>
            </w:tcBorders>
            <w:shd w:val="clear" w:color="auto" w:fill="auto"/>
            <w:vAlign w:val="center"/>
          </w:tcPr>
          <w:p w14:paraId="0B5DF667">
            <w:pPr>
              <w:jc w:val="center"/>
              <w:rPr>
                <w:rFonts w:hint="eastAsia" w:ascii="微软雅黑" w:hAnsi="微软雅黑" w:eastAsia="微软雅黑" w:cs="微软雅黑"/>
                <w:b/>
                <w:bCs/>
                <w:i w:val="0"/>
                <w:iCs w:val="0"/>
                <w:color w:val="000000"/>
                <w:sz w:val="22"/>
                <w:szCs w:val="22"/>
                <w:u w:val="none"/>
              </w:rPr>
            </w:pPr>
          </w:p>
        </w:tc>
        <w:tc>
          <w:tcPr>
            <w:tcW w:w="525" w:type="dxa"/>
            <w:vMerge w:val="continue"/>
            <w:tcBorders>
              <w:top w:val="nil"/>
              <w:left w:val="single" w:color="000000" w:sz="8" w:space="0"/>
              <w:bottom w:val="single" w:color="000000" w:sz="8" w:space="0"/>
              <w:right w:val="single" w:color="000000" w:sz="8" w:space="0"/>
            </w:tcBorders>
            <w:shd w:val="clear" w:color="auto" w:fill="auto"/>
            <w:vAlign w:val="center"/>
          </w:tcPr>
          <w:p w14:paraId="30667D03">
            <w:pPr>
              <w:jc w:val="center"/>
              <w:rPr>
                <w:rFonts w:hint="eastAsia" w:ascii="微软雅黑" w:hAnsi="微软雅黑" w:eastAsia="微软雅黑" w:cs="微软雅黑"/>
                <w:b/>
                <w:bCs/>
                <w:i w:val="0"/>
                <w:iCs w:val="0"/>
                <w:color w:val="000000"/>
                <w:sz w:val="22"/>
                <w:szCs w:val="22"/>
                <w:u w:val="none"/>
              </w:rPr>
            </w:pPr>
          </w:p>
        </w:tc>
        <w:tc>
          <w:tcPr>
            <w:tcW w:w="780" w:type="dxa"/>
            <w:vMerge w:val="continue"/>
            <w:tcBorders>
              <w:top w:val="nil"/>
              <w:left w:val="single" w:color="000000" w:sz="8" w:space="0"/>
              <w:bottom w:val="single" w:color="000000" w:sz="8" w:space="0"/>
              <w:right w:val="single" w:color="000000" w:sz="8" w:space="0"/>
            </w:tcBorders>
            <w:shd w:val="clear" w:color="auto" w:fill="auto"/>
            <w:vAlign w:val="center"/>
          </w:tcPr>
          <w:p w14:paraId="7F002BC0">
            <w:pPr>
              <w:jc w:val="center"/>
              <w:rPr>
                <w:rFonts w:hint="eastAsia" w:ascii="微软雅黑" w:hAnsi="微软雅黑" w:eastAsia="微软雅黑" w:cs="微软雅黑"/>
                <w:b/>
                <w:bCs/>
                <w:i w:val="0"/>
                <w:iCs w:val="0"/>
                <w:color w:val="000000"/>
                <w:sz w:val="22"/>
                <w:szCs w:val="22"/>
                <w:u w:val="none"/>
              </w:rPr>
            </w:pPr>
          </w:p>
        </w:tc>
      </w:tr>
      <w:tr w14:paraId="0EE14F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377" w:type="dxa"/>
            <w:vMerge w:val="restart"/>
            <w:tcBorders>
              <w:top w:val="nil"/>
              <w:left w:val="single" w:color="000000" w:sz="8" w:space="0"/>
              <w:bottom w:val="single" w:color="000000" w:sz="8" w:space="0"/>
              <w:right w:val="single" w:color="000000" w:sz="8" w:space="0"/>
            </w:tcBorders>
            <w:shd w:val="clear" w:color="auto" w:fill="auto"/>
            <w:vAlign w:val="center"/>
          </w:tcPr>
          <w:p w14:paraId="6ADE3BA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产出指标</w:t>
            </w:r>
          </w:p>
        </w:tc>
        <w:tc>
          <w:tcPr>
            <w:tcW w:w="1815" w:type="dxa"/>
            <w:tcBorders>
              <w:top w:val="nil"/>
              <w:left w:val="single" w:color="000000" w:sz="8" w:space="0"/>
              <w:bottom w:val="single" w:color="000000" w:sz="8" w:space="0"/>
              <w:right w:val="single" w:color="000000" w:sz="8" w:space="0"/>
            </w:tcBorders>
            <w:shd w:val="clear" w:color="auto" w:fill="auto"/>
            <w:vAlign w:val="center"/>
          </w:tcPr>
          <w:p w14:paraId="72309C8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数量指标</w:t>
            </w:r>
          </w:p>
        </w:tc>
        <w:tc>
          <w:tcPr>
            <w:tcW w:w="2205" w:type="dxa"/>
            <w:tcBorders>
              <w:top w:val="nil"/>
              <w:left w:val="single" w:color="000000" w:sz="8" w:space="0"/>
              <w:bottom w:val="single" w:color="000000" w:sz="8" w:space="0"/>
              <w:right w:val="single" w:color="000000" w:sz="8" w:space="0"/>
            </w:tcBorders>
            <w:shd w:val="clear" w:color="auto" w:fill="auto"/>
            <w:vAlign w:val="center"/>
          </w:tcPr>
          <w:p w14:paraId="4EDCABFF">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义务兵家庭优待金发放人数</w:t>
            </w:r>
          </w:p>
        </w:tc>
        <w:tc>
          <w:tcPr>
            <w:tcW w:w="1488" w:type="dxa"/>
            <w:tcBorders>
              <w:top w:val="nil"/>
              <w:left w:val="nil"/>
              <w:bottom w:val="single" w:color="000000" w:sz="8" w:space="0"/>
              <w:right w:val="nil"/>
            </w:tcBorders>
            <w:shd w:val="clear" w:color="auto" w:fill="auto"/>
            <w:vAlign w:val="center"/>
          </w:tcPr>
          <w:p w14:paraId="32DAB40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70</w:t>
            </w:r>
          </w:p>
        </w:tc>
        <w:tc>
          <w:tcPr>
            <w:tcW w:w="1200" w:type="dxa"/>
            <w:tcBorders>
              <w:top w:val="nil"/>
              <w:left w:val="single" w:color="000000" w:sz="8" w:space="0"/>
              <w:bottom w:val="single" w:color="000000" w:sz="8" w:space="0"/>
              <w:right w:val="nil"/>
            </w:tcBorders>
            <w:shd w:val="clear" w:color="auto" w:fill="auto"/>
            <w:vAlign w:val="center"/>
          </w:tcPr>
          <w:p w14:paraId="0687021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62</w:t>
            </w:r>
          </w:p>
        </w:tc>
        <w:tc>
          <w:tcPr>
            <w:tcW w:w="525" w:type="dxa"/>
            <w:tcBorders>
              <w:top w:val="nil"/>
              <w:left w:val="single" w:color="000000" w:sz="8" w:space="0"/>
              <w:bottom w:val="single" w:color="000000" w:sz="8" w:space="0"/>
              <w:right w:val="single" w:color="000000" w:sz="8" w:space="0"/>
            </w:tcBorders>
            <w:shd w:val="clear" w:color="auto" w:fill="auto"/>
            <w:vAlign w:val="center"/>
          </w:tcPr>
          <w:p w14:paraId="65C5EA0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780" w:type="dxa"/>
            <w:tcBorders>
              <w:top w:val="nil"/>
              <w:left w:val="single" w:color="000000" w:sz="8" w:space="0"/>
              <w:bottom w:val="single" w:color="000000" w:sz="8" w:space="0"/>
              <w:right w:val="single" w:color="000000" w:sz="8" w:space="0"/>
            </w:tcBorders>
            <w:shd w:val="clear" w:color="auto" w:fill="auto"/>
            <w:vAlign w:val="center"/>
          </w:tcPr>
          <w:p w14:paraId="035D9BD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16.00</w:t>
            </w:r>
          </w:p>
        </w:tc>
      </w:tr>
      <w:tr w14:paraId="5660B2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377" w:type="dxa"/>
            <w:vMerge w:val="continue"/>
            <w:tcBorders>
              <w:top w:val="nil"/>
              <w:left w:val="single" w:color="000000" w:sz="8" w:space="0"/>
              <w:bottom w:val="single" w:color="000000" w:sz="8" w:space="0"/>
              <w:right w:val="single" w:color="000000" w:sz="8" w:space="0"/>
            </w:tcBorders>
            <w:shd w:val="clear" w:color="auto" w:fill="auto"/>
            <w:vAlign w:val="center"/>
          </w:tcPr>
          <w:p w14:paraId="13841D95">
            <w:pPr>
              <w:jc w:val="center"/>
              <w:rPr>
                <w:rFonts w:hint="eastAsia" w:ascii="微软雅黑" w:hAnsi="微软雅黑" w:eastAsia="微软雅黑" w:cs="微软雅黑"/>
                <w:i w:val="0"/>
                <w:iCs w:val="0"/>
                <w:color w:val="000000"/>
                <w:sz w:val="20"/>
                <w:szCs w:val="20"/>
                <w:u w:val="none"/>
              </w:rPr>
            </w:pPr>
          </w:p>
        </w:tc>
        <w:tc>
          <w:tcPr>
            <w:tcW w:w="1815" w:type="dxa"/>
            <w:tcBorders>
              <w:top w:val="nil"/>
              <w:left w:val="single" w:color="000000" w:sz="8" w:space="0"/>
              <w:bottom w:val="single" w:color="000000" w:sz="8" w:space="0"/>
              <w:right w:val="single" w:color="000000" w:sz="8" w:space="0"/>
            </w:tcBorders>
            <w:shd w:val="clear" w:color="auto" w:fill="auto"/>
            <w:vAlign w:val="center"/>
          </w:tcPr>
          <w:p w14:paraId="56656FC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质量指标</w:t>
            </w:r>
          </w:p>
        </w:tc>
        <w:tc>
          <w:tcPr>
            <w:tcW w:w="2205" w:type="dxa"/>
            <w:tcBorders>
              <w:top w:val="nil"/>
              <w:left w:val="single" w:color="000000" w:sz="8" w:space="0"/>
              <w:bottom w:val="single" w:color="000000" w:sz="8" w:space="0"/>
              <w:right w:val="single" w:color="000000" w:sz="8" w:space="0"/>
            </w:tcBorders>
            <w:shd w:val="clear" w:color="auto" w:fill="auto"/>
            <w:vAlign w:val="center"/>
          </w:tcPr>
          <w:p w14:paraId="404F3D13">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义务兵家庭优待金发放准确率</w:t>
            </w:r>
          </w:p>
        </w:tc>
        <w:tc>
          <w:tcPr>
            <w:tcW w:w="1488" w:type="dxa"/>
            <w:tcBorders>
              <w:top w:val="nil"/>
              <w:left w:val="nil"/>
              <w:bottom w:val="single" w:color="000000" w:sz="8" w:space="0"/>
              <w:right w:val="nil"/>
            </w:tcBorders>
            <w:shd w:val="clear" w:color="auto" w:fill="auto"/>
            <w:vAlign w:val="center"/>
          </w:tcPr>
          <w:p w14:paraId="5DCC140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1200" w:type="dxa"/>
            <w:tcBorders>
              <w:top w:val="nil"/>
              <w:left w:val="single" w:color="000000" w:sz="8" w:space="0"/>
              <w:bottom w:val="single" w:color="000000" w:sz="8" w:space="0"/>
              <w:right w:val="nil"/>
            </w:tcBorders>
            <w:shd w:val="clear" w:color="auto" w:fill="auto"/>
            <w:vAlign w:val="center"/>
          </w:tcPr>
          <w:p w14:paraId="552B82E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525" w:type="dxa"/>
            <w:tcBorders>
              <w:top w:val="nil"/>
              <w:left w:val="single" w:color="000000" w:sz="8" w:space="0"/>
              <w:bottom w:val="single" w:color="000000" w:sz="8" w:space="0"/>
              <w:right w:val="single" w:color="000000" w:sz="8" w:space="0"/>
            </w:tcBorders>
            <w:shd w:val="clear" w:color="auto" w:fill="auto"/>
            <w:vAlign w:val="center"/>
          </w:tcPr>
          <w:p w14:paraId="641F82A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780" w:type="dxa"/>
            <w:tcBorders>
              <w:top w:val="nil"/>
              <w:left w:val="single" w:color="000000" w:sz="8" w:space="0"/>
              <w:bottom w:val="single" w:color="000000" w:sz="8" w:space="0"/>
              <w:right w:val="single" w:color="000000" w:sz="8" w:space="0"/>
            </w:tcBorders>
            <w:shd w:val="clear" w:color="auto" w:fill="auto"/>
            <w:vAlign w:val="center"/>
          </w:tcPr>
          <w:p w14:paraId="2970693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r>
      <w:tr w14:paraId="2E2F3F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377" w:type="dxa"/>
            <w:vMerge w:val="continue"/>
            <w:tcBorders>
              <w:top w:val="nil"/>
              <w:left w:val="single" w:color="000000" w:sz="8" w:space="0"/>
              <w:bottom w:val="single" w:color="000000" w:sz="8" w:space="0"/>
              <w:right w:val="single" w:color="000000" w:sz="8" w:space="0"/>
            </w:tcBorders>
            <w:shd w:val="clear" w:color="auto" w:fill="auto"/>
            <w:vAlign w:val="center"/>
          </w:tcPr>
          <w:p w14:paraId="0373A343">
            <w:pPr>
              <w:jc w:val="center"/>
              <w:rPr>
                <w:rFonts w:hint="eastAsia" w:ascii="微软雅黑" w:hAnsi="微软雅黑" w:eastAsia="微软雅黑" w:cs="微软雅黑"/>
                <w:i w:val="0"/>
                <w:iCs w:val="0"/>
                <w:color w:val="000000"/>
                <w:sz w:val="20"/>
                <w:szCs w:val="20"/>
                <w:u w:val="none"/>
              </w:rPr>
            </w:pPr>
          </w:p>
        </w:tc>
        <w:tc>
          <w:tcPr>
            <w:tcW w:w="1815" w:type="dxa"/>
            <w:tcBorders>
              <w:top w:val="nil"/>
              <w:left w:val="single" w:color="000000" w:sz="8" w:space="0"/>
              <w:bottom w:val="single" w:color="000000" w:sz="8" w:space="0"/>
              <w:right w:val="single" w:color="000000" w:sz="8" w:space="0"/>
            </w:tcBorders>
            <w:shd w:val="clear" w:color="auto" w:fill="auto"/>
            <w:vAlign w:val="center"/>
          </w:tcPr>
          <w:p w14:paraId="557275B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时效指标</w:t>
            </w:r>
          </w:p>
        </w:tc>
        <w:tc>
          <w:tcPr>
            <w:tcW w:w="2205" w:type="dxa"/>
            <w:tcBorders>
              <w:top w:val="nil"/>
              <w:left w:val="single" w:color="000000" w:sz="8" w:space="0"/>
              <w:bottom w:val="single" w:color="000000" w:sz="8" w:space="0"/>
              <w:right w:val="single" w:color="000000" w:sz="8" w:space="0"/>
            </w:tcBorders>
            <w:shd w:val="clear" w:color="auto" w:fill="auto"/>
            <w:vAlign w:val="center"/>
          </w:tcPr>
          <w:p w14:paraId="5ED9B1FD">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义务兵家庭优待金发放及时率</w:t>
            </w:r>
          </w:p>
        </w:tc>
        <w:tc>
          <w:tcPr>
            <w:tcW w:w="1488" w:type="dxa"/>
            <w:tcBorders>
              <w:top w:val="nil"/>
              <w:left w:val="nil"/>
              <w:bottom w:val="single" w:color="000000" w:sz="8" w:space="0"/>
              <w:right w:val="nil"/>
            </w:tcBorders>
            <w:shd w:val="clear" w:color="auto" w:fill="auto"/>
            <w:vAlign w:val="center"/>
          </w:tcPr>
          <w:p w14:paraId="72C353E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1200" w:type="dxa"/>
            <w:tcBorders>
              <w:top w:val="nil"/>
              <w:left w:val="single" w:color="000000" w:sz="8" w:space="0"/>
              <w:bottom w:val="single" w:color="000000" w:sz="8" w:space="0"/>
              <w:right w:val="nil"/>
            </w:tcBorders>
            <w:shd w:val="clear" w:color="auto" w:fill="auto"/>
            <w:vAlign w:val="center"/>
          </w:tcPr>
          <w:p w14:paraId="2A6D87F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525" w:type="dxa"/>
            <w:tcBorders>
              <w:top w:val="nil"/>
              <w:left w:val="single" w:color="000000" w:sz="8" w:space="0"/>
              <w:bottom w:val="single" w:color="000000" w:sz="8" w:space="0"/>
              <w:right w:val="single" w:color="000000" w:sz="8" w:space="0"/>
            </w:tcBorders>
            <w:shd w:val="clear" w:color="auto" w:fill="auto"/>
            <w:vAlign w:val="center"/>
          </w:tcPr>
          <w:p w14:paraId="36A34D4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780" w:type="dxa"/>
            <w:tcBorders>
              <w:top w:val="nil"/>
              <w:left w:val="single" w:color="000000" w:sz="8" w:space="0"/>
              <w:bottom w:val="single" w:color="000000" w:sz="8" w:space="0"/>
              <w:right w:val="single" w:color="000000" w:sz="8" w:space="0"/>
            </w:tcBorders>
            <w:shd w:val="clear" w:color="auto" w:fill="auto"/>
            <w:vAlign w:val="center"/>
          </w:tcPr>
          <w:p w14:paraId="0846292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r>
      <w:tr w14:paraId="459968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377" w:type="dxa"/>
            <w:vMerge w:val="restart"/>
            <w:tcBorders>
              <w:top w:val="nil"/>
              <w:left w:val="single" w:color="000000" w:sz="8" w:space="0"/>
              <w:bottom w:val="single" w:color="000000" w:sz="8" w:space="0"/>
              <w:right w:val="single" w:color="000000" w:sz="8" w:space="0"/>
            </w:tcBorders>
            <w:shd w:val="clear" w:color="auto" w:fill="auto"/>
            <w:vAlign w:val="center"/>
          </w:tcPr>
          <w:p w14:paraId="59573F4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效益指标</w:t>
            </w:r>
          </w:p>
        </w:tc>
        <w:tc>
          <w:tcPr>
            <w:tcW w:w="1815" w:type="dxa"/>
            <w:tcBorders>
              <w:top w:val="nil"/>
              <w:left w:val="single" w:color="000000" w:sz="8" w:space="0"/>
              <w:bottom w:val="single" w:color="000000" w:sz="8" w:space="0"/>
              <w:right w:val="single" w:color="000000" w:sz="8" w:space="0"/>
            </w:tcBorders>
            <w:shd w:val="clear" w:color="auto" w:fill="auto"/>
            <w:vAlign w:val="center"/>
          </w:tcPr>
          <w:p w14:paraId="1497EE4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经济效益指标</w:t>
            </w:r>
          </w:p>
        </w:tc>
        <w:tc>
          <w:tcPr>
            <w:tcW w:w="2205" w:type="dxa"/>
            <w:tcBorders>
              <w:top w:val="nil"/>
              <w:left w:val="single" w:color="000000" w:sz="8" w:space="0"/>
              <w:bottom w:val="single" w:color="000000" w:sz="8" w:space="0"/>
              <w:right w:val="single" w:color="000000" w:sz="8" w:space="0"/>
            </w:tcBorders>
            <w:shd w:val="clear" w:color="auto" w:fill="auto"/>
            <w:vAlign w:val="center"/>
          </w:tcPr>
          <w:p w14:paraId="33D6D3FC">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义务兵家庭优待金（上级资金）</w:t>
            </w:r>
          </w:p>
        </w:tc>
        <w:tc>
          <w:tcPr>
            <w:tcW w:w="1488" w:type="dxa"/>
            <w:tcBorders>
              <w:top w:val="nil"/>
              <w:left w:val="nil"/>
              <w:bottom w:val="single" w:color="000000" w:sz="8" w:space="0"/>
              <w:right w:val="nil"/>
            </w:tcBorders>
            <w:shd w:val="clear" w:color="auto" w:fill="auto"/>
            <w:vAlign w:val="center"/>
          </w:tcPr>
          <w:p w14:paraId="2EB0A98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6000元/年</w:t>
            </w:r>
          </w:p>
        </w:tc>
        <w:tc>
          <w:tcPr>
            <w:tcW w:w="1200" w:type="dxa"/>
            <w:tcBorders>
              <w:top w:val="nil"/>
              <w:left w:val="single" w:color="000000" w:sz="8" w:space="0"/>
              <w:bottom w:val="single" w:color="000000" w:sz="8" w:space="0"/>
              <w:right w:val="nil"/>
            </w:tcBorders>
            <w:shd w:val="clear" w:color="auto" w:fill="auto"/>
            <w:vAlign w:val="center"/>
          </w:tcPr>
          <w:p w14:paraId="2BC8D47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6000元/年</w:t>
            </w:r>
          </w:p>
        </w:tc>
        <w:tc>
          <w:tcPr>
            <w:tcW w:w="525" w:type="dxa"/>
            <w:tcBorders>
              <w:top w:val="nil"/>
              <w:left w:val="single" w:color="000000" w:sz="8" w:space="0"/>
              <w:bottom w:val="single" w:color="000000" w:sz="8" w:space="0"/>
              <w:right w:val="single" w:color="000000" w:sz="8" w:space="0"/>
            </w:tcBorders>
            <w:shd w:val="clear" w:color="auto" w:fill="auto"/>
            <w:vAlign w:val="center"/>
          </w:tcPr>
          <w:p w14:paraId="0CFC256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780" w:type="dxa"/>
            <w:tcBorders>
              <w:top w:val="nil"/>
              <w:left w:val="single" w:color="000000" w:sz="8" w:space="0"/>
              <w:bottom w:val="single" w:color="000000" w:sz="8" w:space="0"/>
              <w:right w:val="single" w:color="000000" w:sz="8" w:space="0"/>
            </w:tcBorders>
            <w:shd w:val="clear" w:color="auto" w:fill="auto"/>
            <w:vAlign w:val="center"/>
          </w:tcPr>
          <w:p w14:paraId="1905CFA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r>
      <w:tr w14:paraId="2561BD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377" w:type="dxa"/>
            <w:vMerge w:val="continue"/>
            <w:tcBorders>
              <w:top w:val="nil"/>
              <w:left w:val="single" w:color="000000" w:sz="8" w:space="0"/>
              <w:bottom w:val="single" w:color="000000" w:sz="8" w:space="0"/>
              <w:right w:val="single" w:color="000000" w:sz="8" w:space="0"/>
            </w:tcBorders>
            <w:shd w:val="clear" w:color="auto" w:fill="auto"/>
            <w:vAlign w:val="center"/>
          </w:tcPr>
          <w:p w14:paraId="56EC61C1">
            <w:pPr>
              <w:jc w:val="center"/>
              <w:rPr>
                <w:rFonts w:hint="eastAsia" w:ascii="微软雅黑" w:hAnsi="微软雅黑" w:eastAsia="微软雅黑" w:cs="微软雅黑"/>
                <w:i w:val="0"/>
                <w:iCs w:val="0"/>
                <w:color w:val="000000"/>
                <w:sz w:val="20"/>
                <w:szCs w:val="20"/>
                <w:u w:val="none"/>
              </w:rPr>
            </w:pPr>
          </w:p>
        </w:tc>
        <w:tc>
          <w:tcPr>
            <w:tcW w:w="1815" w:type="dxa"/>
            <w:tcBorders>
              <w:top w:val="nil"/>
              <w:left w:val="single" w:color="000000" w:sz="8" w:space="0"/>
              <w:bottom w:val="single" w:color="000000" w:sz="8" w:space="0"/>
              <w:right w:val="single" w:color="000000" w:sz="8" w:space="0"/>
            </w:tcBorders>
            <w:shd w:val="clear" w:color="auto" w:fill="auto"/>
            <w:vAlign w:val="center"/>
          </w:tcPr>
          <w:p w14:paraId="651E80E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社会效益指标</w:t>
            </w:r>
          </w:p>
        </w:tc>
        <w:tc>
          <w:tcPr>
            <w:tcW w:w="2205" w:type="dxa"/>
            <w:tcBorders>
              <w:top w:val="nil"/>
              <w:left w:val="single" w:color="000000" w:sz="8" w:space="0"/>
              <w:bottom w:val="single" w:color="000000" w:sz="8" w:space="0"/>
              <w:right w:val="single" w:color="000000" w:sz="8" w:space="0"/>
            </w:tcBorders>
            <w:shd w:val="clear" w:color="auto" w:fill="auto"/>
            <w:vAlign w:val="center"/>
          </w:tcPr>
          <w:p w14:paraId="4C459D61">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义务兵家庭受益率</w:t>
            </w:r>
          </w:p>
        </w:tc>
        <w:tc>
          <w:tcPr>
            <w:tcW w:w="1488" w:type="dxa"/>
            <w:tcBorders>
              <w:top w:val="nil"/>
              <w:left w:val="nil"/>
              <w:bottom w:val="single" w:color="000000" w:sz="8" w:space="0"/>
              <w:right w:val="nil"/>
            </w:tcBorders>
            <w:shd w:val="clear" w:color="auto" w:fill="auto"/>
            <w:vAlign w:val="center"/>
          </w:tcPr>
          <w:p w14:paraId="6FD1FF6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1200" w:type="dxa"/>
            <w:tcBorders>
              <w:top w:val="nil"/>
              <w:left w:val="single" w:color="000000" w:sz="8" w:space="0"/>
              <w:bottom w:val="single" w:color="000000" w:sz="8" w:space="0"/>
              <w:right w:val="nil"/>
            </w:tcBorders>
            <w:shd w:val="clear" w:color="auto" w:fill="auto"/>
            <w:vAlign w:val="center"/>
          </w:tcPr>
          <w:p w14:paraId="40C6BC1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525" w:type="dxa"/>
            <w:tcBorders>
              <w:top w:val="nil"/>
              <w:left w:val="single" w:color="000000" w:sz="8" w:space="0"/>
              <w:bottom w:val="single" w:color="000000" w:sz="8" w:space="0"/>
              <w:right w:val="single" w:color="000000" w:sz="8" w:space="0"/>
            </w:tcBorders>
            <w:shd w:val="clear" w:color="auto" w:fill="auto"/>
            <w:vAlign w:val="center"/>
          </w:tcPr>
          <w:p w14:paraId="3070EFE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780" w:type="dxa"/>
            <w:tcBorders>
              <w:top w:val="nil"/>
              <w:left w:val="single" w:color="000000" w:sz="8" w:space="0"/>
              <w:bottom w:val="single" w:color="000000" w:sz="8" w:space="0"/>
              <w:right w:val="single" w:color="000000" w:sz="8" w:space="0"/>
            </w:tcBorders>
            <w:shd w:val="clear" w:color="auto" w:fill="auto"/>
            <w:vAlign w:val="center"/>
          </w:tcPr>
          <w:p w14:paraId="52BD170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20.00</w:t>
            </w:r>
          </w:p>
        </w:tc>
      </w:tr>
      <w:tr w14:paraId="256ADA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377" w:type="dxa"/>
            <w:vMerge w:val="continue"/>
            <w:tcBorders>
              <w:top w:val="nil"/>
              <w:left w:val="single" w:color="000000" w:sz="8" w:space="0"/>
              <w:bottom w:val="single" w:color="000000" w:sz="8" w:space="0"/>
              <w:right w:val="single" w:color="000000" w:sz="8" w:space="0"/>
            </w:tcBorders>
            <w:shd w:val="clear" w:color="auto" w:fill="auto"/>
            <w:vAlign w:val="center"/>
          </w:tcPr>
          <w:p w14:paraId="59B3C354">
            <w:pPr>
              <w:jc w:val="center"/>
              <w:rPr>
                <w:rFonts w:hint="eastAsia" w:ascii="微软雅黑" w:hAnsi="微软雅黑" w:eastAsia="微软雅黑" w:cs="微软雅黑"/>
                <w:i w:val="0"/>
                <w:iCs w:val="0"/>
                <w:color w:val="000000"/>
                <w:sz w:val="20"/>
                <w:szCs w:val="20"/>
                <w:u w:val="none"/>
              </w:rPr>
            </w:pPr>
          </w:p>
        </w:tc>
        <w:tc>
          <w:tcPr>
            <w:tcW w:w="1815" w:type="dxa"/>
            <w:tcBorders>
              <w:top w:val="nil"/>
              <w:left w:val="single" w:color="000000" w:sz="8" w:space="0"/>
              <w:bottom w:val="single" w:color="000000" w:sz="8" w:space="0"/>
              <w:right w:val="single" w:color="000000" w:sz="8" w:space="0"/>
            </w:tcBorders>
            <w:shd w:val="clear" w:color="auto" w:fill="auto"/>
            <w:vAlign w:val="center"/>
          </w:tcPr>
          <w:p w14:paraId="02BA647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可持续影响指标</w:t>
            </w:r>
          </w:p>
        </w:tc>
        <w:tc>
          <w:tcPr>
            <w:tcW w:w="2205" w:type="dxa"/>
            <w:tcBorders>
              <w:top w:val="nil"/>
              <w:left w:val="single" w:color="000000" w:sz="8" w:space="0"/>
              <w:bottom w:val="single" w:color="000000" w:sz="8" w:space="0"/>
              <w:right w:val="single" w:color="000000" w:sz="8" w:space="0"/>
            </w:tcBorders>
            <w:shd w:val="clear" w:color="auto" w:fill="auto"/>
            <w:vAlign w:val="center"/>
          </w:tcPr>
          <w:p w14:paraId="70E2DF58">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激励适龄青年参军</w:t>
            </w:r>
          </w:p>
        </w:tc>
        <w:tc>
          <w:tcPr>
            <w:tcW w:w="1488" w:type="dxa"/>
            <w:tcBorders>
              <w:top w:val="nil"/>
              <w:left w:val="nil"/>
              <w:bottom w:val="single" w:color="000000" w:sz="8" w:space="0"/>
              <w:right w:val="nil"/>
            </w:tcBorders>
            <w:shd w:val="clear" w:color="auto" w:fill="auto"/>
            <w:vAlign w:val="center"/>
          </w:tcPr>
          <w:p w14:paraId="5315607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效果良好</w:t>
            </w:r>
          </w:p>
        </w:tc>
        <w:tc>
          <w:tcPr>
            <w:tcW w:w="1200" w:type="dxa"/>
            <w:tcBorders>
              <w:top w:val="nil"/>
              <w:left w:val="single" w:color="000000" w:sz="8" w:space="0"/>
              <w:bottom w:val="single" w:color="000000" w:sz="8" w:space="0"/>
              <w:right w:val="nil"/>
            </w:tcBorders>
            <w:shd w:val="clear" w:color="auto" w:fill="auto"/>
            <w:vAlign w:val="center"/>
          </w:tcPr>
          <w:p w14:paraId="429D3B7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525" w:type="dxa"/>
            <w:tcBorders>
              <w:top w:val="nil"/>
              <w:left w:val="single" w:color="000000" w:sz="8" w:space="0"/>
              <w:bottom w:val="single" w:color="000000" w:sz="8" w:space="0"/>
              <w:right w:val="single" w:color="000000" w:sz="8" w:space="0"/>
            </w:tcBorders>
            <w:shd w:val="clear" w:color="auto" w:fill="auto"/>
            <w:vAlign w:val="center"/>
          </w:tcPr>
          <w:p w14:paraId="1FAC61B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780" w:type="dxa"/>
            <w:tcBorders>
              <w:top w:val="nil"/>
              <w:left w:val="single" w:color="000000" w:sz="8" w:space="0"/>
              <w:bottom w:val="single" w:color="000000" w:sz="8" w:space="0"/>
              <w:right w:val="single" w:color="000000" w:sz="8" w:space="0"/>
            </w:tcBorders>
            <w:shd w:val="clear" w:color="auto" w:fill="auto"/>
            <w:vAlign w:val="center"/>
          </w:tcPr>
          <w:p w14:paraId="1898A11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r>
      <w:tr w14:paraId="2652D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377" w:type="dxa"/>
            <w:tcBorders>
              <w:top w:val="nil"/>
              <w:left w:val="single" w:color="000000" w:sz="8" w:space="0"/>
              <w:bottom w:val="single" w:color="000000" w:sz="8" w:space="0"/>
              <w:right w:val="single" w:color="000000" w:sz="8" w:space="0"/>
            </w:tcBorders>
            <w:shd w:val="clear" w:color="auto" w:fill="auto"/>
            <w:vAlign w:val="center"/>
          </w:tcPr>
          <w:p w14:paraId="029B32A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满意度指标</w:t>
            </w:r>
          </w:p>
        </w:tc>
        <w:tc>
          <w:tcPr>
            <w:tcW w:w="1815" w:type="dxa"/>
            <w:tcBorders>
              <w:top w:val="nil"/>
              <w:left w:val="single" w:color="000000" w:sz="8" w:space="0"/>
              <w:bottom w:val="single" w:color="000000" w:sz="8" w:space="0"/>
              <w:right w:val="single" w:color="000000" w:sz="8" w:space="0"/>
            </w:tcBorders>
            <w:shd w:val="clear" w:color="auto" w:fill="auto"/>
            <w:vAlign w:val="center"/>
          </w:tcPr>
          <w:p w14:paraId="34E3AE8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18"/>
                <w:szCs w:val="18"/>
                <w:u w:val="none"/>
                <w:lang w:val="en-US" w:eastAsia="zh-CN" w:bidi="ar"/>
              </w:rPr>
              <w:t>服务对象满意度指标</w:t>
            </w:r>
          </w:p>
        </w:tc>
        <w:tc>
          <w:tcPr>
            <w:tcW w:w="2205" w:type="dxa"/>
            <w:tcBorders>
              <w:top w:val="nil"/>
              <w:left w:val="single" w:color="000000" w:sz="8" w:space="0"/>
              <w:bottom w:val="single" w:color="000000" w:sz="8" w:space="0"/>
              <w:right w:val="single" w:color="000000" w:sz="8" w:space="0"/>
            </w:tcBorders>
            <w:shd w:val="clear" w:color="auto" w:fill="auto"/>
            <w:vAlign w:val="center"/>
          </w:tcPr>
          <w:p w14:paraId="3B2DAB50">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服务对象满意度</w:t>
            </w:r>
          </w:p>
        </w:tc>
        <w:tc>
          <w:tcPr>
            <w:tcW w:w="1488" w:type="dxa"/>
            <w:tcBorders>
              <w:top w:val="nil"/>
              <w:left w:val="nil"/>
              <w:bottom w:val="single" w:color="000000" w:sz="8" w:space="0"/>
              <w:right w:val="nil"/>
            </w:tcBorders>
            <w:shd w:val="clear" w:color="auto" w:fill="auto"/>
            <w:vAlign w:val="center"/>
          </w:tcPr>
          <w:p w14:paraId="5A4F4B6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1200" w:type="dxa"/>
            <w:tcBorders>
              <w:top w:val="nil"/>
              <w:left w:val="single" w:color="000000" w:sz="8" w:space="0"/>
              <w:bottom w:val="single" w:color="000000" w:sz="8" w:space="0"/>
              <w:right w:val="nil"/>
            </w:tcBorders>
            <w:shd w:val="clear" w:color="auto" w:fill="auto"/>
            <w:vAlign w:val="center"/>
          </w:tcPr>
          <w:p w14:paraId="2B9A509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525" w:type="dxa"/>
            <w:tcBorders>
              <w:top w:val="nil"/>
              <w:left w:val="single" w:color="000000" w:sz="8" w:space="0"/>
              <w:bottom w:val="single" w:color="000000" w:sz="8" w:space="0"/>
              <w:right w:val="single" w:color="000000" w:sz="8" w:space="0"/>
            </w:tcBorders>
            <w:shd w:val="clear" w:color="auto" w:fill="auto"/>
            <w:vAlign w:val="center"/>
          </w:tcPr>
          <w:p w14:paraId="07DBA9E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780" w:type="dxa"/>
            <w:tcBorders>
              <w:top w:val="nil"/>
              <w:left w:val="single" w:color="000000" w:sz="8" w:space="0"/>
              <w:bottom w:val="single" w:color="000000" w:sz="8" w:space="0"/>
              <w:right w:val="single" w:color="000000" w:sz="8" w:space="0"/>
            </w:tcBorders>
            <w:shd w:val="clear" w:color="auto" w:fill="auto"/>
            <w:vAlign w:val="center"/>
          </w:tcPr>
          <w:p w14:paraId="3BE9951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r>
    </w:tbl>
    <w:p w14:paraId="372B2F82">
      <w:pPr>
        <w:spacing w:line="560" w:lineRule="exact"/>
        <w:ind w:firstLine="640" w:firstLineChars="200"/>
        <w:jc w:val="left"/>
        <w:rPr>
          <w:rFonts w:hint="eastAsia" w:ascii="仿宋_GB2312" w:hAnsi="仿宋_GB2312" w:eastAsia="仿宋_GB2312" w:cs="仿宋_GB2312"/>
          <w:b/>
          <w:bCs w:val="0"/>
          <w:sz w:val="32"/>
          <w:szCs w:val="32"/>
          <w:lang w:val="en-US" w:eastAsia="zh-CN"/>
        </w:rPr>
      </w:pPr>
      <w:r>
        <w:rPr>
          <w:rFonts w:hint="eastAsia" w:ascii="Times New Roman" w:hAnsi="Times New Roman" w:eastAsia="仿宋_GB2312" w:cs="Times New Roman"/>
          <w:sz w:val="32"/>
          <w:szCs w:val="32"/>
          <w:lang w:val="en-US" w:eastAsia="zh-CN" w:bidi="ar-SA"/>
        </w:rPr>
        <w:t>根据绩效目标表</w:t>
      </w:r>
      <w:r>
        <w:rPr>
          <w:rFonts w:hint="eastAsia" w:eastAsia="仿宋_GB2312" w:cs="Times New Roman"/>
          <w:sz w:val="32"/>
          <w:szCs w:val="32"/>
          <w:lang w:val="en-US" w:eastAsia="zh-CN" w:bidi="ar-SA"/>
        </w:rPr>
        <w:t>相关指标，逐一对应指标值数进行综合评价，自评分数为89.59分，评价结果为良好。主要原因是新兵入伍数量随上级人数安排、体能训练、体检等实际情况变化，同时义务兵家庭优待金分2年4次发放，所以当年预算执行率较低。</w:t>
      </w:r>
    </w:p>
    <w:p w14:paraId="7DB98138">
      <w:pPr>
        <w:spacing w:line="560" w:lineRule="exact"/>
        <w:ind w:firstLine="643" w:firstLineChars="200"/>
        <w:jc w:val="left"/>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四、绩效评价指标分析</w:t>
      </w:r>
    </w:p>
    <w:p w14:paraId="02A33CFF">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（一）项目决策情况。</w:t>
      </w:r>
    </w:p>
    <w:p w14:paraId="68E0DD2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640" w:firstLineChars="20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（1）严格执行《预算法》，强化支出责任，提高项目资金使用效益，对项目支出情况开展绩效评价，践行“花钱必问效、无效必问责”。</w:t>
      </w:r>
    </w:p>
    <w:p w14:paraId="20119E0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2）通过对项目资金的绩效评价，进一步了解和掌握项目实施的具体情况，评价其项目资金安排的科学性、合理性、规范性和资金使用成效，及时总结项目管理经验，完善项目管理办法，提高项目管理水平和资金的使用效益。</w:t>
      </w:r>
    </w:p>
    <w:p w14:paraId="3F84E03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64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（3）促使项目承担科室及项目分管领导，对绩效评价中发现的问题，认真整改，及时调整和完善单位的工作计划和绩效目标，提高管理水平，同时为项目后续资金投入、分配和管理提供决策依据。</w:t>
      </w:r>
    </w:p>
    <w:p w14:paraId="6122000D">
      <w:pPr>
        <w:spacing w:line="560" w:lineRule="exact"/>
        <w:ind w:firstLine="640" w:firstLineChars="200"/>
        <w:jc w:val="left"/>
        <w:rPr>
          <w:rFonts w:hint="default" w:ascii="仿宋_GB2312" w:hAnsi="仿宋_GB2312" w:eastAsia="仿宋_GB2312" w:cs="仿宋_GB2312"/>
          <w:sz w:val="32"/>
          <w:szCs w:val="32"/>
          <w:lang w:val="en-US" w:eastAsia="zh-CN"/>
        </w:rPr>
      </w:pPr>
      <w:r>
        <w:rPr>
          <w:rFonts w:hint="eastAsia" w:ascii="Times New Roman" w:hAnsi="Times New Roman" w:eastAsia="仿宋_GB2312" w:cs="Times New Roman"/>
          <w:sz w:val="32"/>
          <w:szCs w:val="32"/>
          <w:lang w:val="en-US" w:eastAsia="zh-CN" w:bidi="ar-SA"/>
        </w:rPr>
        <w:t>（4）2024年度义务兵家庭优待金（上级资金）项目1个，</w:t>
      </w:r>
      <w:r>
        <w:rPr>
          <w:rFonts w:hint="eastAsia" w:ascii="仿宋_GB2312" w:hAnsi="仿宋_GB2312" w:eastAsia="仿宋_GB2312" w:cs="仿宋_GB2312"/>
          <w:sz w:val="32"/>
          <w:szCs w:val="32"/>
          <w:lang w:val="en-US" w:eastAsia="zh-CN"/>
        </w:rPr>
        <w:t>年初预算126.2万元，全年预算数126.2万元，全年执行数45.3万元，执行率35%，主要用于经兵役机关批准服现役的义务兵家庭优待金。</w:t>
      </w:r>
    </w:p>
    <w:p w14:paraId="3A8614E6">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（二）项目过程情况。</w:t>
      </w:r>
    </w:p>
    <w:p w14:paraId="01E3B5E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right="0" w:firstLine="640" w:firstLineChars="20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（1）科学公正。绩效评价应当运用科学合理的方法，按照规范的程序，对项目绩效进行客观、公正地反映。</w:t>
      </w:r>
    </w:p>
    <w:p w14:paraId="41FA6F8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（2）统筹兼顾。单位自评、部门评价和财政评价应职责明确，各有侧重，相互衔接。单位自评应由项目单位自主实施，即“谁支出、谁自评”。部门评价和财政评价应在单位自评的基础上开展。</w:t>
      </w:r>
    </w:p>
    <w:p w14:paraId="3BD19E1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（3）激励约束。绩效评价结果应与预算安排、政策调整、改进管理实质性挂钩，体现奖优罚劣和激励相容导向，有效要安排、低效要压减、无效要问责。</w:t>
      </w:r>
    </w:p>
    <w:p w14:paraId="3103DFD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64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（4）公开透明。绩效评价结果应依法依规公开，并自觉接受社会监督。</w:t>
      </w:r>
    </w:p>
    <w:p w14:paraId="4DFB21B1">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（三）项目产出情况。</w:t>
      </w:r>
    </w:p>
    <w:p w14:paraId="793E2B4C">
      <w:pPr>
        <w:spacing w:line="560" w:lineRule="exact"/>
        <w:ind w:firstLine="640" w:firstLineChars="200"/>
        <w:jc w:val="left"/>
        <w:rPr>
          <w:rFonts w:hint="eastAsia" w:ascii="仿宋_GB2312" w:hAnsi="仿宋_GB2312" w:eastAsia="仿宋_GB2312" w:cs="仿宋_GB2312"/>
          <w:b/>
          <w:bCs w:val="0"/>
          <w:sz w:val="32"/>
          <w:szCs w:val="32"/>
          <w:lang w:val="en-US" w:eastAsia="zh-CN"/>
        </w:rPr>
      </w:pPr>
      <w:r>
        <w:rPr>
          <w:rFonts w:hint="eastAsia" w:eastAsia="仿宋_GB2312"/>
          <w:sz w:val="32"/>
          <w:szCs w:val="32"/>
          <w:lang w:val="en-US" w:eastAsia="zh-CN"/>
        </w:rPr>
        <w:t>从综合评价得分情况看，此项目综合评价满分为100分，实际得分89.59</w:t>
      </w:r>
      <w:bookmarkStart w:id="0" w:name="_GoBack"/>
      <w:bookmarkEnd w:id="0"/>
      <w:r>
        <w:rPr>
          <w:rFonts w:hint="eastAsia" w:eastAsia="仿宋_GB2312"/>
          <w:sz w:val="32"/>
          <w:szCs w:val="32"/>
          <w:lang w:val="en-US" w:eastAsia="zh-CN"/>
        </w:rPr>
        <w:t>分，主要扣分项为数量指标已经执行率情况，</w:t>
      </w:r>
      <w:r>
        <w:rPr>
          <w:rFonts w:hint="eastAsia" w:eastAsia="仿宋_GB2312" w:cs="Times New Roman"/>
          <w:sz w:val="32"/>
          <w:szCs w:val="32"/>
          <w:lang w:val="en-US" w:eastAsia="zh-CN" w:bidi="ar-SA"/>
        </w:rPr>
        <w:t>新兵入伍数量随上级人数安排、体能训练、体检等实际情况变化，同时义务兵家庭优待金分2年4次发放，所以当年预算执行率较低。</w:t>
      </w:r>
    </w:p>
    <w:p w14:paraId="7079F8EA">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（四）项目效益情况。</w:t>
      </w:r>
    </w:p>
    <w:p w14:paraId="484B1CC5">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义务兵家庭优待金经费的发放，为义务兵的生活提供了有效保障，基本解决了义务兵的生活困难，提高了义务兵素质，维护了社会稳定，较好地完成了社会效益指标和可持续影响指标。</w:t>
      </w:r>
    </w:p>
    <w:p w14:paraId="7C61E1AB">
      <w:pPr>
        <w:spacing w:line="560" w:lineRule="exact"/>
        <w:ind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五、主要经验及做法、存在的问题及原因分析</w:t>
      </w:r>
    </w:p>
    <w:p w14:paraId="2A4AD671">
      <w:pPr>
        <w:spacing w:line="560" w:lineRule="exact"/>
        <w:ind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义务兵家庭优待</w:t>
      </w:r>
      <w:r>
        <w:rPr>
          <w:rFonts w:hint="eastAsia" w:ascii="仿宋_GB2312" w:hAnsi="仿宋_GB2312" w:eastAsia="仿宋_GB2312" w:cs="仿宋_GB2312"/>
          <w:sz w:val="32"/>
          <w:szCs w:val="32"/>
          <w:lang w:eastAsia="zh-CN"/>
        </w:rPr>
        <w:t>金是根据相关文件要求分</w:t>
      </w:r>
      <w:r>
        <w:rPr>
          <w:rFonts w:hint="eastAsia" w:ascii="仿宋_GB2312" w:hAnsi="仿宋_GB2312" w:eastAsia="仿宋_GB2312" w:cs="仿宋_GB2312"/>
          <w:sz w:val="32"/>
          <w:szCs w:val="32"/>
          <w:lang w:val="en-US" w:eastAsia="zh-CN"/>
        </w:rPr>
        <w:t>2年4次发放，对资金统筹安排，支出数据统计有了较为准确的要求。</w:t>
      </w:r>
    </w:p>
    <w:p w14:paraId="012CED6A">
      <w:pPr>
        <w:spacing w:line="560" w:lineRule="exact"/>
        <w:ind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六、有关建议</w:t>
      </w:r>
    </w:p>
    <w:p w14:paraId="424C58B0">
      <w:pPr>
        <w:spacing w:line="560" w:lineRule="exact"/>
        <w:ind w:firstLine="643" w:firstLineChars="200"/>
        <w:jc w:val="left"/>
        <w:rPr>
          <w:rFonts w:hint="eastAsia" w:ascii="宋体" w:hAnsi="宋体" w:eastAsia="宋体" w:cs="宋体"/>
          <w:b/>
          <w:bCs w:val="0"/>
          <w:sz w:val="32"/>
          <w:szCs w:val="32"/>
          <w:lang w:eastAsia="zh-CN"/>
        </w:rPr>
      </w:pPr>
      <w:r>
        <w:rPr>
          <w:rFonts w:hint="eastAsia" w:ascii="宋体" w:hAnsi="宋体" w:cs="宋体"/>
          <w:b/>
          <w:bCs w:val="0"/>
          <w:sz w:val="32"/>
          <w:szCs w:val="32"/>
          <w:lang w:eastAsia="zh-CN"/>
        </w:rPr>
        <w:t>无</w:t>
      </w:r>
    </w:p>
    <w:p w14:paraId="6C5AC62F">
      <w:pPr>
        <w:spacing w:line="560" w:lineRule="exact"/>
        <w:ind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七、其他需要说明的问题</w:t>
      </w:r>
    </w:p>
    <w:p w14:paraId="29E2CB46">
      <w:pPr>
        <w:pStyle w:val="3"/>
        <w:widowControl w:val="0"/>
        <w:spacing w:before="0" w:beforeAutospacing="0" w:after="0" w:afterAutospacing="0" w:line="520" w:lineRule="exac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无</w:t>
      </w:r>
    </w:p>
    <w:p w14:paraId="292A0C5C">
      <w:pPr>
        <w:ind w:left="8960" w:hanging="8960" w:hangingChars="28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新晃侗族自治县退役军人事务局</w:t>
      </w:r>
      <w:r>
        <w:rPr>
          <w:rFonts w:hint="eastAsia" w:ascii="仿宋_GB2312" w:hAnsi="仿宋_GB2312" w:eastAsia="仿宋_GB2312" w:cs="仿宋_GB2312"/>
          <w:sz w:val="32"/>
          <w:szCs w:val="32"/>
        </w:rPr>
        <w:t xml:space="preserve">                        </w:t>
      </w:r>
    </w:p>
    <w:p w14:paraId="3340D6EE">
      <w:pPr>
        <w:ind w:firstLine="4800" w:firstLineChars="1500"/>
      </w:pPr>
      <w:r>
        <w:rPr>
          <w:rFonts w:hint="eastAsia" w:ascii="仿宋_GB2312" w:hAnsi="仿宋_GB2312" w:eastAsia="仿宋_GB2312" w:cs="仿宋_GB2312"/>
          <w:sz w:val="32"/>
          <w:szCs w:val="32"/>
          <w:lang w:val="en-US" w:eastAsia="zh-CN"/>
        </w:rPr>
        <w:t>2025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rPr>
        <w:t>日</w:t>
      </w:r>
    </w:p>
    <w:sectPr>
      <w:pgSz w:w="11906" w:h="16838"/>
      <w:pgMar w:top="1440" w:right="1689" w:bottom="1440" w:left="1689" w:header="851" w:footer="992" w:gutter="0"/>
      <w:pgNumType w:fmt="numberInDash"/>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粗宋简体">
    <w:altName w:val="宋体"/>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xNzhjYzU4ZTBkNTlmMjNhNmU0NThlYTk3YjE3MGMifQ=="/>
  </w:docVars>
  <w:rsids>
    <w:rsidRoot w:val="00000000"/>
    <w:rsid w:val="1C333B58"/>
    <w:rsid w:val="37732970"/>
    <w:rsid w:val="56A360DC"/>
    <w:rsid w:val="5C971EBD"/>
    <w:rsid w:val="6A9409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spacing w:line="240" w:lineRule="atLeast"/>
      <w:jc w:val="left"/>
    </w:pPr>
    <w:rPr>
      <w:sz w:val="18"/>
      <w:szCs w:val="18"/>
    </w:rPr>
  </w:style>
  <w:style w:type="paragraph" w:styleId="3">
    <w:name w:val="Normal (Web)"/>
    <w:basedOn w:val="1"/>
    <w:autoRedefine/>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6">
    <w:name w:val="Strong"/>
    <w:autoRedefine/>
    <w:qFormat/>
    <w:uiPriority w:val="0"/>
    <w:rPr>
      <w:b/>
      <w:bCs/>
    </w:rPr>
  </w:style>
  <w:style w:type="character" w:styleId="7">
    <w:name w:val="page number"/>
    <w:basedOn w:val="5"/>
    <w:autoRedefine/>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2417</Words>
  <Characters>2558</Characters>
  <Lines>0</Lines>
  <Paragraphs>0</Paragraphs>
  <TotalTime>5</TotalTime>
  <ScaleCrop>false</ScaleCrop>
  <LinksUpToDate>false</LinksUpToDate>
  <CharactersWithSpaces>2631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2024-04-10T00:32:00Z</dcterms:created>
  <dc:creator>Administrator</dc:creator>
  <cp:lastModifiedBy>呆头呆脑の小豬</cp:lastModifiedBy>
  <dcterms:modified xsi:type="dcterms:W3CDTF">2025-03-26T01:49:08Z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1AB7709B3C1444349ECCE6DD8CBB80BE_12</vt:lpwstr>
  </property>
  <property fmtid="{D5CDD505-2E9C-101B-9397-08002B2CF9AE}" pid="4" name="KSOTemplateDocerSaveRecord">
    <vt:lpwstr>eyJoZGlkIjoiZjgxNzhjYzU4ZTBkNTlmMjNhNmU0NThlYTk3YjE3MGMiLCJ1c2VySWQiOiI0MzkxODQ2NTgifQ==</vt:lpwstr>
  </property>
</Properties>
</file>