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EAD2AB">
      <w:pPr>
        <w:spacing w:before="319" w:line="226" w:lineRule="auto"/>
        <w:ind w:left="1303"/>
        <w:outlineLvl w:val="0"/>
        <w:rPr>
          <w:rFonts w:ascii="黑体" w:hAnsi="黑体" w:eastAsia="黑体" w:cs="黑体"/>
          <w:sz w:val="31"/>
          <w:szCs w:val="31"/>
        </w:rPr>
      </w:pPr>
      <w:bookmarkStart w:id="0" w:name="_GoBack"/>
      <w:bookmarkEnd w:id="0"/>
      <w:r>
        <w:rPr>
          <w:rFonts w:ascii="黑体" w:hAnsi="黑体" w:eastAsia="黑体" w:cs="黑体"/>
          <w:spacing w:val="8"/>
          <w:sz w:val="31"/>
          <w:szCs w:val="31"/>
        </w:rPr>
        <w:t>鱼市镇中学关于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2024</w:t>
      </w:r>
      <w:r>
        <w:rPr>
          <w:rFonts w:ascii="黑体" w:hAnsi="黑体" w:eastAsia="黑体" w:cs="黑体"/>
          <w:spacing w:val="8"/>
          <w:sz w:val="31"/>
          <w:szCs w:val="31"/>
        </w:rPr>
        <w:t>年度预算绩效情况的说明</w:t>
      </w:r>
    </w:p>
    <w:p w14:paraId="0CC8DFA6">
      <w:pPr>
        <w:spacing w:line="329" w:lineRule="auto"/>
        <w:rPr>
          <w:rFonts w:ascii="Arial"/>
          <w:sz w:val="21"/>
        </w:rPr>
      </w:pPr>
    </w:p>
    <w:p w14:paraId="4CEC11F1">
      <w:pPr>
        <w:spacing w:line="330" w:lineRule="auto"/>
        <w:rPr>
          <w:rFonts w:ascii="Arial"/>
          <w:sz w:val="21"/>
        </w:rPr>
      </w:pPr>
    </w:p>
    <w:p w14:paraId="56F7E02F">
      <w:pPr>
        <w:spacing w:before="100" w:line="229" w:lineRule="auto"/>
        <w:ind w:left="692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4"/>
          <w:sz w:val="31"/>
          <w:szCs w:val="31"/>
        </w:rPr>
        <w:t>（一）绩效评价工作开展情况。</w:t>
      </w:r>
    </w:p>
    <w:p w14:paraId="557E36D4">
      <w:pPr>
        <w:pStyle w:val="2"/>
        <w:spacing w:before="215" w:line="228" w:lineRule="auto"/>
        <w:ind w:left="681"/>
      </w:pPr>
      <w:r>
        <w:rPr>
          <w:b/>
          <w:bCs/>
          <w:spacing w:val="5"/>
        </w:rPr>
        <w:t>一是绩效自评开展情况</w:t>
      </w:r>
    </w:p>
    <w:p w14:paraId="67F27464">
      <w:pPr>
        <w:pStyle w:val="2"/>
        <w:spacing w:before="219" w:line="357" w:lineRule="auto"/>
        <w:ind w:left="36" w:right="112" w:firstLine="640"/>
        <w:jc w:val="both"/>
      </w:pPr>
      <w:r>
        <w:rPr>
          <w:spacing w:val="12"/>
        </w:rPr>
        <w:t>组织对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12"/>
        </w:rPr>
        <w:t>2024</w:t>
      </w:r>
      <w:r>
        <w:rPr>
          <w:rFonts w:ascii="Times New Roman" w:hAnsi="Times New Roman" w:eastAsia="Times New Roman" w:cs="Times New Roman"/>
          <w:spacing w:val="38"/>
        </w:rPr>
        <w:t xml:space="preserve"> </w:t>
      </w:r>
      <w:r>
        <w:rPr>
          <w:spacing w:val="12"/>
        </w:rPr>
        <w:t>年度本部门（单位）整体支出开展绩效自</w:t>
      </w:r>
      <w:r>
        <w:rPr>
          <w:spacing w:val="-7"/>
        </w:rPr>
        <w:t>评，共涉及资金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755.53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7"/>
        </w:rPr>
        <w:t>万元。其中，一般公共预算支出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755.53</w:t>
      </w:r>
      <w:r>
        <w:rPr>
          <w:spacing w:val="1"/>
        </w:rPr>
        <w:t>万元，</w:t>
      </w:r>
      <w:r>
        <w:rPr>
          <w:spacing w:val="-64"/>
        </w:rPr>
        <w:t xml:space="preserve"> </w:t>
      </w:r>
      <w:r>
        <w:rPr>
          <w:spacing w:val="1"/>
        </w:rPr>
        <w:t>占一般公共预算支出总额的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100%</w:t>
      </w:r>
      <w:r>
        <w:rPr>
          <w:spacing w:val="1"/>
        </w:rPr>
        <w:t>。</w:t>
      </w:r>
    </w:p>
    <w:p w14:paraId="6E974A65">
      <w:pPr>
        <w:pStyle w:val="2"/>
        <w:spacing w:line="227" w:lineRule="auto"/>
        <w:ind w:left="686"/>
      </w:pPr>
      <w:r>
        <w:rPr>
          <w:b/>
          <w:bCs/>
          <w:spacing w:val="3"/>
        </w:rPr>
        <w:t>二是部门评价开展情况。</w:t>
      </w:r>
    </w:p>
    <w:p w14:paraId="5C737892">
      <w:pPr>
        <w:pStyle w:val="2"/>
        <w:spacing w:before="221" w:line="357" w:lineRule="auto"/>
        <w:ind w:left="6" w:firstLine="671"/>
      </w:pPr>
      <w:r>
        <w:rPr>
          <w:spacing w:val="8"/>
        </w:rPr>
        <w:t>本单位作为预算部门，为加强内部资金管理，提升资金</w:t>
      </w:r>
      <w:r>
        <w:rPr>
          <w:spacing w:val="-1"/>
        </w:rPr>
        <w:t>使用效益，于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2024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-1"/>
        </w:rPr>
        <w:t>年末组织对本年度实施的</w:t>
      </w:r>
      <w:r>
        <w:rPr>
          <w:spacing w:val="-38"/>
        </w:rPr>
        <w:t xml:space="preserve"> </w:t>
      </w:r>
      <w:r>
        <w:rPr>
          <w:spacing w:val="-1"/>
        </w:rPr>
        <w:t>“</w:t>
      </w:r>
      <w:r>
        <w:rPr>
          <w:spacing w:val="-115"/>
        </w:rPr>
        <w:t xml:space="preserve"> </w:t>
      </w:r>
      <w:r>
        <w:rPr>
          <w:spacing w:val="-1"/>
        </w:rPr>
        <w:t>生活补助</w:t>
      </w:r>
      <w:r>
        <w:rPr>
          <w:spacing w:val="-112"/>
        </w:rPr>
        <w:t xml:space="preserve"> </w:t>
      </w:r>
      <w:r>
        <w:rPr>
          <w:spacing w:val="-2"/>
        </w:rPr>
        <w:t>”、</w:t>
      </w:r>
      <w:r>
        <w:t xml:space="preserve"> </w:t>
      </w:r>
      <w:r>
        <w:rPr>
          <w:spacing w:val="11"/>
        </w:rPr>
        <w:t>“义务教育生均公用经费（上级资金）</w:t>
      </w:r>
      <w:r>
        <w:rPr>
          <w:spacing w:val="-84"/>
        </w:rPr>
        <w:t xml:space="preserve"> </w:t>
      </w:r>
      <w:r>
        <w:rPr>
          <w:spacing w:val="11"/>
        </w:rPr>
        <w:t>” 等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rPr>
          <w:spacing w:val="11"/>
        </w:rPr>
        <w:t>个代表性项</w:t>
      </w:r>
      <w:r>
        <w:rPr>
          <w:spacing w:val="3"/>
        </w:rPr>
        <w:t>目开展了部门评价，涉及一般公共预算支出共计</w:t>
      </w:r>
      <w:r>
        <w:rPr>
          <w:spacing w:val="-57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94.93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3"/>
        </w:rPr>
        <w:t>万元。</w:t>
      </w:r>
      <w:r>
        <w:rPr>
          <w:spacing w:val="11"/>
        </w:rPr>
        <w:t>评价工作遵循客观公正、科学规范的原则，通过数据核对、</w:t>
      </w:r>
      <w:r>
        <w:rPr>
          <w:spacing w:val="9"/>
        </w:rPr>
        <w:t>目标比较、效益分析等方法进行。</w:t>
      </w:r>
    </w:p>
    <w:p w14:paraId="0300BC57">
      <w:pPr>
        <w:pStyle w:val="2"/>
        <w:spacing w:line="226" w:lineRule="auto"/>
        <w:ind w:left="684"/>
      </w:pPr>
      <w:r>
        <w:rPr>
          <w:b/>
          <w:bCs/>
          <w:spacing w:val="4"/>
        </w:rPr>
        <w:t>三是事前绩效评估开展情况。</w:t>
      </w:r>
    </w:p>
    <w:p w14:paraId="48EC00D7">
      <w:pPr>
        <w:pStyle w:val="2"/>
        <w:spacing w:before="221" w:line="357" w:lineRule="auto"/>
        <w:ind w:left="38" w:right="114" w:firstLine="638"/>
      </w:pPr>
      <w:r>
        <w:rPr>
          <w:spacing w:val="12"/>
        </w:rPr>
        <w:t>本单位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12"/>
        </w:rPr>
        <w:t>2024</w:t>
      </w:r>
      <w:r>
        <w:rPr>
          <w:rFonts w:ascii="Times New Roman" w:hAnsi="Times New Roman" w:eastAsia="Times New Roman" w:cs="Times New Roman"/>
          <w:spacing w:val="38"/>
        </w:rPr>
        <w:t xml:space="preserve"> </w:t>
      </w:r>
      <w:r>
        <w:rPr>
          <w:spacing w:val="12"/>
        </w:rPr>
        <w:t>年度未开展新增重大政策或重大项目的事</w:t>
      </w:r>
      <w:r>
        <w:rPr>
          <w:spacing w:val="3"/>
        </w:rPr>
        <w:t>前绩效评估。</w:t>
      </w:r>
    </w:p>
    <w:p w14:paraId="0A3874EC">
      <w:pPr>
        <w:spacing w:before="1" w:line="229" w:lineRule="auto"/>
        <w:ind w:left="692"/>
        <w:outlineLvl w:val="0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b/>
          <w:bCs/>
          <w:spacing w:val="2"/>
          <w:sz w:val="31"/>
          <w:szCs w:val="31"/>
        </w:rPr>
        <w:t>（二）绩效评价结果。</w:t>
      </w:r>
    </w:p>
    <w:p w14:paraId="054238ED">
      <w:pPr>
        <w:pStyle w:val="2"/>
        <w:spacing w:before="216" w:line="228" w:lineRule="auto"/>
        <w:ind w:left="681"/>
      </w:pPr>
      <w:r>
        <w:rPr>
          <w:b/>
          <w:bCs/>
          <w:spacing w:val="3"/>
        </w:rPr>
        <w:t>一是绩效自评结果。</w:t>
      </w:r>
    </w:p>
    <w:p w14:paraId="71A91753">
      <w:pPr>
        <w:pStyle w:val="2"/>
        <w:spacing w:before="219" w:line="357" w:lineRule="auto"/>
        <w:ind w:left="36" w:right="23" w:firstLine="625"/>
      </w:pPr>
      <w:r>
        <w:rPr>
          <w:rFonts w:ascii="Times New Roman" w:hAnsi="Times New Roman" w:eastAsia="Times New Roman" w:cs="Times New Roman"/>
          <w:spacing w:val="10"/>
        </w:rPr>
        <w:t>2024</w:t>
      </w:r>
      <w:r>
        <w:rPr>
          <w:rFonts w:ascii="Times New Roman" w:hAnsi="Times New Roman" w:eastAsia="Times New Roman" w:cs="Times New Roman"/>
          <w:spacing w:val="38"/>
        </w:rPr>
        <w:t xml:space="preserve"> </w:t>
      </w:r>
      <w:r>
        <w:rPr>
          <w:spacing w:val="10"/>
        </w:rPr>
        <w:t>年度本单位整体支出全年预算数</w:t>
      </w:r>
      <w:r>
        <w:rPr>
          <w:spacing w:val="-52"/>
        </w:rPr>
        <w:t xml:space="preserve"> </w:t>
      </w:r>
      <w:r>
        <w:rPr>
          <w:rFonts w:ascii="Times New Roman" w:hAnsi="Times New Roman" w:eastAsia="Times New Roman" w:cs="Times New Roman"/>
          <w:spacing w:val="10"/>
        </w:rPr>
        <w:t>637.9</w:t>
      </w:r>
      <w:r>
        <w:rPr>
          <w:rFonts w:ascii="Times New Roman" w:hAnsi="Times New Roman" w:eastAsia="Times New Roman" w:cs="Times New Roman"/>
          <w:spacing w:val="9"/>
        </w:rPr>
        <w:t>6</w:t>
      </w:r>
      <w:r>
        <w:rPr>
          <w:rFonts w:ascii="Times New Roman" w:hAnsi="Times New Roman" w:eastAsia="Times New Roman" w:cs="Times New Roman"/>
          <w:spacing w:val="31"/>
          <w:w w:val="101"/>
        </w:rPr>
        <w:t xml:space="preserve"> </w:t>
      </w:r>
      <w:r>
        <w:rPr>
          <w:spacing w:val="9"/>
        </w:rPr>
        <w:t>万元，执</w:t>
      </w:r>
      <w:r>
        <w:rPr>
          <w:spacing w:val="-5"/>
        </w:rPr>
        <w:t>行数</w:t>
      </w:r>
      <w:r>
        <w:rPr>
          <w:spacing w:val="-49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755.53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-5"/>
        </w:rPr>
        <w:t>万元，完成预算的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118.4%</w:t>
      </w:r>
      <w:r>
        <w:rPr>
          <w:spacing w:val="-5"/>
        </w:rPr>
        <w:t>，绩效自评得分</w:t>
      </w:r>
      <w:r>
        <w:rPr>
          <w:spacing w:val="-63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90</w:t>
      </w:r>
      <w:r>
        <w:rPr>
          <w:rFonts w:ascii="Times New Roman" w:hAnsi="Times New Roman" w:eastAsia="Times New Roman" w:cs="Times New Roman"/>
          <w:spacing w:val="28"/>
        </w:rPr>
        <w:t xml:space="preserve"> </w:t>
      </w:r>
      <w:r>
        <w:rPr>
          <w:spacing w:val="-5"/>
        </w:rPr>
        <w:t>分，</w:t>
      </w:r>
      <w:r>
        <w:rPr>
          <w:spacing w:val="6"/>
        </w:rPr>
        <w:t>评价等级为“优</w:t>
      </w:r>
      <w:r>
        <w:rPr>
          <w:spacing w:val="-107"/>
        </w:rPr>
        <w:t xml:space="preserve"> </w:t>
      </w:r>
      <w:r>
        <w:rPr>
          <w:spacing w:val="6"/>
        </w:rPr>
        <w:t>”。</w:t>
      </w:r>
    </w:p>
    <w:p w14:paraId="088DD696">
      <w:pPr>
        <w:pStyle w:val="2"/>
        <w:spacing w:before="1" w:line="227" w:lineRule="auto"/>
        <w:ind w:left="681"/>
      </w:pPr>
      <w:r>
        <w:rPr>
          <w:b/>
          <w:bCs/>
          <w:spacing w:val="3"/>
        </w:rPr>
        <w:t>绩效目标完成情况：</w:t>
      </w:r>
    </w:p>
    <w:p w14:paraId="5227DCBE">
      <w:pPr>
        <w:spacing w:line="227" w:lineRule="auto"/>
        <w:sectPr>
          <w:pgSz w:w="11906" w:h="16839"/>
          <w:pgMar w:top="1431" w:right="1688" w:bottom="0" w:left="1785" w:header="0" w:footer="0" w:gutter="0"/>
          <w:cols w:space="720" w:num="1"/>
        </w:sectPr>
      </w:pPr>
    </w:p>
    <w:p w14:paraId="721542F2">
      <w:pPr>
        <w:pStyle w:val="2"/>
        <w:spacing w:before="216" w:line="357" w:lineRule="auto"/>
        <w:ind w:left="53" w:right="16" w:firstLine="627"/>
      </w:pPr>
      <w:r>
        <w:rPr>
          <w:spacing w:val="8"/>
        </w:rPr>
        <w:t>一是保障了学校教育教学活动的正常开展，维持了良好</w:t>
      </w:r>
      <w:r>
        <w:rPr>
          <w:spacing w:val="1"/>
        </w:rPr>
        <w:t>的教学秩序；</w:t>
      </w:r>
    </w:p>
    <w:p w14:paraId="6AFEA901">
      <w:pPr>
        <w:pStyle w:val="2"/>
        <w:spacing w:before="1" w:line="357" w:lineRule="auto"/>
        <w:ind w:left="48" w:right="14" w:firstLine="637"/>
      </w:pPr>
      <w:r>
        <w:rPr>
          <w:spacing w:val="8"/>
        </w:rPr>
        <w:t>二是有效改善了办学条件，完成了必要的校舍维修和教</w:t>
      </w:r>
      <w:r>
        <w:rPr>
          <w:spacing w:val="2"/>
        </w:rPr>
        <w:t>学设备采购；</w:t>
      </w:r>
    </w:p>
    <w:p w14:paraId="44130E9F">
      <w:pPr>
        <w:pStyle w:val="2"/>
        <w:spacing w:before="1" w:line="356" w:lineRule="auto"/>
        <w:ind w:left="74" w:right="16" w:firstLine="610"/>
      </w:pPr>
      <w:r>
        <w:rPr>
          <w:spacing w:val="8"/>
        </w:rPr>
        <w:t>三是足额保障了包括在职、离退休、临时人员及遗属在</w:t>
      </w:r>
      <w:r>
        <w:rPr>
          <w:spacing w:val="5"/>
        </w:rPr>
        <w:t>内的各类人员经费，确保了队伍稳定。</w:t>
      </w:r>
    </w:p>
    <w:p w14:paraId="0AA2916F">
      <w:pPr>
        <w:pStyle w:val="2"/>
        <w:spacing w:before="2" w:line="228" w:lineRule="auto"/>
        <w:ind w:left="684"/>
      </w:pPr>
      <w:r>
        <w:rPr>
          <w:b/>
          <w:bCs/>
          <w:spacing w:val="4"/>
        </w:rPr>
        <w:t>发现的主要问题及原因：</w:t>
      </w:r>
    </w:p>
    <w:p w14:paraId="4D672738">
      <w:pPr>
        <w:pStyle w:val="2"/>
        <w:spacing w:before="219" w:line="357" w:lineRule="auto"/>
        <w:ind w:left="35" w:right="13" w:firstLine="645"/>
      </w:pPr>
      <w:r>
        <w:rPr>
          <w:spacing w:val="8"/>
        </w:rPr>
        <w:t>一是预算编制与实际支出存在较大偏差，主要因年中根据实际需要追加了项目资金，部分突发性支出未能在年初预</w:t>
      </w:r>
      <w:r>
        <w:rPr>
          <w:spacing w:val="3"/>
        </w:rPr>
        <w:t>算中预见；</w:t>
      </w:r>
    </w:p>
    <w:p w14:paraId="1F99CE1B">
      <w:pPr>
        <w:pStyle w:val="2"/>
        <w:spacing w:before="1" w:line="357" w:lineRule="auto"/>
        <w:ind w:left="45" w:right="14" w:firstLine="640"/>
      </w:pPr>
      <w:r>
        <w:rPr>
          <w:spacing w:val="22"/>
        </w:rPr>
        <w:t>二是部分项目资金支付进度前松后紧，均衡性</w:t>
      </w:r>
      <w:r>
        <w:rPr>
          <w:spacing w:val="21"/>
        </w:rPr>
        <w:t>有待提</w:t>
      </w:r>
      <w:r>
        <w:rPr>
          <w:spacing w:val="-12"/>
        </w:rPr>
        <w:t>高。</w:t>
      </w:r>
    </w:p>
    <w:p w14:paraId="0BBCD2D4">
      <w:pPr>
        <w:pStyle w:val="2"/>
        <w:spacing w:before="1" w:line="227" w:lineRule="auto"/>
        <w:ind w:left="682"/>
      </w:pPr>
      <w:r>
        <w:rPr>
          <w:b/>
          <w:bCs/>
          <w:spacing w:val="2"/>
        </w:rPr>
        <w:t>下一步改进措施：</w:t>
      </w:r>
    </w:p>
    <w:p w14:paraId="25895D1C">
      <w:pPr>
        <w:pStyle w:val="2"/>
        <w:spacing w:before="219" w:line="357" w:lineRule="auto"/>
        <w:ind w:left="35" w:right="13" w:firstLine="645"/>
      </w:pPr>
      <w:r>
        <w:rPr>
          <w:spacing w:val="8"/>
        </w:rPr>
        <w:t>一是强化预算前瞻性，完善项目库建设，提高预算编制</w:t>
      </w:r>
      <w:r>
        <w:rPr>
          <w:spacing w:val="2"/>
        </w:rPr>
        <w:t>精准度；</w:t>
      </w:r>
    </w:p>
    <w:p w14:paraId="42583A38">
      <w:pPr>
        <w:pStyle w:val="2"/>
        <w:spacing w:before="1" w:line="357" w:lineRule="auto"/>
        <w:ind w:left="51" w:right="16" w:firstLine="634"/>
      </w:pPr>
      <w:r>
        <w:rPr>
          <w:spacing w:val="8"/>
        </w:rPr>
        <w:t>二是加强预算执行监控，建立支出进度预警机制，</w:t>
      </w:r>
      <w:r>
        <w:rPr>
          <w:spacing w:val="7"/>
        </w:rPr>
        <w:t>促进</w:t>
      </w:r>
      <w:r>
        <w:rPr>
          <w:spacing w:val="3"/>
        </w:rPr>
        <w:t>资金支付均衡化。</w:t>
      </w:r>
    </w:p>
    <w:p w14:paraId="2BD20D11">
      <w:pPr>
        <w:pStyle w:val="2"/>
        <w:spacing w:line="227" w:lineRule="auto"/>
        <w:ind w:left="686"/>
      </w:pPr>
      <w:r>
        <w:rPr>
          <w:b/>
          <w:bCs/>
          <w:spacing w:val="3"/>
        </w:rPr>
        <w:t>二是部门评价结果。</w:t>
      </w:r>
    </w:p>
    <w:p w14:paraId="6640B5DC">
      <w:pPr>
        <w:pStyle w:val="2"/>
        <w:spacing w:before="219" w:line="226" w:lineRule="auto"/>
        <w:ind w:left="692"/>
      </w:pPr>
      <w:r>
        <w:rPr>
          <w:rFonts w:ascii="Times New Roman" w:hAnsi="Times New Roman" w:eastAsia="Times New Roman" w:cs="Times New Roman"/>
          <w:spacing w:val="4"/>
        </w:rPr>
        <w:t xml:space="preserve">1.  </w:t>
      </w:r>
      <w:r>
        <w:rPr>
          <w:spacing w:val="4"/>
        </w:rPr>
        <w:t>项目名称：生活补助</w:t>
      </w:r>
    </w:p>
    <w:p w14:paraId="077BAAA0">
      <w:pPr>
        <w:pStyle w:val="2"/>
        <w:spacing w:before="221" w:line="357" w:lineRule="auto"/>
        <w:ind w:left="35" w:right="16" w:firstLine="648"/>
      </w:pPr>
      <w:r>
        <w:rPr>
          <w:spacing w:val="10"/>
        </w:rPr>
        <w:t>全年预算数：</w:t>
      </w:r>
      <w:r>
        <w:rPr>
          <w:rFonts w:ascii="Times New Roman" w:hAnsi="Times New Roman" w:eastAsia="Times New Roman" w:cs="Times New Roman"/>
          <w:spacing w:val="10"/>
        </w:rPr>
        <w:t>0.83</w:t>
      </w:r>
      <w:r>
        <w:rPr>
          <w:rFonts w:ascii="Times New Roman" w:hAnsi="Times New Roman" w:eastAsia="Times New Roman" w:cs="Times New Roman"/>
          <w:spacing w:val="36"/>
          <w:w w:val="101"/>
        </w:rPr>
        <w:t xml:space="preserve"> </w:t>
      </w:r>
      <w:r>
        <w:rPr>
          <w:spacing w:val="10"/>
        </w:rPr>
        <w:t>万元，执行数：</w:t>
      </w:r>
      <w:r>
        <w:rPr>
          <w:rFonts w:ascii="Times New Roman" w:hAnsi="Times New Roman" w:eastAsia="Times New Roman" w:cs="Times New Roman"/>
          <w:spacing w:val="10"/>
        </w:rPr>
        <w:t>13.12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10"/>
        </w:rPr>
        <w:t>万元，完成预</w:t>
      </w:r>
      <w:r>
        <w:rPr>
          <w:spacing w:val="-2"/>
        </w:rPr>
        <w:t>算的</w:t>
      </w:r>
      <w:r>
        <w:rPr>
          <w:spacing w:val="-33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1580%</w:t>
      </w:r>
      <w:r>
        <w:rPr>
          <w:spacing w:val="-2"/>
        </w:rPr>
        <w:t>。</w:t>
      </w:r>
    </w:p>
    <w:p w14:paraId="1A44CD48">
      <w:pPr>
        <w:pStyle w:val="2"/>
        <w:spacing w:line="227" w:lineRule="auto"/>
        <w:ind w:left="677"/>
      </w:pPr>
      <w:r>
        <w:rPr>
          <w:spacing w:val="6"/>
        </w:rPr>
        <w:t>部门评价得分：</w:t>
      </w:r>
      <w:r>
        <w:rPr>
          <w:rFonts w:ascii="Times New Roman" w:hAnsi="Times New Roman" w:eastAsia="Times New Roman" w:cs="Times New Roman"/>
          <w:spacing w:val="6"/>
        </w:rPr>
        <w:t>90</w:t>
      </w:r>
      <w:r>
        <w:rPr>
          <w:rFonts w:ascii="Times New Roman" w:hAnsi="Times New Roman" w:eastAsia="Times New Roman" w:cs="Times New Roman"/>
          <w:spacing w:val="38"/>
        </w:rPr>
        <w:t xml:space="preserve"> </w:t>
      </w:r>
      <w:r>
        <w:rPr>
          <w:spacing w:val="6"/>
        </w:rPr>
        <w:t>分，评价等级为“优</w:t>
      </w:r>
      <w:r>
        <w:rPr>
          <w:spacing w:val="-110"/>
        </w:rPr>
        <w:t xml:space="preserve"> </w:t>
      </w:r>
      <w:r>
        <w:rPr>
          <w:spacing w:val="6"/>
        </w:rPr>
        <w:t>”。</w:t>
      </w:r>
    </w:p>
    <w:p w14:paraId="34785039">
      <w:pPr>
        <w:pStyle w:val="2"/>
        <w:spacing w:before="218" w:line="226" w:lineRule="auto"/>
        <w:ind w:right="16"/>
        <w:jc w:val="right"/>
      </w:pPr>
      <w:r>
        <w:rPr>
          <w:spacing w:val="8"/>
        </w:rPr>
        <w:t>发现的主要问题及原因：部分离退休人员、遗属人员对</w:t>
      </w:r>
    </w:p>
    <w:p w14:paraId="4A38F2BB">
      <w:pPr>
        <w:spacing w:line="226" w:lineRule="auto"/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584DD1F4">
      <w:pPr>
        <w:pStyle w:val="2"/>
        <w:spacing w:before="216" w:line="357" w:lineRule="auto"/>
        <w:ind w:left="36" w:right="16" w:firstLine="3"/>
      </w:pPr>
      <w:r>
        <w:rPr>
          <w:spacing w:val="8"/>
        </w:rPr>
        <w:t>补助政策的具体内容了解不够深入。原因在于政策宣传方式</w:t>
      </w:r>
      <w:r>
        <w:rPr>
          <w:spacing w:val="7"/>
        </w:rPr>
        <w:t>较为传统，覆盖面有待扩大。</w:t>
      </w:r>
    </w:p>
    <w:p w14:paraId="6827CE1B">
      <w:pPr>
        <w:pStyle w:val="2"/>
        <w:spacing w:line="357" w:lineRule="auto"/>
        <w:ind w:left="45" w:right="16" w:firstLine="636"/>
      </w:pPr>
      <w:r>
        <w:rPr>
          <w:spacing w:val="8"/>
        </w:rPr>
        <w:t>下一步改进措施：利用微信群、电话通知等多种方式加</w:t>
      </w:r>
      <w:r>
        <w:rPr>
          <w:spacing w:val="7"/>
        </w:rPr>
        <w:t>强政策解读和宣传，确保信息传递准确到位。</w:t>
      </w:r>
    </w:p>
    <w:p w14:paraId="24766A3E">
      <w:pPr>
        <w:pStyle w:val="2"/>
        <w:spacing w:before="1" w:line="226" w:lineRule="auto"/>
        <w:ind w:left="667"/>
      </w:pPr>
      <w:r>
        <w:rPr>
          <w:rFonts w:ascii="Times New Roman" w:hAnsi="Times New Roman" w:eastAsia="Times New Roman" w:cs="Times New Roman"/>
          <w:spacing w:val="8"/>
        </w:rPr>
        <w:t xml:space="preserve">3.  </w:t>
      </w:r>
      <w:r>
        <w:rPr>
          <w:spacing w:val="8"/>
        </w:rPr>
        <w:t>项目名称：义务教育生均公用经费</w:t>
      </w:r>
      <w:r>
        <w:rPr>
          <w:spacing w:val="7"/>
        </w:rPr>
        <w:t>（上级资金）</w:t>
      </w:r>
    </w:p>
    <w:p w14:paraId="5065E919">
      <w:pPr>
        <w:pStyle w:val="2"/>
        <w:spacing w:before="220" w:line="357" w:lineRule="auto"/>
        <w:ind w:left="35" w:right="13" w:firstLine="648"/>
      </w:pPr>
      <w:r>
        <w:rPr>
          <w:spacing w:val="5"/>
        </w:rPr>
        <w:t>全年预算数：</w:t>
      </w:r>
      <w:r>
        <w:rPr>
          <w:rFonts w:ascii="Times New Roman" w:hAnsi="Times New Roman" w:eastAsia="Times New Roman" w:cs="Times New Roman"/>
          <w:spacing w:val="5"/>
        </w:rPr>
        <w:t>15.51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5"/>
        </w:rPr>
        <w:t>万元，执行数：</w:t>
      </w:r>
      <w:r>
        <w:rPr>
          <w:rFonts w:ascii="Times New Roman" w:hAnsi="Times New Roman" w:eastAsia="Times New Roman" w:cs="Times New Roman"/>
          <w:spacing w:val="5"/>
        </w:rPr>
        <w:t>81.81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5"/>
        </w:rPr>
        <w:t>万元，完成预</w:t>
      </w:r>
      <w:r>
        <w:t>算的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 w:cs="Times New Roman"/>
        </w:rPr>
        <w:t>527%</w:t>
      </w:r>
      <w:r>
        <w:t>。</w:t>
      </w:r>
    </w:p>
    <w:p w14:paraId="7FFD0CBE">
      <w:pPr>
        <w:pStyle w:val="2"/>
        <w:spacing w:line="227" w:lineRule="auto"/>
        <w:ind w:left="677"/>
      </w:pPr>
      <w:r>
        <w:rPr>
          <w:spacing w:val="6"/>
        </w:rPr>
        <w:t>部门评价得分：</w:t>
      </w:r>
      <w:r>
        <w:rPr>
          <w:rFonts w:ascii="Times New Roman" w:hAnsi="Times New Roman" w:eastAsia="Times New Roman" w:cs="Times New Roman"/>
          <w:spacing w:val="6"/>
        </w:rPr>
        <w:t>95</w:t>
      </w:r>
      <w:r>
        <w:rPr>
          <w:rFonts w:ascii="Times New Roman" w:hAnsi="Times New Roman" w:eastAsia="Times New Roman" w:cs="Times New Roman"/>
          <w:spacing w:val="38"/>
        </w:rPr>
        <w:t xml:space="preserve"> </w:t>
      </w:r>
      <w:r>
        <w:rPr>
          <w:spacing w:val="6"/>
        </w:rPr>
        <w:t>分，评价等级为“优</w:t>
      </w:r>
      <w:r>
        <w:rPr>
          <w:spacing w:val="-110"/>
        </w:rPr>
        <w:t xml:space="preserve"> </w:t>
      </w:r>
      <w:r>
        <w:rPr>
          <w:spacing w:val="6"/>
        </w:rPr>
        <w:t>”。</w:t>
      </w:r>
    </w:p>
    <w:p w14:paraId="7C64DE1F">
      <w:pPr>
        <w:pStyle w:val="2"/>
        <w:spacing w:before="219" w:line="357" w:lineRule="auto"/>
        <w:ind w:left="34" w:right="16" w:firstLine="650"/>
        <w:jc w:val="both"/>
      </w:pPr>
      <w:r>
        <w:rPr>
          <w:spacing w:val="8"/>
        </w:rPr>
        <w:t>发现的主要问题及原因：部分已购置的教学设备使用效率有提升空间。原因在于设备应用培训跟进不够及时，部分</w:t>
      </w:r>
      <w:r>
        <w:rPr>
          <w:spacing w:val="6"/>
        </w:rPr>
        <w:t>教师操作不熟练。</w:t>
      </w:r>
    </w:p>
    <w:p w14:paraId="771F605F">
      <w:pPr>
        <w:pStyle w:val="2"/>
        <w:spacing w:before="3" w:line="357" w:lineRule="auto"/>
        <w:ind w:left="37" w:right="16" w:firstLine="644"/>
        <w:jc w:val="both"/>
      </w:pPr>
      <w:r>
        <w:rPr>
          <w:spacing w:val="8"/>
        </w:rPr>
        <w:t>下一步改进措施：将设备使用培训纳入常规教研活动，定期组织技能交流，并建立设备使用登记与反馈机制，切实</w:t>
      </w:r>
      <w:r>
        <w:rPr>
          <w:spacing w:val="5"/>
        </w:rPr>
        <w:t>提高设备利用率。</w:t>
      </w:r>
    </w:p>
    <w:p w14:paraId="15AD8F61">
      <w:pPr>
        <w:pStyle w:val="2"/>
        <w:spacing w:before="1" w:line="225" w:lineRule="auto"/>
        <w:ind w:left="684"/>
      </w:pPr>
      <w:r>
        <w:rPr>
          <w:b/>
          <w:bCs/>
          <w:spacing w:val="4"/>
        </w:rPr>
        <w:t>三是事前绩效评估结果。</w:t>
      </w:r>
    </w:p>
    <w:p w14:paraId="578EABFD">
      <w:pPr>
        <w:pStyle w:val="2"/>
        <w:spacing w:before="221" w:line="226" w:lineRule="auto"/>
        <w:ind w:left="677"/>
      </w:pPr>
      <w:r>
        <w:rPr>
          <w:spacing w:val="7"/>
        </w:rPr>
        <w:t>本单位未开展事前绩效评估。</w:t>
      </w:r>
    </w:p>
    <w:p w14:paraId="1B7DE380">
      <w:pPr>
        <w:pStyle w:val="2"/>
        <w:spacing w:before="220" w:line="228" w:lineRule="auto"/>
        <w:ind w:left="680"/>
        <w:outlineLvl w:val="0"/>
      </w:pPr>
      <w:r>
        <w:rPr>
          <w:b/>
          <w:bCs/>
          <w:spacing w:val="4"/>
        </w:rPr>
        <w:t>（三）评价结果应用情况。</w:t>
      </w:r>
    </w:p>
    <w:p w14:paraId="4E979E84">
      <w:pPr>
        <w:pStyle w:val="2"/>
        <w:spacing w:before="219" w:line="357" w:lineRule="auto"/>
        <w:ind w:left="20" w:right="16" w:firstLine="656"/>
      </w:pPr>
      <w:r>
        <w:rPr>
          <w:spacing w:val="12"/>
        </w:rPr>
        <w:t>根据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12"/>
        </w:rPr>
        <w:t>2024</w:t>
      </w:r>
      <w:r>
        <w:rPr>
          <w:rFonts w:ascii="Times New Roman" w:hAnsi="Times New Roman" w:eastAsia="Times New Roman" w:cs="Times New Roman"/>
          <w:spacing w:val="38"/>
        </w:rPr>
        <w:t xml:space="preserve"> </w:t>
      </w:r>
      <w:r>
        <w:rPr>
          <w:spacing w:val="12"/>
        </w:rPr>
        <w:t>年度绩效自评和部门评价结果，本单位将在</w:t>
      </w:r>
      <w:r>
        <w:rPr>
          <w:rFonts w:ascii="Times New Roman" w:hAnsi="Times New Roman" w:eastAsia="Times New Roman" w:cs="Times New Roman"/>
          <w:spacing w:val="6"/>
        </w:rPr>
        <w:t>2025</w:t>
      </w:r>
      <w:r>
        <w:rPr>
          <w:rFonts w:ascii="Times New Roman" w:hAnsi="Times New Roman" w:eastAsia="Times New Roman" w:cs="Times New Roman"/>
          <w:spacing w:val="47"/>
        </w:rPr>
        <w:t xml:space="preserve"> </w:t>
      </w:r>
      <w:r>
        <w:rPr>
          <w:spacing w:val="6"/>
        </w:rPr>
        <w:t>年度预算编制和管理中强化结果应用：</w:t>
      </w:r>
    </w:p>
    <w:p w14:paraId="10B33310">
      <w:pPr>
        <w:pStyle w:val="2"/>
        <w:spacing w:before="1" w:line="357" w:lineRule="auto"/>
        <w:ind w:left="35" w:right="16" w:firstLine="645"/>
      </w:pPr>
      <w:r>
        <w:rPr>
          <w:spacing w:val="6"/>
        </w:rPr>
        <w:t>一是优化预算安排，优先保障和延续实施像“</w:t>
      </w:r>
      <w:r>
        <w:rPr>
          <w:spacing w:val="-104"/>
        </w:rPr>
        <w:t xml:space="preserve"> </w:t>
      </w:r>
      <w:r>
        <w:rPr>
          <w:spacing w:val="6"/>
        </w:rPr>
        <w:t>生均公用</w:t>
      </w:r>
      <w:r>
        <w:rPr>
          <w:spacing w:val="3"/>
        </w:rPr>
        <w:t>经费</w:t>
      </w:r>
      <w:r>
        <w:rPr>
          <w:spacing w:val="-105"/>
        </w:rPr>
        <w:t xml:space="preserve"> </w:t>
      </w:r>
      <w:r>
        <w:rPr>
          <w:spacing w:val="3"/>
        </w:rPr>
        <w:t>”等效益显著的项目；</w:t>
      </w:r>
    </w:p>
    <w:p w14:paraId="46E15145">
      <w:pPr>
        <w:pStyle w:val="2"/>
        <w:spacing w:before="3" w:line="356" w:lineRule="auto"/>
        <w:ind w:left="36" w:right="16" w:firstLine="649"/>
      </w:pPr>
      <w:r>
        <w:rPr>
          <w:spacing w:val="8"/>
        </w:rPr>
        <w:t>二是完善管理制度，针对评价中发现的政策宣传、</w:t>
      </w:r>
      <w:r>
        <w:rPr>
          <w:spacing w:val="7"/>
        </w:rPr>
        <w:t>设备</w:t>
      </w:r>
      <w:r>
        <w:rPr>
          <w:spacing w:val="8"/>
        </w:rPr>
        <w:t>使用等问题，制定改进措施并纳入日常管理流程；</w:t>
      </w:r>
    </w:p>
    <w:p w14:paraId="7A3C7AE6">
      <w:pPr>
        <w:spacing w:line="356" w:lineRule="auto"/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39A76D96">
      <w:pPr>
        <w:pStyle w:val="2"/>
        <w:spacing w:before="215" w:line="358" w:lineRule="auto"/>
        <w:ind w:left="20" w:right="16" w:firstLine="664"/>
        <w:jc w:val="both"/>
      </w:pPr>
      <w:r>
        <w:rPr>
          <w:spacing w:val="8"/>
        </w:rPr>
        <w:t>三是加强绩效监控，将部门评价中设定的绩效指标作为</w:t>
      </w:r>
      <w:r>
        <w:rPr>
          <w:rFonts w:ascii="Times New Roman" w:hAnsi="Times New Roman" w:eastAsia="Times New Roman" w:cs="Times New Roman"/>
          <w:spacing w:val="4"/>
        </w:rPr>
        <w:t>2025</w:t>
      </w:r>
      <w:r>
        <w:rPr>
          <w:rFonts w:ascii="Times New Roman" w:hAnsi="Times New Roman" w:eastAsia="Times New Roman" w:cs="Times New Roman"/>
          <w:spacing w:val="46"/>
        </w:rPr>
        <w:t xml:space="preserve"> </w:t>
      </w:r>
      <w:r>
        <w:rPr>
          <w:spacing w:val="4"/>
        </w:rPr>
        <w:t>年预算执行监控的重要依据，确保资金使用效益持续提</w:t>
      </w:r>
      <w:r>
        <w:rPr>
          <w:spacing w:val="1"/>
        </w:rPr>
        <w:t>升。</w:t>
      </w:r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22E0C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1197</Words>
  <Characters>1280</Characters>
  <TotalTime>0</TotalTime>
  <ScaleCrop>false</ScaleCrop>
  <LinksUpToDate>false</LinksUpToDate>
  <CharactersWithSpaces>1330</CharactersWithSpaces>
  <Application>WPS Office_12.1.0.23125_F1E327BC-269C-435d-A152-05C5408002CA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2025-10-29T09:58:00Z</dcterms:created>
  <dc:creator>Administrator</dc:creator>
  <cp:lastModifiedBy>摇曳</cp:lastModifiedBy>
  <dcterms:modified xsi:type="dcterms:W3CDTF">2025-11-13T08:14:30Z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2025-11-13T16:13:33Z</vt:filetime>
  </property>
  <property fmtid="{D5CDD505-2E9C-101B-9397-08002B2CF9AE}" pid="4" name="KSOProductBuildVer">
    <vt:lpwstr>2052-12.1.0.23125</vt:lpwstr>
  </property>
  <property fmtid="{D5CDD505-2E9C-101B-9397-08002B2CF9AE}" pid="5" name="ICV">
    <vt:lpwstr>8E1B0C87E06D446EB54EF67869DF059E_13</vt:lpwstr>
  </property>
</Properties>
</file>