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E230">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6CC8A945">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w:t>
      </w:r>
      <w:r>
        <w:rPr>
          <w:rFonts w:ascii="宋体" w:hAnsi="宋体"/>
          <w:b/>
          <w:w w:val="85"/>
          <w:sz w:val="36"/>
          <w:szCs w:val="36"/>
        </w:rPr>
        <w:t>部门（单位）整体支出绩效</w:t>
      </w:r>
      <w:r>
        <w:rPr>
          <w:rFonts w:hint="eastAsia" w:ascii="宋体" w:hAnsi="宋体"/>
          <w:b/>
          <w:w w:val="85"/>
          <w:sz w:val="36"/>
          <w:szCs w:val="36"/>
        </w:rPr>
        <w:t>自评表</w:t>
      </w:r>
    </w:p>
    <w:tbl>
      <w:tblPr>
        <w:tblStyle w:val="6"/>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93"/>
        <w:gridCol w:w="666"/>
      </w:tblGrid>
      <w:tr w14:paraId="720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blCellSpacing w:w="0" w:type="dxa"/>
          <w:jc w:val="center"/>
        </w:trPr>
        <w:tc>
          <w:tcPr>
            <w:tcW w:w="1079" w:type="dxa"/>
            <w:noWrap w:val="0"/>
            <w:tcMar>
              <w:top w:w="0" w:type="dxa"/>
              <w:left w:w="105" w:type="dxa"/>
              <w:bottom w:w="0" w:type="dxa"/>
              <w:right w:w="105" w:type="dxa"/>
            </w:tcMar>
            <w:vAlign w:val="center"/>
          </w:tcPr>
          <w:p w14:paraId="39ED9D96">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649CB8DD">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1DC3C99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5B84AF5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8332E4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1A33FC6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93" w:type="dxa"/>
            <w:noWrap w:val="0"/>
            <w:tcMar>
              <w:top w:w="0" w:type="dxa"/>
              <w:left w:w="105" w:type="dxa"/>
              <w:bottom w:w="0" w:type="dxa"/>
              <w:right w:w="105" w:type="dxa"/>
            </w:tcMar>
            <w:vAlign w:val="center"/>
          </w:tcPr>
          <w:p w14:paraId="72082AE9">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666" w:type="dxa"/>
            <w:noWrap w:val="0"/>
            <w:tcMar>
              <w:top w:w="0" w:type="dxa"/>
              <w:left w:w="105" w:type="dxa"/>
              <w:bottom w:w="0" w:type="dxa"/>
              <w:right w:w="105" w:type="dxa"/>
            </w:tcMar>
            <w:vAlign w:val="center"/>
          </w:tcPr>
          <w:p w14:paraId="08541D1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F4D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4D9D348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2D1C1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EDCC6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710D3CE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F5B41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5F61450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88F3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782CE8A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93" w:type="dxa"/>
            <w:noWrap w:val="0"/>
            <w:tcMar>
              <w:top w:w="0" w:type="dxa"/>
              <w:left w:w="105" w:type="dxa"/>
              <w:bottom w:w="0" w:type="dxa"/>
              <w:right w:w="105" w:type="dxa"/>
            </w:tcMar>
            <w:vAlign w:val="center"/>
          </w:tcPr>
          <w:p w14:paraId="094707D7">
            <w:pPr>
              <w:jc w:val="center"/>
              <w:rPr>
                <w:rFonts w:hint="eastAsia" w:ascii="仿宋_GB2312" w:hAnsi="仿宋_GB2312" w:eastAsia="仿宋_GB2312" w:cs="仿宋_GB2312"/>
                <w:sz w:val="18"/>
                <w:szCs w:val="18"/>
              </w:rPr>
            </w:pPr>
            <w:r>
              <w:rPr>
                <w:rFonts w:hint="eastAsia" w:eastAsia="楷体_GB2312"/>
                <w:sz w:val="18"/>
                <w:szCs w:val="18"/>
              </w:rPr>
              <w:t>已</w:t>
            </w:r>
            <w:r>
              <w:rPr>
                <w:rFonts w:eastAsia="楷体_GB2312"/>
                <w:sz w:val="18"/>
                <w:szCs w:val="18"/>
              </w:rPr>
              <w:t>制定年度预算整体绩效目标；绩效目标制定依据充分，与部门履职、年度工作任务相符；绩效目标清晰、细化、可衡量</w:t>
            </w:r>
          </w:p>
        </w:tc>
        <w:tc>
          <w:tcPr>
            <w:tcW w:w="666" w:type="dxa"/>
            <w:noWrap w:val="0"/>
            <w:tcMar>
              <w:top w:w="0" w:type="dxa"/>
              <w:left w:w="105" w:type="dxa"/>
              <w:bottom w:w="0" w:type="dxa"/>
              <w:right w:w="105" w:type="dxa"/>
            </w:tcMar>
            <w:vAlign w:val="center"/>
          </w:tcPr>
          <w:p w14:paraId="342391F8">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269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74F86F22">
            <w:pPr>
              <w:jc w:val="center"/>
              <w:rPr>
                <w:rFonts w:hint="eastAsia" w:ascii="仿宋_GB2312" w:hAnsi="仿宋_GB2312" w:eastAsia="仿宋_GB2312" w:cs="仿宋_GB2312"/>
                <w:sz w:val="18"/>
                <w:szCs w:val="18"/>
              </w:rPr>
            </w:pPr>
          </w:p>
        </w:tc>
        <w:tc>
          <w:tcPr>
            <w:tcW w:w="1179" w:type="dxa"/>
            <w:vMerge w:val="continue"/>
            <w:noWrap w:val="0"/>
            <w:vAlign w:val="center"/>
          </w:tcPr>
          <w:p w14:paraId="163A1A3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CEBA2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10917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423A93D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5092E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79AE7C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54AC45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93" w:type="dxa"/>
            <w:noWrap w:val="0"/>
            <w:tcMar>
              <w:top w:w="0" w:type="dxa"/>
              <w:left w:w="105" w:type="dxa"/>
              <w:bottom w:w="0" w:type="dxa"/>
              <w:right w:w="105" w:type="dxa"/>
            </w:tcMar>
            <w:vAlign w:val="center"/>
          </w:tcPr>
          <w:p w14:paraId="44BBA781">
            <w:pPr>
              <w:jc w:val="center"/>
              <w:rPr>
                <w:rFonts w:hint="eastAsia" w:ascii="仿宋_GB2312" w:hAnsi="仿宋_GB2312" w:eastAsia="仿宋_GB2312" w:cs="仿宋_GB2312"/>
                <w:sz w:val="18"/>
                <w:szCs w:val="18"/>
              </w:rPr>
            </w:pPr>
            <w:r>
              <w:rPr>
                <w:rFonts w:eastAsia="楷体_GB2312"/>
                <w:sz w:val="18"/>
                <w:szCs w:val="18"/>
              </w:rPr>
              <w:t>科学、合理设立了项目绩效目标；目标明确；细化；量化。</w:t>
            </w:r>
          </w:p>
        </w:tc>
        <w:tc>
          <w:tcPr>
            <w:tcW w:w="666" w:type="dxa"/>
            <w:noWrap w:val="0"/>
            <w:tcMar>
              <w:top w:w="0" w:type="dxa"/>
              <w:left w:w="105" w:type="dxa"/>
              <w:bottom w:w="0" w:type="dxa"/>
              <w:right w:w="105" w:type="dxa"/>
            </w:tcMar>
            <w:vAlign w:val="center"/>
          </w:tcPr>
          <w:p w14:paraId="3277F9CC">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1D45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056BFB85">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95B43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6EDC9F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0E176B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5BE310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837892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EC6232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2887C9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B69E6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E71D7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7F881E2A">
            <w:pPr>
              <w:jc w:val="center"/>
              <w:rPr>
                <w:rFonts w:hint="default" w:ascii="仿宋_GB2312" w:hAnsi="仿宋_GB2312" w:eastAsia="仿宋_GB2312" w:cs="仿宋_GB2312"/>
                <w:color w:val="0000FF"/>
                <w:sz w:val="18"/>
                <w:szCs w:val="18"/>
                <w:lang w:val="en-US" w:eastAsia="zh-CN"/>
              </w:rPr>
            </w:pPr>
            <w:r>
              <w:rPr>
                <w:rFonts w:hint="eastAsia" w:ascii="仿宋_GB2312" w:hAnsi="仿宋_GB2312" w:eastAsia="仿宋_GB2312" w:cs="仿宋_GB2312"/>
                <w:color w:val="auto"/>
                <w:sz w:val="18"/>
                <w:szCs w:val="18"/>
                <w:lang w:val="en-US" w:eastAsia="zh-CN"/>
              </w:rPr>
              <w:t>19/19=100%</w:t>
            </w:r>
          </w:p>
        </w:tc>
        <w:tc>
          <w:tcPr>
            <w:tcW w:w="666" w:type="dxa"/>
            <w:noWrap w:val="0"/>
            <w:tcMar>
              <w:top w:w="0" w:type="dxa"/>
              <w:left w:w="105" w:type="dxa"/>
              <w:bottom w:w="0" w:type="dxa"/>
              <w:right w:w="105" w:type="dxa"/>
            </w:tcMar>
            <w:vAlign w:val="center"/>
          </w:tcPr>
          <w:p w14:paraId="374EEDD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30E0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D784F46">
            <w:pPr>
              <w:jc w:val="center"/>
              <w:rPr>
                <w:rFonts w:hint="eastAsia" w:ascii="仿宋_GB2312" w:hAnsi="仿宋_GB2312" w:eastAsia="仿宋_GB2312" w:cs="仿宋_GB2312"/>
                <w:sz w:val="18"/>
                <w:szCs w:val="18"/>
              </w:rPr>
            </w:pPr>
          </w:p>
        </w:tc>
        <w:tc>
          <w:tcPr>
            <w:tcW w:w="1179" w:type="dxa"/>
            <w:vMerge w:val="continue"/>
            <w:noWrap w:val="0"/>
            <w:vAlign w:val="center"/>
          </w:tcPr>
          <w:p w14:paraId="384DC2D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6E195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23B183D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E479E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3B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1C8451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64DE67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6AF1AC5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666" w:type="dxa"/>
            <w:noWrap w:val="0"/>
            <w:tcMar>
              <w:top w:w="0" w:type="dxa"/>
              <w:left w:w="105" w:type="dxa"/>
              <w:bottom w:w="0" w:type="dxa"/>
              <w:right w:w="105" w:type="dxa"/>
            </w:tcMar>
            <w:vAlign w:val="center"/>
          </w:tcPr>
          <w:p w14:paraId="3AFD71E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7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0D458CC2">
            <w:pPr>
              <w:jc w:val="center"/>
              <w:rPr>
                <w:rFonts w:hint="eastAsia" w:ascii="仿宋_GB2312" w:hAnsi="仿宋_GB2312" w:eastAsia="仿宋_GB2312" w:cs="仿宋_GB2312"/>
                <w:sz w:val="18"/>
                <w:szCs w:val="18"/>
              </w:rPr>
            </w:pPr>
          </w:p>
        </w:tc>
        <w:tc>
          <w:tcPr>
            <w:tcW w:w="1179" w:type="dxa"/>
            <w:vMerge w:val="continue"/>
            <w:noWrap w:val="0"/>
            <w:vAlign w:val="center"/>
          </w:tcPr>
          <w:p w14:paraId="4A1C1FF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C3E82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035E37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DE5F26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676DEA9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8675C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8617B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0F476E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93" w:type="dxa"/>
            <w:noWrap w:val="0"/>
            <w:tcMar>
              <w:top w:w="0" w:type="dxa"/>
              <w:left w:w="105" w:type="dxa"/>
              <w:bottom w:w="0" w:type="dxa"/>
              <w:right w:w="105" w:type="dxa"/>
            </w:tcMar>
            <w:vAlign w:val="center"/>
          </w:tcPr>
          <w:p w14:paraId="10906BF5">
            <w:pPr>
              <w:jc w:val="center"/>
              <w:rPr>
                <w:rFonts w:hint="eastAsia" w:ascii="仿宋_GB2312" w:hAnsi="仿宋_GB2312" w:eastAsia="仿宋_GB2312" w:cs="仿宋_GB2312"/>
                <w:sz w:val="18"/>
                <w:szCs w:val="18"/>
              </w:rPr>
            </w:pPr>
            <w:r>
              <w:rPr>
                <w:rFonts w:hint="eastAsia" w:eastAsia="楷体_GB2312"/>
                <w:sz w:val="18"/>
                <w:szCs w:val="18"/>
                <w:lang w:val="en-US" w:eastAsia="zh-CN"/>
              </w:rPr>
              <w:t>2024年没有政府采购项目</w:t>
            </w:r>
          </w:p>
        </w:tc>
        <w:tc>
          <w:tcPr>
            <w:tcW w:w="666" w:type="dxa"/>
            <w:noWrap w:val="0"/>
            <w:tcMar>
              <w:top w:w="0" w:type="dxa"/>
              <w:left w:w="105" w:type="dxa"/>
              <w:bottom w:w="0" w:type="dxa"/>
              <w:right w:w="105" w:type="dxa"/>
            </w:tcMar>
            <w:vAlign w:val="center"/>
          </w:tcPr>
          <w:p w14:paraId="695C1E3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0D6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7423CE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33D661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3F944D5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494C4FC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CB65BD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734F4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232FA4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89BA01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3FB98B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7C06F7A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2DAA0A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57B81FF5">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93" w:type="dxa"/>
            <w:noWrap w:val="0"/>
            <w:tcMar>
              <w:top w:w="0" w:type="dxa"/>
              <w:left w:w="105" w:type="dxa"/>
              <w:bottom w:w="0" w:type="dxa"/>
              <w:right w:w="105" w:type="dxa"/>
            </w:tcMar>
            <w:vAlign w:val="center"/>
          </w:tcPr>
          <w:p w14:paraId="3FA31DE0">
            <w:pPr>
              <w:jc w:val="center"/>
              <w:rPr>
                <w:rFonts w:hint="default" w:ascii="仿宋_GB2312" w:hAnsi="仿宋_GB2312" w:eastAsia="仿宋_GB2312" w:cs="仿宋_GB2312"/>
                <w:sz w:val="18"/>
                <w:szCs w:val="18"/>
                <w:lang w:val="en-US" w:eastAsia="zh-CN"/>
              </w:rPr>
            </w:pPr>
            <w:r>
              <w:rPr>
                <w:rFonts w:hint="eastAsia" w:ascii="Arial" w:hAnsi="Arial" w:eastAsia="仿宋_GB2312" w:cs="Arial"/>
                <w:sz w:val="18"/>
                <w:szCs w:val="18"/>
                <w:lang w:val="en-US" w:eastAsia="zh-CN"/>
              </w:rPr>
              <w:t>79.51/82.83*100</w:t>
            </w:r>
            <w:r>
              <w:rPr>
                <w:rFonts w:hint="eastAsia" w:ascii="仿宋_GB2312" w:hAnsi="仿宋_GB2312" w:eastAsia="仿宋_GB2312" w:cs="仿宋_GB2312"/>
                <w:sz w:val="18"/>
                <w:szCs w:val="18"/>
                <w:lang w:val="en-US" w:eastAsia="zh-CN"/>
              </w:rPr>
              <w:t>=96%</w:t>
            </w:r>
          </w:p>
        </w:tc>
        <w:tc>
          <w:tcPr>
            <w:tcW w:w="666" w:type="dxa"/>
            <w:noWrap w:val="0"/>
            <w:tcMar>
              <w:top w:w="0" w:type="dxa"/>
              <w:left w:w="105" w:type="dxa"/>
              <w:bottom w:w="0" w:type="dxa"/>
              <w:right w:w="105" w:type="dxa"/>
            </w:tcMar>
            <w:vAlign w:val="center"/>
          </w:tcPr>
          <w:p w14:paraId="5C4DCA9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5929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4E2799E5">
            <w:pPr>
              <w:jc w:val="center"/>
              <w:rPr>
                <w:rFonts w:hint="eastAsia" w:ascii="仿宋_GB2312" w:hAnsi="仿宋_GB2312" w:eastAsia="仿宋_GB2312" w:cs="仿宋_GB2312"/>
                <w:sz w:val="18"/>
                <w:szCs w:val="18"/>
              </w:rPr>
            </w:pPr>
          </w:p>
        </w:tc>
        <w:tc>
          <w:tcPr>
            <w:tcW w:w="1179" w:type="dxa"/>
            <w:vMerge w:val="continue"/>
            <w:noWrap w:val="0"/>
            <w:vAlign w:val="center"/>
          </w:tcPr>
          <w:p w14:paraId="176867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BBC588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E045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7281C37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7BD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0D2A805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0AA74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57BA4BF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2F6939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93" w:type="dxa"/>
            <w:noWrap w:val="0"/>
            <w:tcMar>
              <w:top w:w="0" w:type="dxa"/>
              <w:left w:w="105" w:type="dxa"/>
              <w:bottom w:w="0" w:type="dxa"/>
              <w:right w:w="105" w:type="dxa"/>
            </w:tcMar>
            <w:vAlign w:val="center"/>
          </w:tcPr>
          <w:p w14:paraId="2EC5A787">
            <w:pPr>
              <w:ind w:right="238" w:rightChars="119"/>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无预算调整数</w:t>
            </w:r>
          </w:p>
        </w:tc>
        <w:tc>
          <w:tcPr>
            <w:tcW w:w="666" w:type="dxa"/>
            <w:noWrap w:val="0"/>
            <w:tcMar>
              <w:top w:w="0" w:type="dxa"/>
              <w:left w:w="105" w:type="dxa"/>
              <w:bottom w:w="0" w:type="dxa"/>
              <w:right w:w="105" w:type="dxa"/>
            </w:tcMar>
            <w:vAlign w:val="center"/>
          </w:tcPr>
          <w:p w14:paraId="66D381E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31A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333245DE">
            <w:pPr>
              <w:jc w:val="center"/>
              <w:rPr>
                <w:rFonts w:hint="eastAsia" w:ascii="仿宋_GB2312" w:hAnsi="仿宋_GB2312" w:eastAsia="仿宋_GB2312" w:cs="仿宋_GB2312"/>
                <w:sz w:val="18"/>
                <w:szCs w:val="18"/>
              </w:rPr>
            </w:pPr>
          </w:p>
        </w:tc>
        <w:tc>
          <w:tcPr>
            <w:tcW w:w="1179" w:type="dxa"/>
            <w:vMerge w:val="continue"/>
            <w:noWrap w:val="0"/>
            <w:vAlign w:val="center"/>
          </w:tcPr>
          <w:p w14:paraId="6D0D0EC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06206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508E43C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7A8BEB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6D67EA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5028D5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4C178D86">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78.04/8.93=8.74</w:t>
            </w:r>
          </w:p>
        </w:tc>
        <w:tc>
          <w:tcPr>
            <w:tcW w:w="666" w:type="dxa"/>
            <w:noWrap w:val="0"/>
            <w:tcMar>
              <w:top w:w="0" w:type="dxa"/>
              <w:left w:w="105" w:type="dxa"/>
              <w:bottom w:w="0" w:type="dxa"/>
              <w:right w:w="105" w:type="dxa"/>
            </w:tcMar>
            <w:vAlign w:val="center"/>
          </w:tcPr>
          <w:p w14:paraId="7B5F912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6502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3F688E63">
            <w:pPr>
              <w:jc w:val="center"/>
              <w:rPr>
                <w:rFonts w:hint="eastAsia" w:ascii="仿宋_GB2312" w:hAnsi="仿宋_GB2312" w:eastAsia="仿宋_GB2312" w:cs="仿宋_GB2312"/>
                <w:sz w:val="18"/>
                <w:szCs w:val="18"/>
              </w:rPr>
            </w:pPr>
          </w:p>
        </w:tc>
        <w:tc>
          <w:tcPr>
            <w:tcW w:w="1179" w:type="dxa"/>
            <w:vMerge w:val="continue"/>
            <w:noWrap w:val="0"/>
            <w:vAlign w:val="center"/>
          </w:tcPr>
          <w:p w14:paraId="6603FAA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99BCAC">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7B3E9D6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D14E54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EBC86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D1668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3EECE69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无三公经费</w:t>
            </w:r>
          </w:p>
        </w:tc>
        <w:tc>
          <w:tcPr>
            <w:tcW w:w="666" w:type="dxa"/>
            <w:noWrap w:val="0"/>
            <w:tcMar>
              <w:top w:w="0" w:type="dxa"/>
              <w:left w:w="105" w:type="dxa"/>
              <w:bottom w:w="0" w:type="dxa"/>
              <w:right w:w="105" w:type="dxa"/>
            </w:tcMar>
            <w:vAlign w:val="center"/>
          </w:tcPr>
          <w:p w14:paraId="19CE062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26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B391D63">
            <w:pPr>
              <w:jc w:val="center"/>
              <w:rPr>
                <w:rFonts w:hint="eastAsia" w:ascii="仿宋_GB2312" w:hAnsi="仿宋_GB2312" w:eastAsia="仿宋_GB2312" w:cs="仿宋_GB2312"/>
                <w:sz w:val="18"/>
                <w:szCs w:val="18"/>
              </w:rPr>
            </w:pPr>
          </w:p>
        </w:tc>
        <w:tc>
          <w:tcPr>
            <w:tcW w:w="1179" w:type="dxa"/>
            <w:vMerge w:val="continue"/>
            <w:noWrap w:val="0"/>
            <w:vAlign w:val="center"/>
          </w:tcPr>
          <w:p w14:paraId="23CF099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0DB469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335D29B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7459A6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EC59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FF8E2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3CE09FD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CA1011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36B98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93" w:type="dxa"/>
            <w:shd w:val="clear" w:color="auto" w:fill="auto"/>
            <w:noWrap w:val="0"/>
            <w:tcMar>
              <w:top w:w="0" w:type="dxa"/>
              <w:left w:w="105" w:type="dxa"/>
              <w:bottom w:w="0" w:type="dxa"/>
              <w:right w:w="105" w:type="dxa"/>
            </w:tcMar>
            <w:vAlign w:val="center"/>
          </w:tcPr>
          <w:p w14:paraId="522FBA63">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2024年没有政府采购项目</w:t>
            </w:r>
          </w:p>
        </w:tc>
        <w:tc>
          <w:tcPr>
            <w:tcW w:w="666" w:type="dxa"/>
            <w:noWrap w:val="0"/>
            <w:tcMar>
              <w:top w:w="0" w:type="dxa"/>
              <w:left w:w="105" w:type="dxa"/>
              <w:bottom w:w="0" w:type="dxa"/>
              <w:right w:w="105" w:type="dxa"/>
            </w:tcMar>
            <w:vAlign w:val="center"/>
          </w:tcPr>
          <w:p w14:paraId="7F3EB66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0F5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4B99D77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79E7C1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FF872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716A72CB">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C167D0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2A3969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E0C1C4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328711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93" w:type="dxa"/>
            <w:shd w:val="clear" w:color="auto" w:fill="auto"/>
            <w:noWrap w:val="0"/>
            <w:tcMar>
              <w:top w:w="0" w:type="dxa"/>
              <w:left w:w="105" w:type="dxa"/>
              <w:bottom w:w="0" w:type="dxa"/>
              <w:right w:w="105" w:type="dxa"/>
            </w:tcMar>
            <w:vAlign w:val="center"/>
          </w:tcPr>
          <w:p w14:paraId="47E020C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资金管理制度健全</w:t>
            </w:r>
          </w:p>
        </w:tc>
        <w:tc>
          <w:tcPr>
            <w:tcW w:w="666" w:type="dxa"/>
            <w:vMerge w:val="restart"/>
            <w:noWrap w:val="0"/>
            <w:tcMar>
              <w:top w:w="0" w:type="dxa"/>
              <w:left w:w="105" w:type="dxa"/>
              <w:bottom w:w="0" w:type="dxa"/>
              <w:right w:w="105" w:type="dxa"/>
            </w:tcMar>
            <w:vAlign w:val="center"/>
          </w:tcPr>
          <w:p w14:paraId="14C47C7E">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6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5DF65B67">
            <w:pPr>
              <w:jc w:val="center"/>
              <w:rPr>
                <w:rFonts w:hint="eastAsia" w:ascii="仿宋_GB2312" w:hAnsi="仿宋_GB2312" w:eastAsia="仿宋_GB2312" w:cs="仿宋_GB2312"/>
                <w:sz w:val="18"/>
                <w:szCs w:val="18"/>
              </w:rPr>
            </w:pPr>
          </w:p>
        </w:tc>
        <w:tc>
          <w:tcPr>
            <w:tcW w:w="1179" w:type="dxa"/>
            <w:vMerge w:val="continue"/>
            <w:noWrap w:val="0"/>
            <w:vAlign w:val="center"/>
          </w:tcPr>
          <w:p w14:paraId="0780A43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17F60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0CDB45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2E1E4FE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D31BE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130354E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93" w:type="dxa"/>
            <w:noWrap w:val="0"/>
            <w:tcMar>
              <w:top w:w="0" w:type="dxa"/>
              <w:left w:w="105" w:type="dxa"/>
              <w:bottom w:w="0" w:type="dxa"/>
              <w:right w:w="105" w:type="dxa"/>
            </w:tcMar>
            <w:vAlign w:val="center"/>
          </w:tcPr>
          <w:p w14:paraId="4DEAEEB7">
            <w:pPr>
              <w:jc w:val="center"/>
              <w:rPr>
                <w:rFonts w:hint="eastAsia" w:ascii="仿宋_GB2312" w:hAnsi="仿宋_GB2312" w:eastAsia="仿宋_GB2312" w:cs="仿宋_GB2312"/>
                <w:sz w:val="18"/>
                <w:szCs w:val="18"/>
              </w:rPr>
            </w:pPr>
            <w:r>
              <w:rPr>
                <w:rFonts w:hint="eastAsia" w:eastAsia="楷体_GB2312"/>
                <w:sz w:val="18"/>
                <w:szCs w:val="18"/>
                <w:lang w:eastAsia="zh-CN"/>
              </w:rPr>
              <w:t>资金使用合规</w:t>
            </w:r>
          </w:p>
        </w:tc>
        <w:tc>
          <w:tcPr>
            <w:tcW w:w="666" w:type="dxa"/>
            <w:vMerge w:val="continue"/>
            <w:noWrap w:val="0"/>
            <w:vAlign w:val="center"/>
          </w:tcPr>
          <w:p w14:paraId="1449A157">
            <w:pPr>
              <w:jc w:val="center"/>
              <w:rPr>
                <w:rFonts w:hint="eastAsia" w:ascii="仿宋_GB2312" w:hAnsi="仿宋_GB2312" w:eastAsia="仿宋_GB2312" w:cs="仿宋_GB2312"/>
              </w:rPr>
            </w:pPr>
          </w:p>
        </w:tc>
      </w:tr>
      <w:tr w14:paraId="1F1E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15330AD7">
            <w:pPr>
              <w:jc w:val="center"/>
              <w:rPr>
                <w:rFonts w:hint="eastAsia" w:ascii="仿宋_GB2312" w:hAnsi="仿宋_GB2312" w:eastAsia="仿宋_GB2312" w:cs="仿宋_GB2312"/>
                <w:sz w:val="18"/>
                <w:szCs w:val="18"/>
              </w:rPr>
            </w:pPr>
          </w:p>
        </w:tc>
        <w:tc>
          <w:tcPr>
            <w:tcW w:w="1179" w:type="dxa"/>
            <w:vMerge w:val="continue"/>
            <w:noWrap w:val="0"/>
            <w:vAlign w:val="center"/>
          </w:tcPr>
          <w:p w14:paraId="6BB0E7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615F81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E3FC0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3433BF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43151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1BA23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93" w:type="dxa"/>
            <w:shd w:val="clear" w:color="auto" w:fill="auto"/>
            <w:noWrap w:val="0"/>
            <w:tcMar>
              <w:top w:w="0" w:type="dxa"/>
              <w:left w:w="105" w:type="dxa"/>
              <w:bottom w:w="0" w:type="dxa"/>
              <w:right w:w="105" w:type="dxa"/>
            </w:tcMar>
            <w:vAlign w:val="center"/>
          </w:tcPr>
          <w:p w14:paraId="422AC3F6">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资金使用合理</w:t>
            </w:r>
          </w:p>
        </w:tc>
        <w:tc>
          <w:tcPr>
            <w:tcW w:w="666" w:type="dxa"/>
            <w:noWrap w:val="0"/>
            <w:tcMar>
              <w:top w:w="0" w:type="dxa"/>
              <w:left w:w="105" w:type="dxa"/>
              <w:bottom w:w="0" w:type="dxa"/>
              <w:right w:w="105" w:type="dxa"/>
            </w:tcMar>
            <w:vAlign w:val="center"/>
          </w:tcPr>
          <w:p w14:paraId="7170D63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D2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74E6945">
            <w:pPr>
              <w:jc w:val="center"/>
              <w:rPr>
                <w:rFonts w:hint="eastAsia" w:ascii="仿宋_GB2312" w:hAnsi="仿宋_GB2312" w:eastAsia="仿宋_GB2312" w:cs="仿宋_GB2312"/>
                <w:sz w:val="18"/>
                <w:szCs w:val="18"/>
              </w:rPr>
            </w:pPr>
          </w:p>
        </w:tc>
        <w:tc>
          <w:tcPr>
            <w:tcW w:w="1179" w:type="dxa"/>
            <w:vMerge w:val="continue"/>
            <w:noWrap w:val="0"/>
            <w:vAlign w:val="center"/>
          </w:tcPr>
          <w:p w14:paraId="73B172A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761560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41C92E5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5464A2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F35A8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1A69332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93" w:type="dxa"/>
            <w:shd w:val="clear" w:color="auto" w:fill="auto"/>
            <w:noWrap w:val="0"/>
            <w:tcMar>
              <w:top w:w="0" w:type="dxa"/>
              <w:left w:w="105" w:type="dxa"/>
              <w:bottom w:w="0" w:type="dxa"/>
              <w:right w:w="105" w:type="dxa"/>
            </w:tcMar>
            <w:vAlign w:val="center"/>
          </w:tcPr>
          <w:p w14:paraId="734847D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全部整改</w:t>
            </w:r>
          </w:p>
        </w:tc>
        <w:tc>
          <w:tcPr>
            <w:tcW w:w="666" w:type="dxa"/>
            <w:noWrap w:val="0"/>
            <w:tcMar>
              <w:top w:w="0" w:type="dxa"/>
              <w:left w:w="105" w:type="dxa"/>
              <w:bottom w:w="0" w:type="dxa"/>
              <w:right w:w="105" w:type="dxa"/>
            </w:tcMar>
            <w:vAlign w:val="center"/>
          </w:tcPr>
          <w:p w14:paraId="4666736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DAB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0AFEAB7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88A10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B0A152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65E2D08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3D2FE6A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38A4BE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93" w:type="dxa"/>
            <w:shd w:val="clear" w:color="auto" w:fill="auto"/>
            <w:noWrap w:val="0"/>
            <w:tcMar>
              <w:top w:w="0" w:type="dxa"/>
              <w:left w:w="105" w:type="dxa"/>
              <w:bottom w:w="0" w:type="dxa"/>
              <w:right w:w="105" w:type="dxa"/>
            </w:tcMar>
            <w:vAlign w:val="center"/>
          </w:tcPr>
          <w:p w14:paraId="2B82868F">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资产管理制度健全，合法合规，执行到位</w:t>
            </w:r>
          </w:p>
        </w:tc>
        <w:tc>
          <w:tcPr>
            <w:tcW w:w="666" w:type="dxa"/>
            <w:noWrap w:val="0"/>
            <w:tcMar>
              <w:top w:w="0" w:type="dxa"/>
              <w:left w:w="105" w:type="dxa"/>
              <w:bottom w:w="0" w:type="dxa"/>
              <w:right w:w="105" w:type="dxa"/>
            </w:tcMar>
            <w:vAlign w:val="center"/>
          </w:tcPr>
          <w:p w14:paraId="295DD51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2CC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862B5CA">
            <w:pPr>
              <w:jc w:val="center"/>
              <w:rPr>
                <w:rFonts w:hint="eastAsia" w:ascii="仿宋_GB2312" w:hAnsi="仿宋_GB2312" w:eastAsia="仿宋_GB2312" w:cs="仿宋_GB2312"/>
                <w:sz w:val="18"/>
                <w:szCs w:val="18"/>
              </w:rPr>
            </w:pPr>
          </w:p>
        </w:tc>
        <w:tc>
          <w:tcPr>
            <w:tcW w:w="1179" w:type="dxa"/>
            <w:vMerge w:val="continue"/>
            <w:noWrap w:val="0"/>
            <w:vAlign w:val="center"/>
          </w:tcPr>
          <w:p w14:paraId="2E9866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9B224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64D0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89564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D334B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A4779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93" w:type="dxa"/>
            <w:shd w:val="clear" w:color="auto" w:fill="auto"/>
            <w:noWrap w:val="0"/>
            <w:tcMar>
              <w:top w:w="0" w:type="dxa"/>
              <w:left w:w="105" w:type="dxa"/>
              <w:bottom w:w="0" w:type="dxa"/>
              <w:right w:w="105" w:type="dxa"/>
            </w:tcMar>
            <w:vAlign w:val="center"/>
          </w:tcPr>
          <w:p w14:paraId="15DA519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资产保存完整</w:t>
            </w:r>
          </w:p>
        </w:tc>
        <w:tc>
          <w:tcPr>
            <w:tcW w:w="666" w:type="dxa"/>
            <w:noWrap w:val="0"/>
            <w:tcMar>
              <w:top w:w="0" w:type="dxa"/>
              <w:left w:w="105" w:type="dxa"/>
              <w:bottom w:w="0" w:type="dxa"/>
              <w:right w:w="105" w:type="dxa"/>
            </w:tcMar>
            <w:vAlign w:val="center"/>
          </w:tcPr>
          <w:p w14:paraId="458CAEB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52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8014734">
            <w:pPr>
              <w:jc w:val="center"/>
              <w:rPr>
                <w:rFonts w:hint="eastAsia" w:ascii="仿宋_GB2312" w:hAnsi="仿宋_GB2312" w:eastAsia="仿宋_GB2312" w:cs="仿宋_GB2312"/>
                <w:sz w:val="18"/>
                <w:szCs w:val="18"/>
              </w:rPr>
            </w:pPr>
          </w:p>
        </w:tc>
        <w:tc>
          <w:tcPr>
            <w:tcW w:w="1179" w:type="dxa"/>
            <w:vMerge w:val="continue"/>
            <w:noWrap w:val="0"/>
            <w:vAlign w:val="center"/>
          </w:tcPr>
          <w:p w14:paraId="03CF359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1FC3E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7E0A9C7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AB3C0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15833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41FAE3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41B4B9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226518D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93" w:type="dxa"/>
            <w:noWrap w:val="0"/>
            <w:tcMar>
              <w:top w:w="0" w:type="dxa"/>
              <w:left w:w="105" w:type="dxa"/>
              <w:bottom w:w="0" w:type="dxa"/>
              <w:right w:w="105" w:type="dxa"/>
            </w:tcMar>
            <w:vAlign w:val="center"/>
          </w:tcPr>
          <w:p w14:paraId="51EE681F">
            <w:pPr>
              <w:jc w:val="center"/>
              <w:rPr>
                <w:rFonts w:hint="default" w:ascii="仿宋_GB2312" w:hAnsi="仿宋_GB2312" w:eastAsia="仿宋_GB2312" w:cs="仿宋_GB2312"/>
                <w:sz w:val="18"/>
                <w:szCs w:val="18"/>
                <w:lang w:val="en-US" w:eastAsia="zh-CN"/>
              </w:rPr>
            </w:pPr>
            <w:r>
              <w:rPr>
                <w:rFonts w:hint="eastAsia" w:ascii="Arial" w:hAnsi="Arial" w:eastAsia="仿宋_GB2312" w:cs="Arial"/>
                <w:sz w:val="18"/>
                <w:szCs w:val="18"/>
                <w:lang w:val="en-US" w:eastAsia="zh-CN"/>
              </w:rPr>
              <w:t>660.81/660.81=100%</w:t>
            </w:r>
          </w:p>
        </w:tc>
        <w:tc>
          <w:tcPr>
            <w:tcW w:w="666" w:type="dxa"/>
            <w:noWrap w:val="0"/>
            <w:tcMar>
              <w:top w:w="0" w:type="dxa"/>
              <w:left w:w="105" w:type="dxa"/>
              <w:bottom w:w="0" w:type="dxa"/>
              <w:right w:w="105" w:type="dxa"/>
            </w:tcMar>
            <w:vAlign w:val="center"/>
          </w:tcPr>
          <w:p w14:paraId="24DF57A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2E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FE8E4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A68FC48">
            <w:pPr>
              <w:spacing w:before="100" w:beforeAutospacing="1" w:after="100" w:afterAutospacing="1"/>
              <w:jc w:val="center"/>
              <w:rPr>
                <w:rFonts w:hint="eastAsia" w:ascii="仿宋_GB2312" w:hAnsi="仿宋_GB2312" w:eastAsia="仿宋_GB2312" w:cs="仿宋_GB2312"/>
                <w:sz w:val="18"/>
                <w:szCs w:val="18"/>
              </w:rPr>
            </w:pPr>
          </w:p>
          <w:p w14:paraId="2E2D13A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01F6969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6D03C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269B8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7454C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93" w:type="dxa"/>
            <w:noWrap w:val="0"/>
            <w:tcMar>
              <w:top w:w="0" w:type="dxa"/>
              <w:left w:w="105" w:type="dxa"/>
              <w:bottom w:w="0" w:type="dxa"/>
              <w:right w:w="105" w:type="dxa"/>
            </w:tcMar>
            <w:vAlign w:val="center"/>
          </w:tcPr>
          <w:p w14:paraId="695E475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根据师生心理发展规律，完成培养师生良好心理素质，上学期2次、下学期2次</w:t>
            </w:r>
          </w:p>
        </w:tc>
        <w:tc>
          <w:tcPr>
            <w:tcW w:w="666" w:type="dxa"/>
            <w:noWrap w:val="0"/>
            <w:tcMar>
              <w:top w:w="0" w:type="dxa"/>
              <w:left w:w="105" w:type="dxa"/>
              <w:bottom w:w="0" w:type="dxa"/>
              <w:right w:w="105" w:type="dxa"/>
            </w:tcMar>
            <w:vAlign w:val="center"/>
          </w:tcPr>
          <w:p w14:paraId="0AAFEE07">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44E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107C8C6C">
            <w:pPr>
              <w:jc w:val="center"/>
              <w:rPr>
                <w:rFonts w:hint="eastAsia" w:ascii="仿宋_GB2312" w:hAnsi="仿宋_GB2312" w:eastAsia="仿宋_GB2312" w:cs="仿宋_GB2312"/>
                <w:sz w:val="18"/>
                <w:szCs w:val="18"/>
              </w:rPr>
            </w:pPr>
          </w:p>
        </w:tc>
        <w:tc>
          <w:tcPr>
            <w:tcW w:w="1179" w:type="dxa"/>
            <w:vMerge w:val="continue"/>
            <w:noWrap w:val="0"/>
            <w:vAlign w:val="center"/>
          </w:tcPr>
          <w:p w14:paraId="7DDA1F7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5D66DF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4F5F6A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79850A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4BACBE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93" w:type="dxa"/>
            <w:noWrap w:val="0"/>
            <w:tcMar>
              <w:top w:w="0" w:type="dxa"/>
              <w:left w:w="105" w:type="dxa"/>
              <w:bottom w:w="0" w:type="dxa"/>
              <w:right w:w="105" w:type="dxa"/>
            </w:tcMar>
            <w:vAlign w:val="center"/>
          </w:tcPr>
          <w:p w14:paraId="46133EED">
            <w:pPr>
              <w:jc w:val="center"/>
              <w:rPr>
                <w:rFonts w:hint="eastAsia" w:ascii="仿宋_GB2312" w:hAnsi="仿宋_GB2312" w:eastAsia="仿宋_GB2312" w:cs="仿宋_GB2312"/>
                <w:sz w:val="18"/>
                <w:szCs w:val="18"/>
              </w:rPr>
            </w:pPr>
            <w:r>
              <w:rPr>
                <w:rFonts w:hint="eastAsia" w:eastAsia="楷体_GB2312"/>
                <w:color w:val="auto"/>
                <w:sz w:val="18"/>
                <w:szCs w:val="18"/>
                <w:lang w:eastAsia="zh-CN"/>
              </w:rPr>
              <w:t>心理健康室验收合格，</w:t>
            </w:r>
            <w:r>
              <w:rPr>
                <w:rFonts w:hint="eastAsia" w:eastAsia="楷体_GB2312"/>
                <w:color w:val="auto"/>
                <w:sz w:val="18"/>
                <w:szCs w:val="18"/>
              </w:rPr>
              <w:t>学生资助面达到100%</w:t>
            </w:r>
          </w:p>
        </w:tc>
        <w:tc>
          <w:tcPr>
            <w:tcW w:w="666" w:type="dxa"/>
            <w:noWrap w:val="0"/>
            <w:tcMar>
              <w:top w:w="0" w:type="dxa"/>
              <w:left w:w="105" w:type="dxa"/>
              <w:bottom w:w="0" w:type="dxa"/>
              <w:right w:w="105" w:type="dxa"/>
            </w:tcMar>
            <w:vAlign w:val="center"/>
          </w:tcPr>
          <w:p w14:paraId="0BF63DD5">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83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1565378B">
            <w:pPr>
              <w:jc w:val="center"/>
              <w:rPr>
                <w:rFonts w:hint="eastAsia" w:ascii="仿宋_GB2312" w:hAnsi="仿宋_GB2312" w:eastAsia="仿宋_GB2312" w:cs="仿宋_GB2312"/>
                <w:sz w:val="18"/>
                <w:szCs w:val="18"/>
              </w:rPr>
            </w:pPr>
          </w:p>
        </w:tc>
        <w:tc>
          <w:tcPr>
            <w:tcW w:w="1179" w:type="dxa"/>
            <w:vMerge w:val="continue"/>
            <w:noWrap w:val="0"/>
            <w:vAlign w:val="center"/>
          </w:tcPr>
          <w:p w14:paraId="2178A61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6E7012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26F16F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4B694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1B5ABF9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93" w:type="dxa"/>
            <w:noWrap w:val="0"/>
            <w:tcMar>
              <w:top w:w="0" w:type="dxa"/>
              <w:left w:w="105" w:type="dxa"/>
              <w:bottom w:w="0" w:type="dxa"/>
              <w:right w:w="105" w:type="dxa"/>
            </w:tcMar>
            <w:vAlign w:val="center"/>
          </w:tcPr>
          <w:p w14:paraId="4A725CF4">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各级部门安排德育处工作，按时完成情况</w:t>
            </w:r>
          </w:p>
        </w:tc>
        <w:tc>
          <w:tcPr>
            <w:tcW w:w="666" w:type="dxa"/>
            <w:noWrap w:val="0"/>
            <w:tcMar>
              <w:top w:w="0" w:type="dxa"/>
              <w:left w:w="105" w:type="dxa"/>
              <w:bottom w:w="0" w:type="dxa"/>
              <w:right w:w="105" w:type="dxa"/>
            </w:tcMar>
            <w:vAlign w:val="center"/>
          </w:tcPr>
          <w:p w14:paraId="0C168BF3">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1AB9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106008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FAF0B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09105EA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BE0359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68759F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8D0A7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717560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93" w:type="dxa"/>
            <w:shd w:val="clear" w:color="auto" w:fill="auto"/>
            <w:noWrap w:val="0"/>
            <w:tcMar>
              <w:top w:w="0" w:type="dxa"/>
              <w:left w:w="105" w:type="dxa"/>
              <w:bottom w:w="0" w:type="dxa"/>
              <w:right w:w="105" w:type="dxa"/>
            </w:tcMar>
            <w:vAlign w:val="center"/>
          </w:tcPr>
          <w:p w14:paraId="5597735C">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不适应</w:t>
            </w:r>
          </w:p>
        </w:tc>
        <w:tc>
          <w:tcPr>
            <w:tcW w:w="666" w:type="dxa"/>
            <w:noWrap w:val="0"/>
            <w:tcMar>
              <w:top w:w="0" w:type="dxa"/>
              <w:left w:w="105" w:type="dxa"/>
              <w:bottom w:w="0" w:type="dxa"/>
              <w:right w:w="105" w:type="dxa"/>
            </w:tcMar>
            <w:vAlign w:val="center"/>
          </w:tcPr>
          <w:p w14:paraId="613CA29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207F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8C397C2">
            <w:pPr>
              <w:jc w:val="center"/>
              <w:rPr>
                <w:rFonts w:hint="eastAsia" w:ascii="仿宋_GB2312" w:hAnsi="仿宋_GB2312" w:eastAsia="仿宋_GB2312" w:cs="仿宋_GB2312"/>
                <w:sz w:val="18"/>
                <w:szCs w:val="18"/>
              </w:rPr>
            </w:pPr>
          </w:p>
        </w:tc>
        <w:tc>
          <w:tcPr>
            <w:tcW w:w="1179" w:type="dxa"/>
            <w:vMerge w:val="continue"/>
            <w:noWrap w:val="0"/>
            <w:vAlign w:val="center"/>
          </w:tcPr>
          <w:p w14:paraId="58A1BDCB">
            <w:pPr>
              <w:jc w:val="center"/>
              <w:rPr>
                <w:rFonts w:hint="eastAsia" w:ascii="仿宋_GB2312" w:hAnsi="仿宋_GB2312" w:eastAsia="仿宋_GB2312" w:cs="仿宋_GB2312"/>
                <w:sz w:val="18"/>
                <w:szCs w:val="18"/>
              </w:rPr>
            </w:pPr>
          </w:p>
        </w:tc>
        <w:tc>
          <w:tcPr>
            <w:tcW w:w="1226" w:type="dxa"/>
            <w:noWrap w:val="0"/>
            <w:vAlign w:val="center"/>
          </w:tcPr>
          <w:p w14:paraId="5A1130E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4A8732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A686F3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4F645C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6FD21F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93" w:type="dxa"/>
            <w:shd w:val="clear" w:color="auto" w:fill="auto"/>
            <w:noWrap w:val="0"/>
            <w:tcMar>
              <w:top w:w="0" w:type="dxa"/>
              <w:left w:w="105" w:type="dxa"/>
              <w:bottom w:w="0" w:type="dxa"/>
              <w:right w:w="105" w:type="dxa"/>
            </w:tcMar>
            <w:vAlign w:val="center"/>
          </w:tcPr>
          <w:p w14:paraId="5CBB63FA">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加强家校联系，学生辍学率控制在≦1.5%</w:t>
            </w:r>
          </w:p>
        </w:tc>
        <w:tc>
          <w:tcPr>
            <w:tcW w:w="666" w:type="dxa"/>
            <w:noWrap w:val="0"/>
            <w:tcMar>
              <w:top w:w="0" w:type="dxa"/>
              <w:left w:w="105" w:type="dxa"/>
              <w:bottom w:w="0" w:type="dxa"/>
              <w:right w:w="105" w:type="dxa"/>
            </w:tcMar>
            <w:vAlign w:val="center"/>
          </w:tcPr>
          <w:p w14:paraId="7F00114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08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313364CE">
            <w:pPr>
              <w:jc w:val="center"/>
              <w:rPr>
                <w:rFonts w:hint="eastAsia" w:ascii="仿宋_GB2312" w:hAnsi="仿宋_GB2312" w:eastAsia="仿宋_GB2312" w:cs="仿宋_GB2312"/>
                <w:sz w:val="18"/>
                <w:szCs w:val="18"/>
              </w:rPr>
            </w:pPr>
          </w:p>
        </w:tc>
        <w:tc>
          <w:tcPr>
            <w:tcW w:w="1179" w:type="dxa"/>
            <w:vMerge w:val="continue"/>
            <w:noWrap w:val="0"/>
            <w:vAlign w:val="center"/>
          </w:tcPr>
          <w:p w14:paraId="723829A0">
            <w:pPr>
              <w:jc w:val="center"/>
              <w:rPr>
                <w:rFonts w:hint="eastAsia" w:ascii="仿宋_GB2312" w:hAnsi="仿宋_GB2312" w:eastAsia="仿宋_GB2312" w:cs="仿宋_GB2312"/>
                <w:sz w:val="18"/>
                <w:szCs w:val="18"/>
              </w:rPr>
            </w:pPr>
          </w:p>
        </w:tc>
        <w:tc>
          <w:tcPr>
            <w:tcW w:w="1226" w:type="dxa"/>
            <w:noWrap w:val="0"/>
            <w:vAlign w:val="center"/>
          </w:tcPr>
          <w:p w14:paraId="2FCDC30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6296D5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86DE5B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E0785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48F6D1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3D9A62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93" w:type="dxa"/>
            <w:shd w:val="clear" w:color="auto" w:fill="auto"/>
            <w:noWrap w:val="0"/>
            <w:tcMar>
              <w:top w:w="0" w:type="dxa"/>
              <w:left w:w="105" w:type="dxa"/>
              <w:bottom w:w="0" w:type="dxa"/>
              <w:right w:w="105" w:type="dxa"/>
            </w:tcMar>
            <w:vAlign w:val="center"/>
          </w:tcPr>
          <w:p w14:paraId="50FA7DE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rPr>
              <w:t>不适应</w:t>
            </w:r>
          </w:p>
        </w:tc>
        <w:tc>
          <w:tcPr>
            <w:tcW w:w="666" w:type="dxa"/>
            <w:noWrap w:val="0"/>
            <w:tcMar>
              <w:top w:w="0" w:type="dxa"/>
              <w:left w:w="105" w:type="dxa"/>
              <w:bottom w:w="0" w:type="dxa"/>
              <w:right w:w="105" w:type="dxa"/>
            </w:tcMar>
            <w:vAlign w:val="center"/>
          </w:tcPr>
          <w:p w14:paraId="70A75CD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8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5F1D0E16">
            <w:pPr>
              <w:jc w:val="center"/>
              <w:rPr>
                <w:rFonts w:hint="eastAsia" w:ascii="仿宋_GB2312" w:hAnsi="仿宋_GB2312" w:eastAsia="仿宋_GB2312" w:cs="仿宋_GB2312"/>
                <w:sz w:val="18"/>
                <w:szCs w:val="18"/>
              </w:rPr>
            </w:pPr>
          </w:p>
        </w:tc>
        <w:tc>
          <w:tcPr>
            <w:tcW w:w="1179" w:type="dxa"/>
            <w:vMerge w:val="continue"/>
            <w:noWrap w:val="0"/>
            <w:vAlign w:val="center"/>
          </w:tcPr>
          <w:p w14:paraId="79CB64BE">
            <w:pPr>
              <w:jc w:val="center"/>
              <w:rPr>
                <w:rFonts w:hint="eastAsia" w:ascii="仿宋_GB2312" w:hAnsi="仿宋_GB2312" w:eastAsia="仿宋_GB2312" w:cs="仿宋_GB2312"/>
                <w:sz w:val="18"/>
                <w:szCs w:val="18"/>
              </w:rPr>
            </w:pPr>
          </w:p>
        </w:tc>
        <w:tc>
          <w:tcPr>
            <w:tcW w:w="1226" w:type="dxa"/>
            <w:noWrap w:val="0"/>
            <w:vAlign w:val="center"/>
          </w:tcPr>
          <w:p w14:paraId="5613370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76683D4">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FE9934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4AF0B5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93" w:type="dxa"/>
            <w:shd w:val="clear" w:color="auto" w:fill="auto"/>
            <w:noWrap w:val="0"/>
            <w:tcMar>
              <w:top w:w="0" w:type="dxa"/>
              <w:left w:w="105" w:type="dxa"/>
              <w:bottom w:w="0" w:type="dxa"/>
              <w:right w:w="105" w:type="dxa"/>
            </w:tcMar>
            <w:vAlign w:val="center"/>
          </w:tcPr>
          <w:p w14:paraId="7D091258">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通过各种教研、培训，持续提升教师教学水平</w:t>
            </w:r>
          </w:p>
        </w:tc>
        <w:tc>
          <w:tcPr>
            <w:tcW w:w="666" w:type="dxa"/>
            <w:noWrap w:val="0"/>
            <w:tcMar>
              <w:top w:w="0" w:type="dxa"/>
              <w:left w:w="105" w:type="dxa"/>
              <w:bottom w:w="0" w:type="dxa"/>
              <w:right w:w="105" w:type="dxa"/>
            </w:tcMar>
            <w:vAlign w:val="center"/>
          </w:tcPr>
          <w:p w14:paraId="538AD919">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CD0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7C572C1">
            <w:pPr>
              <w:jc w:val="center"/>
              <w:rPr>
                <w:rFonts w:hint="eastAsia" w:ascii="仿宋_GB2312" w:hAnsi="仿宋_GB2312" w:eastAsia="仿宋_GB2312" w:cs="仿宋_GB2312"/>
                <w:sz w:val="18"/>
                <w:szCs w:val="18"/>
              </w:rPr>
            </w:pPr>
          </w:p>
        </w:tc>
        <w:tc>
          <w:tcPr>
            <w:tcW w:w="1179" w:type="dxa"/>
            <w:vMerge w:val="continue"/>
            <w:noWrap w:val="0"/>
            <w:vAlign w:val="center"/>
          </w:tcPr>
          <w:p w14:paraId="709208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B175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2E95FB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F6A0C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434305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08E073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620BB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641A87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74550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93" w:type="dxa"/>
            <w:noWrap w:val="0"/>
            <w:tcMar>
              <w:top w:w="0" w:type="dxa"/>
              <w:left w:w="105" w:type="dxa"/>
              <w:bottom w:w="0" w:type="dxa"/>
              <w:right w:w="105" w:type="dxa"/>
            </w:tcMar>
            <w:vAlign w:val="center"/>
          </w:tcPr>
          <w:p w14:paraId="1528CC4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95%</w:t>
            </w:r>
          </w:p>
        </w:tc>
        <w:tc>
          <w:tcPr>
            <w:tcW w:w="666" w:type="dxa"/>
            <w:noWrap w:val="0"/>
            <w:tcMar>
              <w:top w:w="0" w:type="dxa"/>
              <w:left w:w="105" w:type="dxa"/>
              <w:bottom w:w="0" w:type="dxa"/>
              <w:right w:w="105" w:type="dxa"/>
            </w:tcMar>
            <w:vAlign w:val="center"/>
          </w:tcPr>
          <w:p w14:paraId="41A0251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7D5E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14:paraId="61E390EC">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00B1A469">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509ECD9D">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4722CF62">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545877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D5083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93" w:type="dxa"/>
            <w:noWrap w:val="0"/>
            <w:tcMar>
              <w:top w:w="0" w:type="dxa"/>
              <w:left w:w="105" w:type="dxa"/>
              <w:bottom w:w="0" w:type="dxa"/>
              <w:right w:w="105" w:type="dxa"/>
            </w:tcMar>
            <w:vAlign w:val="center"/>
          </w:tcPr>
          <w:p w14:paraId="2389178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666" w:type="dxa"/>
            <w:noWrap w:val="0"/>
            <w:tcMar>
              <w:top w:w="0" w:type="dxa"/>
              <w:left w:w="105" w:type="dxa"/>
              <w:bottom w:w="0" w:type="dxa"/>
              <w:right w:w="105" w:type="dxa"/>
            </w:tcMar>
            <w:vAlign w:val="center"/>
          </w:tcPr>
          <w:p w14:paraId="159FE67E">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97</w:t>
            </w:r>
          </w:p>
        </w:tc>
      </w:tr>
      <w:tr w14:paraId="2BEA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14:paraId="202CFDE9">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1B4CD8F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458617D9">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lang w:eastAsia="zh-CN"/>
              </w:rPr>
              <w:t>☑</w:t>
            </w:r>
            <w:r>
              <w:rPr>
                <w:rFonts w:hint="eastAsia" w:ascii="仿宋_GB2312" w:hAnsi="仿宋_GB2312" w:eastAsia="仿宋_GB2312" w:cs="仿宋_GB2312"/>
                <w:sz w:val="21"/>
                <w:szCs w:val="16"/>
              </w:rPr>
              <w:t>优秀  90分≤得分≤100分；   □良好  80分≤得分＜90分；   □较差  60分≤得分＜80分；   □差  得分＜60分</w:t>
            </w:r>
          </w:p>
        </w:tc>
      </w:tr>
    </w:tbl>
    <w:p w14:paraId="79701C35">
      <w:pPr>
        <w:spacing w:line="320" w:lineRule="exact"/>
        <w:ind w:firstLine="6490" w:firstLineChars="2950"/>
        <w:jc w:val="center"/>
        <w:rPr>
          <w:rFonts w:hint="eastAsia" w:ascii="仿宋_GB2312" w:hAnsi="仿宋_GB2312" w:eastAsia="仿宋_GB2312" w:cs="仿宋_GB2312"/>
          <w:sz w:val="22"/>
          <w:szCs w:val="24"/>
        </w:rPr>
      </w:pPr>
    </w:p>
    <w:p w14:paraId="03897A1E">
      <w:pPr>
        <w:spacing w:line="320" w:lineRule="exact"/>
        <w:ind w:firstLine="6490" w:firstLineChars="2950"/>
        <w:jc w:val="center"/>
        <w:rPr>
          <w:rFonts w:hint="eastAsia" w:ascii="仿宋_GB2312" w:hAnsi="仿宋_GB2312" w:eastAsia="仿宋_GB2312" w:cs="仿宋_GB2312"/>
          <w:sz w:val="22"/>
          <w:szCs w:val="24"/>
          <w:lang w:eastAsia="zh-CN"/>
        </w:rPr>
      </w:pPr>
      <w:r>
        <w:rPr>
          <w:rFonts w:hint="eastAsia" w:ascii="仿宋_GB2312" w:hAnsi="仿宋_GB2312" w:eastAsia="仿宋_GB2312" w:cs="仿宋_GB2312"/>
          <w:sz w:val="22"/>
          <w:szCs w:val="24"/>
        </w:rPr>
        <w:t xml:space="preserve">    单位负责人（签字）：</w:t>
      </w:r>
      <w:r>
        <w:rPr>
          <w:rFonts w:hint="eastAsia" w:ascii="仿宋_GB2312" w:hAnsi="仿宋_GB2312" w:eastAsia="仿宋_GB2312" w:cs="仿宋_GB2312"/>
          <w:sz w:val="24"/>
          <w:lang w:eastAsia="zh-CN"/>
        </w:rPr>
        <w:t>吴建宇</w:t>
      </w:r>
    </w:p>
    <w:p w14:paraId="2184CDEC">
      <w:pPr>
        <w:spacing w:line="320" w:lineRule="exact"/>
        <w:ind w:firstLine="6270" w:firstLineChars="2850"/>
        <w:jc w:val="center"/>
        <w:rPr>
          <w:rFonts w:hint="eastAsia" w:ascii="楷体" w:hAnsi="楷体" w:eastAsia="楷体" w:cs="楷体"/>
          <w:sz w:val="22"/>
          <w:szCs w:val="24"/>
        </w:rPr>
        <w:sectPr>
          <w:footerReference r:id="rId5" w:type="default"/>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2024</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4</w:t>
      </w:r>
      <w:r>
        <w:rPr>
          <w:rFonts w:hint="eastAsia" w:ascii="仿宋_GB2312" w:hAnsi="仿宋_GB2312" w:eastAsia="仿宋_GB2312" w:cs="仿宋_GB2312"/>
          <w:sz w:val="22"/>
          <w:szCs w:val="24"/>
        </w:rPr>
        <w:t>月</w:t>
      </w:r>
      <w:r>
        <w:rPr>
          <w:rFonts w:hint="eastAsia" w:ascii="仿宋_GB2312" w:hAnsi="仿宋_GB2312" w:eastAsia="仿宋_GB2312" w:cs="仿宋_GB2312"/>
          <w:sz w:val="22"/>
          <w:szCs w:val="24"/>
          <w:lang w:val="en-US" w:eastAsia="zh-CN"/>
        </w:rPr>
        <w:t>3</w:t>
      </w:r>
      <w:r>
        <w:rPr>
          <w:rFonts w:hint="eastAsia" w:ascii="仿宋_GB2312" w:hAnsi="仿宋_GB2312" w:eastAsia="仿宋_GB2312" w:cs="仿宋_GB2312"/>
          <w:sz w:val="22"/>
          <w:szCs w:val="24"/>
        </w:rPr>
        <w:t>日</w:t>
      </w:r>
    </w:p>
    <w:p w14:paraId="7D8BD65E">
      <w:pPr>
        <w:spacing w:line="600" w:lineRule="exact"/>
        <w:ind w:left="0"/>
        <w:jc w:val="lef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附件1-3</w:t>
      </w:r>
    </w:p>
    <w:p w14:paraId="5412D96C">
      <w:pPr>
        <w:pStyle w:val="4"/>
        <w:widowControl w:val="0"/>
        <w:spacing w:before="0" w:beforeAutospacing="0" w:after="0" w:afterAutospacing="0" w:line="600" w:lineRule="exact"/>
        <w:jc w:val="center"/>
        <w:rPr>
          <w:rStyle w:val="8"/>
          <w:rFonts w:cs="Times New Roman"/>
          <w:bCs w:val="0"/>
          <w:spacing w:val="-23"/>
          <w:sz w:val="36"/>
          <w:szCs w:val="36"/>
        </w:rPr>
      </w:pPr>
      <w:r>
        <w:rPr>
          <w:rStyle w:val="8"/>
          <w:rFonts w:hint="eastAsia" w:cs="Times New Roman"/>
          <w:bCs w:val="0"/>
          <w:spacing w:val="-23"/>
          <w:sz w:val="36"/>
          <w:szCs w:val="36"/>
        </w:rPr>
        <w:t>2024</w:t>
      </w:r>
      <w:r>
        <w:rPr>
          <w:rStyle w:val="8"/>
          <w:rFonts w:cs="Times New Roman"/>
          <w:bCs w:val="0"/>
          <w:spacing w:val="-23"/>
          <w:sz w:val="36"/>
          <w:szCs w:val="36"/>
        </w:rPr>
        <w:t>年度</w:t>
      </w:r>
      <w:r>
        <w:rPr>
          <w:rStyle w:val="8"/>
          <w:rFonts w:hint="eastAsia" w:cs="Times New Roman"/>
          <w:bCs w:val="0"/>
          <w:spacing w:val="-23"/>
          <w:sz w:val="36"/>
          <w:szCs w:val="36"/>
        </w:rPr>
        <w:t>新晃县</w:t>
      </w:r>
      <w:r>
        <w:rPr>
          <w:rFonts w:hint="eastAsia" w:ascii="宋体" w:hAnsi="宋体"/>
          <w:b/>
          <w:w w:val="85"/>
          <w:sz w:val="36"/>
          <w:szCs w:val="36"/>
          <w:lang w:eastAsia="zh-CN"/>
        </w:rPr>
        <w:t>凉伞凳寨完全小学</w:t>
      </w:r>
      <w:r>
        <w:rPr>
          <w:rStyle w:val="8"/>
          <w:rFonts w:cs="Times New Roman"/>
          <w:bCs w:val="0"/>
          <w:spacing w:val="-23"/>
          <w:sz w:val="36"/>
          <w:szCs w:val="36"/>
        </w:rPr>
        <w:t>部门（单位）整体支出绩效自评报告</w:t>
      </w:r>
    </w:p>
    <w:p w14:paraId="03D80EA6">
      <w:pPr>
        <w:pStyle w:val="4"/>
        <w:widowControl w:val="0"/>
        <w:spacing w:before="0" w:beforeAutospacing="0" w:after="0" w:afterAutospacing="0" w:line="600" w:lineRule="exact"/>
        <w:jc w:val="center"/>
        <w:rPr>
          <w:rStyle w:val="8"/>
          <w:rFonts w:hint="eastAsia" w:ascii="仿宋_GB2312" w:eastAsia="仿宋_GB2312"/>
          <w:b w:val="0"/>
          <w:bCs w:val="0"/>
          <w:color w:val="000000"/>
          <w:sz w:val="32"/>
          <w:szCs w:val="32"/>
          <w14:textFill>
            <w14:gradFill>
              <w14:gsLst>
                <w14:gs w14:pos="51300">
                  <w14:srgbClr w14:val="4888CF"/>
                </w14:gs>
                <w14:gs w14:pos="0">
                  <w14:srgbClr w14:val="95D2FF"/>
                </w14:gs>
                <w14:gs w14:pos="95000">
                  <w14:srgbClr w14:val="3965A3"/>
                </w14:gs>
              </w14:gsLst>
              <w14:lin w14:ang="5400000" w14:scaled="1"/>
            </w14:gradFill>
          </w14:textFill>
        </w:rPr>
      </w:pPr>
      <w:r>
        <w:rPr>
          <w:rFonts w:hint="eastAsia" w:ascii="仿宋_GB2312" w:eastAsia="仿宋_GB2312"/>
          <w:color w:val="000000"/>
          <w:sz w:val="32"/>
          <w:szCs w:val="32"/>
          <w:lang w:val="en-US" w:eastAsia="zh-CN"/>
          <w14:textFill>
            <w14:gradFill>
              <w14:gsLst>
                <w14:gs w14:pos="51300">
                  <w14:srgbClr w14:val="4888CF"/>
                </w14:gs>
                <w14:gs w14:pos="0">
                  <w14:srgbClr w14:val="95D2FF"/>
                </w14:gs>
                <w14:gs w14:pos="95000">
                  <w14:srgbClr w14:val="3965A3"/>
                </w14:gs>
              </w14:gsLst>
              <w14:lin w14:ang="5400000" w14:scaled="1"/>
            </w14:gradFill>
          </w14:textFill>
        </w:rPr>
        <w:t xml:space="preserve"> </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根据《新晃侗族自治县财政局关于</w:t>
      </w:r>
      <w:r>
        <w:rPr>
          <w:rFonts w:hint="eastAsia" w:ascii="仿宋_GB2312" w:eastAsia="仿宋_GB2312"/>
          <w:color w:val="auto"/>
          <w:sz w:val="32"/>
          <w:szCs w:val="32"/>
          <w:lang w:eastAsia="zh-CN"/>
        </w:rPr>
        <w:t>开展</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年度部门预算</w:t>
      </w:r>
      <w:r>
        <w:rPr>
          <w:rFonts w:hint="eastAsia" w:ascii="仿宋_GB2312" w:eastAsia="仿宋_GB2312"/>
          <w:color w:val="auto"/>
          <w:sz w:val="32"/>
          <w:szCs w:val="32"/>
          <w:lang w:eastAsia="zh-CN"/>
        </w:rPr>
        <w:t>支出</w:t>
      </w:r>
      <w:r>
        <w:rPr>
          <w:rFonts w:hint="eastAsia" w:ascii="仿宋_GB2312" w:eastAsia="仿宋_GB2312"/>
          <w:color w:val="auto"/>
          <w:sz w:val="32"/>
          <w:szCs w:val="32"/>
        </w:rPr>
        <w:t>情况绩效</w:t>
      </w:r>
      <w:r>
        <w:rPr>
          <w:rFonts w:hint="eastAsia" w:ascii="仿宋_GB2312" w:eastAsia="仿宋_GB2312"/>
          <w:color w:val="auto"/>
          <w:sz w:val="32"/>
          <w:szCs w:val="32"/>
          <w:lang w:eastAsia="zh-CN"/>
        </w:rPr>
        <w:t>自评</w:t>
      </w:r>
      <w:r>
        <w:rPr>
          <w:rFonts w:hint="eastAsia" w:ascii="仿宋_GB2312" w:eastAsia="仿宋_GB2312"/>
          <w:color w:val="auto"/>
          <w:sz w:val="32"/>
          <w:szCs w:val="32"/>
        </w:rPr>
        <w:t>工作的通知》（晃财绩〔202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号）要求</w:t>
      </w:r>
      <w:r>
        <w:rPr>
          <w:rFonts w:hint="eastAsia" w:ascii="仿宋_GB2312" w:eastAsia="仿宋_GB2312"/>
          <w:color w:val="auto"/>
          <w:sz w:val="32"/>
          <w:szCs w:val="32"/>
          <w:lang w:eastAsia="zh-CN"/>
        </w:rPr>
        <w:t>，</w:t>
      </w:r>
      <w:r>
        <w:rPr>
          <w:rFonts w:hint="eastAsia" w:ascii="仿宋_GB2312" w:eastAsia="仿宋_GB2312"/>
          <w:color w:val="auto"/>
          <w:sz w:val="32"/>
          <w:szCs w:val="32"/>
        </w:rPr>
        <w:t>我校对202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年整体支出进行了绩效自评，现报告如下：</w:t>
      </w:r>
    </w:p>
    <w:p w14:paraId="042890CC">
      <w:pPr>
        <w:spacing w:before="240" w:line="560" w:lineRule="exact"/>
        <w:ind w:left="0" w:leftChars="0" w:firstLine="643" w:firstLineChars="200"/>
        <w:jc w:val="left"/>
        <w:rPr>
          <w:rFonts w:hint="eastAsia" w:ascii="宋体" w:hAnsi="宋体"/>
          <w:color w:val="auto"/>
        </w:rPr>
      </w:pPr>
      <w:r>
        <w:rPr>
          <w:rFonts w:hint="eastAsia" w:ascii="宋体" w:hAnsi="宋体"/>
          <w:b/>
          <w:bCs/>
          <w:color w:val="auto"/>
          <w:sz w:val="32"/>
          <w:szCs w:val="32"/>
        </w:rPr>
        <w:t>一、部门（单位）基本概况</w:t>
      </w:r>
    </w:p>
    <w:p w14:paraId="60B1F7A4">
      <w:pPr>
        <w:spacing w:line="600" w:lineRule="exact"/>
        <w:ind w:left="0"/>
        <w:jc w:val="left"/>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（一）、主要工作职责</w:t>
      </w:r>
    </w:p>
    <w:p w14:paraId="43AEF370">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1.正确贯彻党和国家的教育方针、政策、法规。</w:t>
      </w:r>
    </w:p>
    <w:p w14:paraId="3D7FFF41">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2.积极稳妥推进教育改革，为学生创造良好的学习环境。</w:t>
      </w:r>
    </w:p>
    <w:p w14:paraId="748CC923">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3.主要实施义务教育，促进基础教育发展。</w:t>
      </w:r>
    </w:p>
    <w:p w14:paraId="00D233C4">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4.组织编制和实施学校的长期规划、年度计划和学期计划。</w:t>
      </w:r>
    </w:p>
    <w:p w14:paraId="0113B575">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.进行义务阶段学历教育及相关社会服务。</w:t>
      </w:r>
    </w:p>
    <w:p w14:paraId="692511ED">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6.组织做好教职工的培养、考核、奖惩、工资福利职称评定，以及退休等工作</w:t>
      </w:r>
      <w:r>
        <w:rPr>
          <w:rFonts w:hint="eastAsia" w:ascii="仿宋_GB2312" w:hAnsi="Times New Roman" w:eastAsia="仿宋_GB2312" w:cs="Times New Roman"/>
          <w:sz w:val="32"/>
          <w:szCs w:val="32"/>
          <w:lang w:eastAsia="zh-CN"/>
        </w:rPr>
        <w:t>。</w:t>
      </w:r>
    </w:p>
    <w:p w14:paraId="163CBB1A">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7.组织领导做好行政后勤工作坚持为教学服务，不断改善师生的工作、学习、生活条件，保证教学工作的顺利进行</w:t>
      </w:r>
      <w:r>
        <w:rPr>
          <w:rFonts w:hint="eastAsia" w:ascii="仿宋_GB2312" w:hAnsi="Times New Roman" w:eastAsia="仿宋_GB2312" w:cs="Times New Roman"/>
          <w:sz w:val="32"/>
          <w:szCs w:val="32"/>
          <w:lang w:eastAsia="zh-CN"/>
        </w:rPr>
        <w:t>。</w:t>
      </w:r>
    </w:p>
    <w:p w14:paraId="7635A32C">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8.贯彻执行勤俭办校的方针立健全各项规章制度，加强对学校</w:t>
      </w:r>
      <w:r>
        <w:rPr>
          <w:rFonts w:hint="eastAsia" w:ascii="仿宋_GB2312" w:hAnsi="Times New Roman" w:eastAsia="仿宋_GB2312" w:cs="Times New Roman"/>
          <w:sz w:val="32"/>
          <w:szCs w:val="32"/>
          <w:lang w:val="en-US" w:eastAsia="zh-CN"/>
        </w:rPr>
        <w:t>的</w:t>
      </w:r>
      <w:r>
        <w:rPr>
          <w:rFonts w:hint="eastAsia" w:ascii="仿宋_GB2312" w:hAnsi="Times New Roman" w:eastAsia="仿宋_GB2312" w:cs="Times New Roman"/>
          <w:sz w:val="32"/>
          <w:szCs w:val="32"/>
        </w:rPr>
        <w:t>管理</w:t>
      </w:r>
      <w:r>
        <w:rPr>
          <w:rFonts w:hint="eastAsia" w:ascii="仿宋_GB2312" w:hAnsi="Times New Roman" w:eastAsia="仿宋_GB2312" w:cs="Times New Roman"/>
          <w:sz w:val="32"/>
          <w:szCs w:val="32"/>
          <w:lang w:eastAsia="zh-CN"/>
        </w:rPr>
        <w:t>。</w:t>
      </w:r>
    </w:p>
    <w:p w14:paraId="38AC7477">
      <w:pPr>
        <w:keepNext w:val="0"/>
        <w:keepLines w:val="0"/>
        <w:pageBreakBefore w:val="0"/>
        <w:kinsoku/>
        <w:wordWrap/>
        <w:overflowPunct/>
        <w:topLinePunct w:val="0"/>
        <w:bidi w:val="0"/>
        <w:snapToGrid/>
        <w:spacing w:line="480" w:lineRule="auto"/>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9.完成上级机关布置的其他任务。</w:t>
      </w:r>
    </w:p>
    <w:p w14:paraId="12B68C55">
      <w:pPr>
        <w:keepNext w:val="0"/>
        <w:keepLines w:val="0"/>
        <w:pageBreakBefore w:val="0"/>
        <w:kinsoku/>
        <w:wordWrap/>
        <w:overflowPunct/>
        <w:topLinePunct w:val="0"/>
        <w:bidi w:val="0"/>
        <w:snapToGrid/>
        <w:spacing w:line="480" w:lineRule="auto"/>
        <w:ind w:firstLine="640" w:firstLineChars="200"/>
        <w:rPr>
          <w:rFonts w:hint="eastAsia" w:ascii="黑体" w:hAnsi="黑体" w:eastAsia="黑体"/>
          <w:sz w:val="32"/>
          <w:szCs w:val="32"/>
          <w:lang w:eastAsia="zh-CN"/>
        </w:rPr>
      </w:pPr>
      <w:r>
        <w:rPr>
          <w:rFonts w:hint="eastAsia" w:ascii="仿宋_GB2312" w:hAnsi="宋体" w:eastAsia="仿宋_GB2312" w:cs="宋体"/>
          <w:bCs/>
          <w:sz w:val="32"/>
          <w:szCs w:val="32"/>
        </w:rPr>
        <w:t xml:space="preserve">    </w:t>
      </w:r>
      <w:r>
        <w:rPr>
          <w:rFonts w:hint="eastAsia" w:ascii="黑体" w:hAnsi="黑体" w:eastAsia="黑体"/>
          <w:sz w:val="32"/>
          <w:szCs w:val="32"/>
        </w:rPr>
        <w:t>预算安排情况</w:t>
      </w:r>
      <w:r>
        <w:rPr>
          <w:rFonts w:hint="eastAsia" w:ascii="黑体" w:hAnsi="黑体" w:eastAsia="黑体"/>
          <w:sz w:val="32"/>
          <w:szCs w:val="32"/>
          <w:lang w:eastAsia="zh-CN"/>
        </w:rPr>
        <w:t>：</w:t>
      </w:r>
    </w:p>
    <w:p w14:paraId="302272CC">
      <w:pPr>
        <w:pStyle w:val="10"/>
        <w:keepNext w:val="0"/>
        <w:keepLines w:val="0"/>
        <w:pageBreakBefore w:val="0"/>
        <w:kinsoku/>
        <w:wordWrap/>
        <w:overflowPunct/>
        <w:topLinePunct w:val="0"/>
        <w:bidi w:val="0"/>
        <w:snapToGrid/>
        <w:spacing w:line="480" w:lineRule="auto"/>
        <w:ind w:firstLine="640" w:firstLineChars="200"/>
        <w:rPr>
          <w:rFonts w:hint="eastAsia" w:ascii="仿宋_GB2312" w:hAnsi="宋体" w:eastAsia="仿宋_GB2312"/>
          <w:sz w:val="32"/>
          <w:szCs w:val="32"/>
          <w:lang w:val="en-US" w:eastAsia="zh-CN"/>
        </w:rPr>
      </w:pPr>
      <w:r>
        <w:rPr>
          <w:rFonts w:hint="eastAsia" w:ascii="仿宋_GB2312" w:eastAsia="仿宋_GB2312"/>
          <w:sz w:val="32"/>
          <w:szCs w:val="32"/>
        </w:rPr>
        <w:t>20</w:t>
      </w:r>
      <w:r>
        <w:rPr>
          <w:rFonts w:hint="eastAsia" w:ascii="仿宋_GB2312" w:eastAsia="仿宋_GB2312"/>
          <w:sz w:val="32"/>
          <w:szCs w:val="32"/>
          <w:lang w:val="en-US" w:eastAsia="zh-CN"/>
        </w:rPr>
        <w:t>24</w:t>
      </w:r>
      <w:r>
        <w:rPr>
          <w:rFonts w:hint="eastAsia" w:ascii="仿宋_GB2312" w:eastAsia="仿宋_GB2312"/>
          <w:sz w:val="32"/>
          <w:szCs w:val="32"/>
        </w:rPr>
        <w:t>年度财政收支：</w:t>
      </w:r>
      <w:r>
        <w:rPr>
          <w:rFonts w:hint="eastAsia" w:ascii="仿宋_GB2312" w:hAnsi="宋体" w:eastAsia="仿宋_GB2312"/>
          <w:sz w:val="32"/>
          <w:szCs w:val="32"/>
        </w:rPr>
        <w:t>本年收入合计</w:t>
      </w:r>
      <w:r>
        <w:rPr>
          <w:rFonts w:hint="eastAsia" w:ascii="仿宋_GB2312" w:hAnsi="宋体" w:eastAsia="仿宋_GB2312"/>
          <w:sz w:val="32"/>
          <w:szCs w:val="32"/>
          <w:lang w:val="en-US" w:eastAsia="zh-CN"/>
        </w:rPr>
        <w:t>494.32</w:t>
      </w:r>
      <w:r>
        <w:rPr>
          <w:rFonts w:hint="eastAsia" w:ascii="仿宋_GB2312" w:hAnsi="宋体" w:eastAsia="仿宋_GB2312"/>
          <w:sz w:val="32"/>
          <w:szCs w:val="32"/>
        </w:rPr>
        <w:t>万元，其中：财政拨款收入</w:t>
      </w:r>
      <w:r>
        <w:rPr>
          <w:rFonts w:hint="eastAsia" w:ascii="仿宋_GB2312" w:hAnsi="宋体" w:eastAsia="仿宋_GB2312"/>
          <w:sz w:val="32"/>
          <w:szCs w:val="32"/>
          <w:lang w:val="en-US" w:eastAsia="zh-CN"/>
        </w:rPr>
        <w:t>494.32</w:t>
      </w:r>
      <w:r>
        <w:rPr>
          <w:rFonts w:hint="eastAsia" w:ascii="仿宋_GB2312" w:hAnsi="宋体" w:eastAsia="仿宋_GB2312"/>
          <w:sz w:val="32"/>
          <w:szCs w:val="32"/>
        </w:rPr>
        <w:t>万元，占100%；本年支出合计</w:t>
      </w:r>
      <w:r>
        <w:rPr>
          <w:rFonts w:hint="eastAsia" w:ascii="仿宋_GB2312" w:hAnsi="宋体" w:eastAsia="仿宋_GB2312"/>
          <w:sz w:val="32"/>
          <w:szCs w:val="32"/>
          <w:lang w:val="en-US" w:eastAsia="zh-CN"/>
        </w:rPr>
        <w:t>494.32</w:t>
      </w:r>
      <w:r>
        <w:rPr>
          <w:rFonts w:hint="eastAsia" w:ascii="仿宋_GB2312" w:hAnsi="宋体" w:eastAsia="仿宋_GB2312"/>
          <w:sz w:val="32"/>
          <w:szCs w:val="32"/>
        </w:rPr>
        <w:t>万元，</w:t>
      </w:r>
      <w:r>
        <w:rPr>
          <w:rFonts w:hint="eastAsia" w:ascii="仿宋_GB2312" w:hAnsi="宋体" w:eastAsia="仿宋_GB2312"/>
          <w:sz w:val="32"/>
          <w:szCs w:val="32"/>
          <w:lang w:eastAsia="zh-CN"/>
        </w:rPr>
        <w:t>按经济分类支出：工资福利支出</w:t>
      </w:r>
      <w:r>
        <w:rPr>
          <w:rFonts w:hint="eastAsia" w:ascii="仿宋_GB2312" w:hAnsi="宋体" w:eastAsia="仿宋_GB2312"/>
          <w:sz w:val="32"/>
          <w:szCs w:val="32"/>
          <w:lang w:val="en-US" w:eastAsia="zh-CN"/>
        </w:rPr>
        <w:t>320.06万元，商品和服务支出45.06万元，对个人和家庭的补助支出：65.27万元，资本性支出63.93万元。</w:t>
      </w:r>
    </w:p>
    <w:p w14:paraId="12B7479C">
      <w:pPr>
        <w:keepNext w:val="0"/>
        <w:keepLines w:val="0"/>
        <w:pageBreakBefore w:val="0"/>
        <w:kinsoku/>
        <w:wordWrap/>
        <w:overflowPunct/>
        <w:topLinePunct w:val="0"/>
        <w:bidi w:val="0"/>
        <w:snapToGrid/>
        <w:spacing w:line="480" w:lineRule="auto"/>
        <w:ind w:firstLine="640" w:firstLineChars="200"/>
        <w:rPr>
          <w:rFonts w:hint="eastAsia" w:ascii="仿宋_GB2312" w:hAnsi="宋体" w:eastAsia="仿宋_GB2312" w:cs="黑体"/>
          <w:color w:val="000000"/>
          <w:kern w:val="0"/>
          <w:sz w:val="32"/>
          <w:szCs w:val="32"/>
          <w:lang w:val="en-US" w:eastAsia="zh-CN" w:bidi="ar-SA"/>
        </w:rPr>
      </w:pPr>
      <w:r>
        <w:rPr>
          <w:rFonts w:hint="eastAsia" w:ascii="仿宋_GB2312" w:hAnsi="宋体" w:eastAsia="仿宋_GB2312" w:cs="黑体"/>
          <w:color w:val="000000"/>
          <w:kern w:val="0"/>
          <w:sz w:val="32"/>
          <w:szCs w:val="32"/>
          <w:lang w:val="en-US" w:eastAsia="zh-CN" w:bidi="ar-SA"/>
        </w:rPr>
        <w:t>截至2024年12月31日，固定资产原值660.81万元，累计折旧201.03万元，净值459.78万元。本单位共有车辆0辆，其中，领导干部用车0辆、机要通信用车0辆、应急保障用车0辆、执法执勤用车0辆、特种专业技术用车0辆、其他用车0辆；单位价值50万元以上通用设备0台（套）；单位价值100万元以上专用设备0台（套）。</w:t>
      </w:r>
    </w:p>
    <w:p w14:paraId="6B35F731">
      <w:pPr>
        <w:keepNext w:val="0"/>
        <w:keepLines w:val="0"/>
        <w:pageBreakBefore w:val="0"/>
        <w:kinsoku/>
        <w:wordWrap/>
        <w:overflowPunct/>
        <w:topLinePunct w:val="0"/>
        <w:bidi w:val="0"/>
        <w:snapToGrid/>
        <w:spacing w:line="480" w:lineRule="auto"/>
        <w:ind w:left="0" w:leftChars="0" w:firstLine="640" w:firstLineChars="200"/>
        <w:rPr>
          <w:rFonts w:hint="eastAsia" w:ascii="黑体" w:hAnsi="黑体" w:eastAsia="黑体"/>
          <w:sz w:val="32"/>
          <w:szCs w:val="32"/>
          <w:lang w:eastAsia="zh-CN"/>
        </w:rPr>
      </w:pPr>
      <w:r>
        <w:rPr>
          <w:rFonts w:hint="eastAsia" w:ascii="黑体" w:hAnsi="黑体" w:eastAsia="黑体"/>
          <w:sz w:val="32"/>
          <w:szCs w:val="32"/>
        </w:rPr>
        <w:t>预算</w:t>
      </w:r>
      <w:r>
        <w:rPr>
          <w:rFonts w:hint="eastAsia" w:ascii="黑体" w:hAnsi="黑体" w:eastAsia="黑体"/>
          <w:sz w:val="32"/>
          <w:szCs w:val="32"/>
          <w:lang w:eastAsia="zh-CN"/>
        </w:rPr>
        <w:t>执行</w:t>
      </w:r>
      <w:r>
        <w:rPr>
          <w:rFonts w:hint="eastAsia" w:ascii="黑体" w:hAnsi="黑体" w:eastAsia="黑体"/>
          <w:sz w:val="32"/>
          <w:szCs w:val="32"/>
        </w:rPr>
        <w:t>情况</w:t>
      </w:r>
      <w:r>
        <w:rPr>
          <w:rFonts w:hint="eastAsia" w:ascii="黑体" w:hAnsi="黑体" w:eastAsia="黑体"/>
          <w:sz w:val="32"/>
          <w:szCs w:val="32"/>
          <w:lang w:eastAsia="zh-CN"/>
        </w:rPr>
        <w:t>：</w:t>
      </w:r>
    </w:p>
    <w:p w14:paraId="732F1BBB">
      <w:pPr>
        <w:keepNext w:val="0"/>
        <w:keepLines w:val="0"/>
        <w:pageBreakBefore w:val="0"/>
        <w:widowControl/>
        <w:shd w:val="clear" w:color="auto" w:fill="FFFFFF"/>
        <w:kinsoku/>
        <w:wordWrap/>
        <w:overflowPunct/>
        <w:topLinePunct w:val="0"/>
        <w:bidi w:val="0"/>
        <w:snapToGrid/>
        <w:spacing w:line="480" w:lineRule="auto"/>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年初财政批复部门预算</w:t>
      </w:r>
      <w:r>
        <w:rPr>
          <w:rFonts w:hint="eastAsia" w:ascii="仿宋_GB2312" w:hAnsi="宋体" w:eastAsia="仿宋_GB2312" w:cs="宋体"/>
          <w:kern w:val="0"/>
          <w:sz w:val="32"/>
          <w:szCs w:val="32"/>
          <w:lang w:val="en-US" w:eastAsia="zh-CN"/>
        </w:rPr>
        <w:t>494.36</w:t>
      </w:r>
      <w:r>
        <w:rPr>
          <w:rFonts w:hint="eastAsia" w:ascii="仿宋_GB2312" w:hAnsi="宋体" w:eastAsia="仿宋_GB2312" w:cs="宋体"/>
          <w:kern w:val="0"/>
          <w:sz w:val="32"/>
          <w:szCs w:val="32"/>
        </w:rPr>
        <w:t>万元，实际总收入</w:t>
      </w:r>
      <w:r>
        <w:rPr>
          <w:rFonts w:hint="eastAsia" w:ascii="仿宋_GB2312" w:hAnsi="宋体" w:eastAsia="仿宋_GB2312" w:cs="宋体"/>
          <w:kern w:val="0"/>
          <w:sz w:val="32"/>
          <w:szCs w:val="32"/>
          <w:lang w:val="en-US" w:eastAsia="zh-CN"/>
        </w:rPr>
        <w:t>494.32</w:t>
      </w:r>
      <w:r>
        <w:rPr>
          <w:rFonts w:hint="eastAsia" w:ascii="仿宋_GB2312" w:hAnsi="宋体" w:eastAsia="仿宋_GB2312" w:cs="宋体"/>
          <w:kern w:val="0"/>
          <w:sz w:val="32"/>
          <w:szCs w:val="32"/>
        </w:rPr>
        <w:t>万元，全部为财政拨款收入。</w:t>
      </w:r>
      <w:r>
        <w:rPr>
          <w:rFonts w:hint="eastAsia" w:ascii="仿宋_GB2312" w:hAnsi="宋体" w:eastAsia="仿宋_GB2312" w:cs="宋体"/>
          <w:kern w:val="0"/>
          <w:sz w:val="32"/>
          <w:szCs w:val="32"/>
          <w:lang w:val="en-US" w:eastAsia="zh-CN"/>
        </w:rPr>
        <w:t xml:space="preserve"> </w:t>
      </w:r>
    </w:p>
    <w:p w14:paraId="595182C3">
      <w:pPr>
        <w:pStyle w:val="10"/>
        <w:keepNext w:val="0"/>
        <w:keepLines w:val="0"/>
        <w:pageBreakBefore w:val="0"/>
        <w:kinsoku/>
        <w:wordWrap/>
        <w:overflowPunct/>
        <w:topLinePunct w:val="0"/>
        <w:bidi w:val="0"/>
        <w:snapToGrid/>
        <w:spacing w:line="480"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年度总支出</w:t>
      </w:r>
      <w:r>
        <w:rPr>
          <w:rFonts w:hint="eastAsia" w:ascii="仿宋_GB2312" w:hAnsi="宋体" w:eastAsia="仿宋_GB2312"/>
          <w:sz w:val="32"/>
          <w:szCs w:val="32"/>
          <w:lang w:val="en-US" w:eastAsia="zh-CN"/>
        </w:rPr>
        <w:t>494.32</w:t>
      </w:r>
      <w:r>
        <w:rPr>
          <w:rFonts w:hint="eastAsia" w:ascii="仿宋_GB2312" w:hAnsi="宋体" w:eastAsia="仿宋_GB2312" w:cs="宋体"/>
          <w:kern w:val="0"/>
          <w:sz w:val="32"/>
          <w:szCs w:val="32"/>
        </w:rPr>
        <w:t>万元，</w:t>
      </w:r>
      <w:r>
        <w:rPr>
          <w:rFonts w:hint="eastAsia" w:ascii="仿宋_GB2312" w:hAnsi="宋体" w:eastAsia="仿宋_GB2312"/>
          <w:sz w:val="32"/>
          <w:szCs w:val="32"/>
        </w:rPr>
        <w:t>其中：</w:t>
      </w:r>
      <w:r>
        <w:rPr>
          <w:rFonts w:hint="eastAsia" w:ascii="仿宋_GB2312" w:hAnsi="宋体" w:eastAsia="仿宋_GB2312"/>
          <w:sz w:val="32"/>
          <w:szCs w:val="32"/>
          <w:lang w:eastAsia="zh-CN"/>
        </w:rPr>
        <w:t>按经济分类支出：工资福利支出</w:t>
      </w:r>
      <w:r>
        <w:rPr>
          <w:rFonts w:hint="eastAsia" w:ascii="仿宋_GB2312" w:hAnsi="宋体" w:eastAsia="仿宋_GB2312"/>
          <w:sz w:val="32"/>
          <w:szCs w:val="32"/>
          <w:lang w:val="en-US" w:eastAsia="zh-CN"/>
        </w:rPr>
        <w:t>320.06万元，商品和服务支出45.06万元，对个人和家庭的补助支出：65.27万元，资本性支出63.93万元，</w:t>
      </w:r>
      <w:r>
        <w:rPr>
          <w:rFonts w:hint="eastAsia" w:ascii="仿宋_GB2312" w:hAnsi="宋体" w:eastAsia="仿宋_GB2312" w:cs="宋体"/>
          <w:kern w:val="0"/>
          <w:sz w:val="32"/>
          <w:szCs w:val="32"/>
        </w:rPr>
        <w:t>年末结转</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5BB15A00">
      <w:pPr>
        <w:keepNext w:val="0"/>
        <w:keepLines w:val="0"/>
        <w:pageBreakBefore w:val="0"/>
        <w:kinsoku/>
        <w:wordWrap/>
        <w:overflowPunct/>
        <w:topLinePunct w:val="0"/>
        <w:bidi w:val="0"/>
        <w:snapToGrid/>
        <w:spacing w:line="480" w:lineRule="auto"/>
        <w:ind w:firstLine="640" w:firstLineChars="200"/>
        <w:jc w:val="left"/>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二、部门（单位）整体支出绩效状况</w:t>
      </w:r>
    </w:p>
    <w:p w14:paraId="420DEEB1">
      <w:pPr>
        <w:keepNext w:val="0"/>
        <w:keepLines w:val="0"/>
        <w:pageBreakBefore w:val="0"/>
        <w:widowControl w:val="0"/>
        <w:numPr>
          <w:ilvl w:val="0"/>
          <w:numId w:val="1"/>
        </w:numPr>
        <w:kinsoku/>
        <w:wordWrap/>
        <w:overflowPunct/>
        <w:topLinePunct w:val="0"/>
        <w:bidi w:val="0"/>
        <w:snapToGrid/>
        <w:spacing w:line="480" w:lineRule="auto"/>
        <w:ind w:leftChars="200" w:firstLine="640" w:firstLineChars="200"/>
        <w:jc w:val="both"/>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 xml:space="preserve"> 绩效目标，年初制定了预算管理制度，对专项业务经费均按要求编制了绩效目标，结合预算功能科目及经济科目与成本的关系，开展了整体支出绩效目标的编制。</w:t>
      </w:r>
    </w:p>
    <w:p w14:paraId="4E103EDE">
      <w:pPr>
        <w:keepNext w:val="0"/>
        <w:keepLines w:val="0"/>
        <w:pageBreakBefore w:val="0"/>
        <w:kinsoku/>
        <w:wordWrap/>
        <w:overflowPunct/>
        <w:topLinePunct w:val="0"/>
        <w:bidi w:val="0"/>
        <w:snapToGrid/>
        <w:spacing w:line="480" w:lineRule="auto"/>
        <w:ind w:firstLine="960" w:firstLineChars="300"/>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二）绩效评价，我校突出抓改革强监管促发展，各方面工作稳步推进，完成了上级下达的各项任务，社会公众满意度和服务对象满意度均在95%以上。根据《部门整体支出绩效自评表》评分表自评得分96分。主要绩效如下：</w:t>
      </w:r>
    </w:p>
    <w:p w14:paraId="5C336BEB">
      <w:pPr>
        <w:keepNext w:val="0"/>
        <w:keepLines w:val="0"/>
        <w:pageBreakBefore w:val="0"/>
        <w:widowControl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局领导、镇村领导的信任和指导下，在各位爱心人士的支持和关爱中，在校班子和全体教职员工的拼搏和努力，学校各项工作扎实有效，教学质量明显提升。我们凳寨小学走出了一条农村小学依靠充分挖掘自身身边潜力和资源，同样可以办好小学教育的发展路子。我们希望把凳小打造成湘黔边际学校的一张名片，办成老百姓满意、社会认可、政府放心的山区学校。</w:t>
      </w:r>
    </w:p>
    <w:p w14:paraId="6701B737">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回首一年来，感觉当家才知柴米贵，履职方晓路难行。学校党建、教育教学质量、师德师风、教育科研、学生安全、学生营改、免费午餐、项目建设、协调关系、社会资源、迎接检查等，随便一个方面，真的很不容易，感觉压力很大。庆幸凳小行政团队和教师团队很给力，但是还是觉得如履薄冰，砥砺前行。</w:t>
      </w:r>
    </w:p>
    <w:p w14:paraId="07BBF28B">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落实党建，助力德育，提高政治素养</w:t>
      </w:r>
    </w:p>
    <w:p w14:paraId="02BA5C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sz w:val="32"/>
          <w:szCs w:val="32"/>
          <w:lang w:val="en-US" w:eastAsia="zh-CN"/>
        </w:rPr>
        <w:t>.集中学习，提升师德。春季及秋季的开学初，学校党支部组织全体教师的集中学习党的“二十大”精神，学习习近平系列讲话内容及教育家精神。参照教育局的规定动作，集中学习《中小学教师职业道德》、《教师法》、《未成年人保护法》、《义务教育法》及“议案促改”的相关内容，下半年还学习了“二十大三中全会”精神，通过学习，有效地提高了教师的政治修养及师德水平。本年度积极向党组织递交入党申请书的有2人。</w:t>
      </w:r>
    </w:p>
    <w:p w14:paraId="1B6776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党建引领，助力德育。落实党领导下的校长负责制，实施党政联席议会制度，实施“三重一大”，清廉治校，党员同志主动上党课，模范服务师生。比如衔接校园文化墙，落实德育教育阵地；二是暑期汛情期间，党员同志积极响应县委县政府的号召，立即返岗，防汛排险，协助镇村领导转移、安置灾区群众，同时主动谋划危房的拆除及危墙的拆建；三是细节服务师生，比如姚鹏老师寒来暑往，来回奔波在学校与县城的路上，主动为学校寻求赞助（心理健康室创建方面约9万元；校服、免午基金、与胡总协调等），主动为学校宣传报道等；吴晶主席主动协调幼儿园及工会工作；党员同志积极协助后勤，比如维修水源、维修电路、搬柴火、划跑到、搬书籍、剪树枝等。学校的维修维护，在烈日下、在深山中、在寒风里、在雪路上、在冰封中，我们身体力行，勤勉务实的工作作风是德育引领的基础。通过细微处入手，提升德育育人氛围。</w:t>
      </w:r>
    </w:p>
    <w:p w14:paraId="4DEFD4C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二、加强学生的思想道德教育和养成教育</w:t>
      </w:r>
    </w:p>
    <w:p w14:paraId="1A87D9D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发挥德育核心作用。加强了德育工作领导，完善德育工作管理机制，由校长负总责，德育处和少先队具体抓，形成了各部门密切配合，班主任和任课教师共同承担的纵向连接的德育工作体系。德育领导小组成员增强了教书育人、服务育人、管理育人的意识，并能以身作则，努力工作，带领全员积极探索学校德育工作的新途径。注意加强德育队伍建设，特别是班主任队伍建设。</w:t>
      </w:r>
    </w:p>
    <w:p w14:paraId="0D72681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班级文化建设。我们要求班主任积极思考，加强班级制度建设、班风和学风建设，营造良好的班级氛围，树立班级形象，争创班级特色，争创“文明班级”。各班的学习园地布置精美，中队角规范实用，富有教育性，各班的中队活动、好人好事都有记录。</w:t>
      </w:r>
    </w:p>
    <w:p w14:paraId="1E0637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3.开展多种形式的主题德育教育活动</w:t>
      </w:r>
    </w:p>
    <w:p w14:paraId="1014AE0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(1)爱国主义教育，利用周一的国旗下讲话及各班的主体班会，开展形式多样的爱国主义教育。</w:t>
      </w:r>
    </w:p>
    <w:p w14:paraId="066119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安全法制教育，落实安全为本的指导思想，定期对学生进行法制讲座，落实法制副校长负责制，分别对学生进行防拐骗、防电信诈骗、防溺水、防性侵、防欺凌以及交通安全教育，尽可能的对一些苗头性现象及时加以教育，杜绝学生违法犯罪现象的发生。</w:t>
      </w:r>
    </w:p>
    <w:p w14:paraId="67CD4B3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文明礼貌教育。本学期，我校继续加强了学生常规教育，特别是文明礼貌教育，以新的《中小学生守则》、《小学生日常行为规范》为内容，开展“文明班级”评比活动，以班级教育、自我教育为主，红领巾督察队为阵地，帮助学生养成良好的行为习惯，收到了良好的教育效果。</w:t>
      </w:r>
    </w:p>
    <w:p w14:paraId="17B340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开展关爱“留守孩”教育工作。召开了全校性的家长会。暑假进行了一次全覆盖的入户家访行动。根据教育工作的需要，在教学过程中，各班主任及任课教师开学送爱心，关心留守儿童的家访活动。通过活动，缩短了家长与老师的距离，既有助于家长对自己孩子的真正了解，也有利于教师、家长共同担起对孩子教育的责任。</w:t>
      </w:r>
    </w:p>
    <w:p w14:paraId="62A9BE4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5.优化环境，营造育人氛围</w:t>
      </w:r>
    </w:p>
    <w:p w14:paraId="2332B8A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创建校园外部文化。凳小整个行政团队，积极主动作为，彰显农村学校履职担当。一是争取上级领导的支持：教育局投入近9万元对凳小危房危墙的拆除和厕所外墙的维修工程。凉伞镇领导用8万元帮助学校建设自来水源头水池和学校校园文化建设。二是争取社会贤达人士的支持：凳寨籍人士杨承勇先生（深圳市速航运通国际物流总经理）继去年赠图书十万元后，今年又捐赠图书近八万远。三是长沙籍胡总（胡林伟）捐赠约十二万元，用于幼儿园活动场地悬浮地板、书籍、书架、学生生活用品等。四是北京联合保险经纪有限公司大力支持：投入近二十万元对学校学生宿舍楼和幼儿园屋面及屋顶屋面的维修，还粉刷了凳寨中心幼儿园几个大字。使学校焕然一新。</w:t>
      </w:r>
    </w:p>
    <w:p w14:paraId="43AC9EF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营造校园内部文化。在资金严重短缺的情况下，学校积极解决急办、难办等问题。一是给各班添置窗帘；二是完善各班班级文化的硬件建设；三是暑假对食堂进行升级改造；四是创建了阅览室两个；五是对教室的门窗进行更换和修缮。六是清廉校园文化的创建；七是更新板报、宣传橱窗，面向全体学生直观宣传让学生随时随地汲取知识，寓教于乐，引发学生的学习兴趣。通过美化、绿化、净化环境;通过橱窗、板报等德育宣传阵地，为学生提供了“随风潜入夜，润物细无声”的和谐的育人环境。为学生营造了一个优雅的校园文化，从而推进了教育工作的进程。</w:t>
      </w:r>
    </w:p>
    <w:p w14:paraId="4786941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三、教学及科研工作是学校的生命线</w:t>
      </w:r>
    </w:p>
    <w:p w14:paraId="1BB554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教学工作是学校的中心工作，教学质量是学校工作的生命线。</w:t>
      </w:r>
    </w:p>
    <w:p w14:paraId="1004691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首先从常规教学抓起。坚持提前一周备课，规范教案，定期抽查，要求教师对学生作业全批全改，月一检查一公布，对不认真负责的教师在全体教师会上通报批评。每次考试，实行交叉监考，严肃考风考纪，促进良好学风的形成。</w:t>
      </w:r>
    </w:p>
    <w:p w14:paraId="685B66A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围绕课堂深化教研，依托教研优化课堂。结合学校实际，加强校本校验。青蓝工程的结对课，高级教师与优秀教师的示范课，其余教师上公开课。全校教师每期进行的教学比武课，活动组织形式多样，按照计划，语文组、数学组有序的进行。促进青年教师尽快熟悉课堂，站稳课堂。积极参与教学比武活动，其中吴晶主席片区出线，执教的《健康活动》获得县级二等奖；杨学灿校长执教的《电和磁》获得县级一等奖；我执教的《植树问题》获得县级一等奖。</w:t>
      </w:r>
    </w:p>
    <w:p w14:paraId="15D9C8F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以课题研究为主导，加强教师成长的引领。为提升教研教改理论修养，拓宽教师教学视野，每次例会进行教师业务培训或者阅读分享活动。同时推行走出去，请进来的方法，加强业务学习和经验交流。凡是教育局有安排的我们教科室基本不打折扣的给予安排，另外我们学校到思源跟岗学习的老师有杨欣楠、杨国清；到一完小跟岗学习的有彭春颖；到三完小跟岗学习的有孙名阳等。邀请到我们学校的专家及老师有教研室的尹丽、吴金香、姚为民、向智萍老师；一完小的杨芳玲校长、吴先艳老师，感谢他们的到来。</w:t>
      </w:r>
    </w:p>
    <w:p w14:paraId="2381FC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身体力行，彰显担当。学校全体行政人员政治上严格要求自己，教育教学工作，没有旁观者，皆是参与者。没有人指手画脚，只有模范带头。于无形之中见有形。比如余益民主任任教三年级科学获得全县第五名等。</w:t>
      </w:r>
    </w:p>
    <w:p w14:paraId="5CF2D21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老师们的勤勉付出是关键。五六年级的老师们从早上七点半到晚上的十点半，远远超出常人的工作量，孩子们的每一点进步、每一点成绩的取得都凝结着老师辛勤付出的汗水。毕业的六年级由26名到第20名，优生六年级标准2人进步到3人；现六年级保持在第15名，优生标准12进步到13人；现五年级优生标准8人进步到9人；我们获得了学年度的教育教学“先进单位”和“进步单位”；获得教师朗诵比赛“二等奖”；学生朗诵比赛获得“三等奖”县运动获得“体育道德风尚奖”；在绘画、舞蹈、独唱、体育等方面也有所进步。各种成绩的取得是全体凳小人齐心协力、负重奋进、辛勤工作、努力拼搏的结果。</w:t>
      </w:r>
    </w:p>
    <w:p w14:paraId="6E9D8E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四、工会及后勤工作</w:t>
      </w:r>
    </w:p>
    <w:p w14:paraId="05C125A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学校工会团队和后勤服务团队秉承办有温度的教育，服务教师，服务学生的理念，他们很辛苦，尽职尽责，细致履职。基本保证了老师们的七个节假日活动经费，也保障了因病或者是红白喜事的经费需求。</w:t>
      </w:r>
    </w:p>
    <w:p w14:paraId="52E204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超前作为，热情关怀。本学期我们迎来了三位支教老师，他们拥有满腔教育情怀，背井离乡到我们贫困落后山区来支教，工会努力做好服务工作。首先安排老师到县城予以迎接，其次组织全体党员及入党积极分子打扫房间卫生，最后给他们添置生活的必须品。虽然我们学校偏远、经济落后，但是我们有着侗乡那份淳朴与热情，相信他们几位也感受到了我们工会的关怀。</w:t>
      </w:r>
    </w:p>
    <w:p w14:paraId="57E5DE7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2.岁月初心，薪火相传。丹心化雨德  三寸舌三寸笔勤培桃李；玉手扶松青  一腔情一腔爱辈出栋梁。岁月承载着历史的步伐，天地积淀着文明的精华，杨松青和黄雨德两位老师在偏远农村默默耕耘四十余年，学校工会主动谋划，邀请了他们曾经的同事举办了退休活动，让我们的前辈倍感欣慰与光荣。</w:t>
      </w:r>
    </w:p>
    <w:p w14:paraId="4C1AB3D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活动有序，展示风貌。根据县教育局工会的安排，我们学校工会积极参加了教师“趣味运动会”和北联杯教师“朗诵比赛”活动，蔡福粮、向阳花、杨国清几位老师表现很精彩，同时，少而精凳小团队风貌也在夜郎广场得以展示。受到父老乡亲们的一致好评。</w:t>
      </w:r>
    </w:p>
    <w:p w14:paraId="0C3D3E7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细致服务，服务师生。随着整治群众身边腐败问题行动的展开，中央、省市县巡视组对学校食堂的督查，学校后勤团队这一年来是很辛苦。学校食品安全管理制度、食品安全保卫制度、文明用餐制度、带量食谱制度、满意度测评制度、出入库管理制度（入库查验制度）、陪餐制度、信息公开制度、食堂经费管理制度等等，给我们带来了很多原来没有的事情。但是我们学校严格落实食堂管理所有的相关制度，在此感谢杨欣楠老师、姚鹏老师、后勤大师傅以及无私奉献的全体老师们。</w:t>
      </w:r>
    </w:p>
    <w:p w14:paraId="0661A09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五、来年工作设想及努力的方向</w:t>
      </w:r>
    </w:p>
    <w:p w14:paraId="500EC54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1.继续为学校发展出谋划策，姚鹏老师主动协调免费午餐公益项目约捐赠九万元的心理健康项目基金；与中国福利基金协调近十万元的暖流教师建设项目。</w:t>
      </w:r>
    </w:p>
    <w:p w14:paraId="0C85FD2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2.进一步加强师德建设，突出全员育人观念，充分发挥全体教师的育人作用，真正做到服务育人，教书育人的全方位育人观。</w:t>
      </w:r>
    </w:p>
    <w:p w14:paraId="1F8E859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3.学校德育工作领导小组将在原有工作经验的基础上从学校实际出发，不断更新观念，努力使德育工作迈上新的台阶。</w:t>
      </w:r>
    </w:p>
    <w:p w14:paraId="302F95E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4.加强德育科研，探讨新形势下德育工作的针对性、时效性、实效性。加强德育课题研究工作，进一步提升教育管理水平，把研究成果及时应用到学校教育工作中去。</w:t>
      </w:r>
    </w:p>
    <w:p w14:paraId="4390D8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5.需更加注重学生的心理健康教育，促进学生身心全面和谐健康的发展。教师重视留守儿童成长程度有待提高。</w:t>
      </w:r>
    </w:p>
    <w:p w14:paraId="7A6B3BF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6.有效的推行读书活动，提高孩子阅读的热情，让学生会读，愿读，内化于心，外化于行。加强家校社的协同教育。</w:t>
      </w:r>
    </w:p>
    <w:p w14:paraId="4DEEEDAE">
      <w:pPr>
        <w:keepNext w:val="0"/>
        <w:keepLines w:val="0"/>
        <w:pageBreakBefore w:val="0"/>
        <w:widowControl w:val="0"/>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7.工作开拓意识不够，不敢放手大胆工作，工作水平有待进一步提高。</w:t>
      </w:r>
    </w:p>
    <w:p w14:paraId="2E7987C5">
      <w:pPr>
        <w:keepNext w:val="0"/>
        <w:keepLines w:val="0"/>
        <w:pageBreakBefore w:val="0"/>
        <w:widowControl w:val="0"/>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8.看问题站的角度不高，视野不开阔。对学校发展缺少远景规划；对教师教学指导不够深入，理论水平有待提高。</w:t>
      </w:r>
    </w:p>
    <w:p w14:paraId="226CEBED">
      <w:pPr>
        <w:keepNext w:val="0"/>
        <w:keepLines w:val="0"/>
        <w:pageBreakBefore w:val="0"/>
        <w:widowControl w:val="0"/>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9.以后我们努力提高教师的课堂教学水平和教学效率，促进教师的专业化发展，细化学校管理，提高管理运行机制的效果。</w:t>
      </w:r>
    </w:p>
    <w:p w14:paraId="019D55F5">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六</w:t>
      </w:r>
      <w:bookmarkStart w:id="0" w:name="_GoBack"/>
      <w:bookmarkEnd w:id="0"/>
      <w:r>
        <w:rPr>
          <w:rFonts w:hint="eastAsia" w:ascii="仿宋" w:hAnsi="仿宋" w:eastAsia="仿宋" w:cs="仿宋"/>
          <w:kern w:val="0"/>
          <w:sz w:val="32"/>
          <w:szCs w:val="32"/>
        </w:rPr>
        <w:t>、附件（佐证依据）</w:t>
      </w:r>
    </w:p>
    <w:p w14:paraId="23A024AC">
      <w:pPr>
        <w:keepNext w:val="0"/>
        <w:keepLines w:val="0"/>
        <w:pageBreakBefore w:val="0"/>
        <w:kinsoku/>
        <w:wordWrap/>
        <w:overflowPunct/>
        <w:topLinePunct w:val="0"/>
        <w:bidi w:val="0"/>
        <w:snapToGrid/>
        <w:spacing w:line="480" w:lineRule="auto"/>
        <w:ind w:firstLine="640" w:firstLineChars="200"/>
        <w:jc w:val="left"/>
        <w:rPr>
          <w:rFonts w:eastAsia="仿宋_GB2312"/>
          <w:kern w:val="0"/>
          <w:sz w:val="32"/>
          <w:szCs w:val="32"/>
        </w:rPr>
      </w:pPr>
      <w:r>
        <w:rPr>
          <w:rFonts w:eastAsia="仿宋_GB2312"/>
          <w:kern w:val="0"/>
          <w:sz w:val="32"/>
          <w:szCs w:val="32"/>
        </w:rPr>
        <w:t xml:space="preserve">部门认为需要作为评价报告附件的有关文件、资料等，以进一步解释和证明报告所反映的相关内容。   </w:t>
      </w:r>
    </w:p>
    <w:p w14:paraId="5F76A42E">
      <w:pPr>
        <w:keepNext w:val="0"/>
        <w:keepLines w:val="0"/>
        <w:pageBreakBefore w:val="0"/>
        <w:widowControl w:val="0"/>
        <w:kinsoku/>
        <w:wordWrap/>
        <w:overflowPunct/>
        <w:topLinePunct w:val="0"/>
        <w:autoSpaceDE/>
        <w:autoSpaceDN/>
        <w:bidi w:val="0"/>
        <w:adjustRightInd/>
        <w:snapToGrid/>
        <w:spacing w:line="480" w:lineRule="auto"/>
        <w:ind w:left="0"/>
        <w:jc w:val="right"/>
        <w:textAlignment w:val="bottom"/>
        <w:rPr>
          <w:rFonts w:hint="eastAsia" w:eastAsia="仿宋_GB2312"/>
          <w:kern w:val="0"/>
          <w:sz w:val="32"/>
          <w:szCs w:val="32"/>
          <w:lang w:val="en-US" w:eastAsia="zh-CN"/>
        </w:rPr>
      </w:pPr>
      <w:r>
        <w:rPr>
          <w:rFonts w:hint="eastAsia" w:eastAsia="仿宋_GB2312"/>
          <w:kern w:val="0"/>
          <w:sz w:val="32"/>
          <w:szCs w:val="32"/>
          <w:lang w:val="en-US" w:eastAsia="zh-CN"/>
        </w:rPr>
        <w:t>新晃侗族自治县凉伞凳寨完全小学学校</w:t>
      </w:r>
    </w:p>
    <w:p w14:paraId="6771AF93">
      <w:pPr>
        <w:keepNext w:val="0"/>
        <w:keepLines w:val="0"/>
        <w:pageBreakBefore w:val="0"/>
        <w:widowControl w:val="0"/>
        <w:kinsoku/>
        <w:wordWrap/>
        <w:overflowPunct/>
        <w:topLinePunct w:val="0"/>
        <w:autoSpaceDE/>
        <w:autoSpaceDN/>
        <w:bidi w:val="0"/>
        <w:adjustRightInd/>
        <w:snapToGrid/>
        <w:spacing w:line="480" w:lineRule="auto"/>
        <w:ind w:left="0"/>
        <w:jc w:val="right"/>
        <w:textAlignment w:val="bottom"/>
        <w:rPr>
          <w:rFonts w:hint="eastAsia" w:ascii="仿宋_GB2312" w:hAnsi="仿宋_GB2312" w:eastAsia="仿宋_GB2312" w:cs="仿宋_GB2312"/>
          <w:b/>
          <w:sz w:val="24"/>
        </w:rPr>
      </w:pPr>
      <w:r>
        <w:rPr>
          <w:rFonts w:hint="eastAsia" w:eastAsia="仿宋_GB2312"/>
          <w:kern w:val="0"/>
          <w:sz w:val="32"/>
          <w:szCs w:val="32"/>
          <w:lang w:val="en-US" w:eastAsia="zh-CN"/>
        </w:rPr>
        <w:t>2025</w:t>
      </w:r>
      <w:r>
        <w:rPr>
          <w:rFonts w:eastAsia="仿宋_GB2312"/>
          <w:kern w:val="0"/>
          <w:sz w:val="32"/>
          <w:szCs w:val="32"/>
        </w:rPr>
        <w:t xml:space="preserve">年 </w:t>
      </w:r>
      <w:r>
        <w:rPr>
          <w:rFonts w:hint="eastAsia" w:eastAsia="仿宋_GB2312"/>
          <w:kern w:val="0"/>
          <w:sz w:val="32"/>
          <w:szCs w:val="32"/>
          <w:lang w:val="en-US" w:eastAsia="zh-CN"/>
        </w:rPr>
        <w:t>4</w:t>
      </w:r>
      <w:r>
        <w:rPr>
          <w:rFonts w:eastAsia="仿宋_GB2312"/>
          <w:kern w:val="0"/>
          <w:sz w:val="32"/>
          <w:szCs w:val="32"/>
        </w:rPr>
        <w:t xml:space="preserve"> 月 </w:t>
      </w:r>
      <w:r>
        <w:rPr>
          <w:rFonts w:hint="eastAsia" w:eastAsia="仿宋_GB2312"/>
          <w:kern w:val="0"/>
          <w:sz w:val="32"/>
          <w:szCs w:val="32"/>
          <w:lang w:val="en-US" w:eastAsia="zh-CN"/>
        </w:rPr>
        <w:t>3</w:t>
      </w:r>
      <w:r>
        <w:rPr>
          <w:rFonts w:eastAsia="仿宋_GB2312"/>
          <w:kern w:val="0"/>
          <w:sz w:val="32"/>
          <w:szCs w:val="32"/>
        </w:rPr>
        <w:t xml:space="preserve"> 日</w:t>
      </w:r>
    </w:p>
    <w:p w14:paraId="4FEB4EC4">
      <w:pPr>
        <w:spacing w:line="400" w:lineRule="exact"/>
        <w:jc w:val="left"/>
        <w:rPr>
          <w:rFonts w:eastAsia="仿宋_GB2312"/>
          <w:sz w:val="24"/>
        </w:rPr>
      </w:pPr>
    </w:p>
    <w:p w14:paraId="2D45ACA8"/>
    <w:sectPr>
      <w:pgSz w:w="11906" w:h="16838"/>
      <w:pgMar w:top="1440" w:right="1689" w:bottom="1440" w:left="1803"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5200">
    <w:pPr>
      <w:pStyle w:val="3"/>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E7D3">
                          <w:pPr>
                            <w:pStyle w:val="3"/>
                            <w:jc w:val="center"/>
                            <w:rPr>
                              <w:rStyle w:val="9"/>
                            </w:rPr>
                          </w:pPr>
                          <w:r>
                            <w:fldChar w:fldCharType="begin"/>
                          </w:r>
                          <w:r>
                            <w:rPr>
                              <w:rStyle w:val="9"/>
                            </w:rPr>
                            <w:instrText xml:space="preserve">PAGE  </w:instrText>
                          </w:r>
                          <w:r>
                            <w:fldChar w:fldCharType="separate"/>
                          </w:r>
                          <w:r>
                            <w:rPr>
                              <w:rStyle w:val="9"/>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57E7D3">
                    <w:pPr>
                      <w:pStyle w:val="3"/>
                      <w:jc w:val="center"/>
                      <w:rPr>
                        <w:rStyle w:val="9"/>
                      </w:rPr>
                    </w:pPr>
                    <w:r>
                      <w:fldChar w:fldCharType="begin"/>
                    </w:r>
                    <w:r>
                      <w:rPr>
                        <w:rStyle w:val="9"/>
                      </w:rPr>
                      <w:instrText xml:space="preserve">PAGE  </w:instrText>
                    </w:r>
                    <w:r>
                      <w:fldChar w:fldCharType="separate"/>
                    </w:r>
                    <w:r>
                      <w:rPr>
                        <w:rStyle w:val="9"/>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CAC73"/>
    <w:multiLevelType w:val="singleLevel"/>
    <w:tmpl w:val="80FCAC73"/>
    <w:lvl w:ilvl="0" w:tentative="0">
      <w:start w:val="1"/>
      <w:numFmt w:val="chineseCounting"/>
      <w:suff w:val="nothing"/>
      <w:lvlText w:val="（%1）"/>
      <w:lvlJc w:val="left"/>
      <w:rPr>
        <w:rFonts w:hint="eastAsia"/>
      </w:rPr>
    </w:lvl>
  </w:abstractNum>
  <w:abstractNum w:abstractNumId="1">
    <w:nsid w:val="64D2A3B9"/>
    <w:multiLevelType w:val="singleLevel"/>
    <w:tmpl w:val="64D2A3B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55628"/>
    <w:rsid w:val="039557E5"/>
    <w:rsid w:val="05BB03CF"/>
    <w:rsid w:val="07194B34"/>
    <w:rsid w:val="0B9A3EC8"/>
    <w:rsid w:val="0E0F3329"/>
    <w:rsid w:val="115059B0"/>
    <w:rsid w:val="126C4ACC"/>
    <w:rsid w:val="28D16EA4"/>
    <w:rsid w:val="29D65682"/>
    <w:rsid w:val="29D87A5C"/>
    <w:rsid w:val="379D12F9"/>
    <w:rsid w:val="3AA27CC4"/>
    <w:rsid w:val="3D3D74A8"/>
    <w:rsid w:val="3FA21416"/>
    <w:rsid w:val="415508DA"/>
    <w:rsid w:val="482F1ACB"/>
    <w:rsid w:val="4BD37EE4"/>
    <w:rsid w:val="4D534C3B"/>
    <w:rsid w:val="514E0672"/>
    <w:rsid w:val="5753191E"/>
    <w:rsid w:val="5775062B"/>
    <w:rsid w:val="5E167522"/>
    <w:rsid w:val="5E980137"/>
    <w:rsid w:val="5FFB78B5"/>
    <w:rsid w:val="65825AEF"/>
    <w:rsid w:val="68231D3A"/>
    <w:rsid w:val="6A120FE7"/>
    <w:rsid w:val="702B6438"/>
    <w:rsid w:val="71144B3C"/>
    <w:rsid w:val="72B77C52"/>
    <w:rsid w:val="73B16E2C"/>
    <w:rsid w:val="790F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5">
    <w:name w:val="Body Text First Indent"/>
    <w:basedOn w:val="2"/>
    <w:qFormat/>
    <w:uiPriority w:val="0"/>
    <w:pPr>
      <w:spacing w:after="200"/>
      <w:ind w:firstLine="100" w:firstLineChars="100"/>
      <w:jc w:val="center"/>
    </w:pPr>
    <w:rPr>
      <w:rFonts w:ascii="??_GB2312" w:hAnsi="??_GB2312" w:cs="??_GB2312"/>
      <w:sz w:val="24"/>
      <w:szCs w:val="24"/>
    </w:rPr>
  </w:style>
  <w:style w:type="character" w:styleId="8">
    <w:name w:val="Strong"/>
    <w:qFormat/>
    <w:uiPriority w:val="0"/>
    <w:rPr>
      <w:b/>
      <w:bCs/>
    </w:rPr>
  </w:style>
  <w:style w:type="character" w:styleId="9">
    <w:name w:val="page number"/>
    <w:basedOn w:val="7"/>
    <w:qFormat/>
    <w:uiPriority w:val="0"/>
  </w:style>
  <w:style w:type="paragraph" w:customStyle="1" w:styleId="10">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4927</Words>
  <Characters>5335</Characters>
  <Lines>0</Lines>
  <Paragraphs>0</Paragraphs>
  <TotalTime>3</TotalTime>
  <ScaleCrop>false</ScaleCrop>
  <LinksUpToDate>false</LinksUpToDate>
  <CharactersWithSpaces>5383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2025-02-26T01:16:00Z</dcterms:created>
  <dc:creator>Administrator</dc:creator>
  <cp:lastModifiedBy>Administrator</cp:lastModifiedBy>
  <cp:lastPrinted>2025-03-05T07:39:00Z</cp:lastPrinted>
  <dcterms:modified xsi:type="dcterms:W3CDTF">2025-04-07T01:46:53Z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C733F5DAC9EA4274AA7D83BD4D6DA6C0_12</vt:lpwstr>
  </property>
</Properties>
</file>