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F407B8">
      <w:pPr>
        <w:spacing w:before="240" w:line="340" w:lineRule="exact"/>
        <w:jc w:val="left"/>
        <w:rPr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附件2-3</w:t>
      </w:r>
    </w:p>
    <w:p w14:paraId="02DA838C">
      <w:pPr>
        <w:spacing w:line="600" w:lineRule="exact"/>
        <w:jc w:val="center"/>
        <w:rPr>
          <w:rFonts w:hint="eastAsia" w:ascii="宋体" w:hAnsi="宋体"/>
          <w:b/>
          <w:w w:val="85"/>
          <w:sz w:val="36"/>
          <w:szCs w:val="36"/>
        </w:rPr>
      </w:pPr>
      <w:r>
        <w:rPr>
          <w:rFonts w:hint="eastAsia" w:ascii="宋体" w:hAnsi="宋体" w:eastAsia="方正粗宋简体"/>
          <w:b/>
          <w:w w:val="85"/>
          <w:sz w:val="36"/>
          <w:szCs w:val="36"/>
        </w:rPr>
        <w:t>2024</w:t>
      </w:r>
      <w:r>
        <w:rPr>
          <w:rFonts w:ascii="宋体" w:hAnsi="宋体"/>
          <w:b/>
          <w:w w:val="85"/>
          <w:sz w:val="36"/>
          <w:szCs w:val="36"/>
        </w:rPr>
        <w:t>年度</w:t>
      </w:r>
      <w:r>
        <w:rPr>
          <w:rFonts w:hint="eastAsia" w:ascii="宋体" w:hAnsi="宋体"/>
          <w:b/>
          <w:w w:val="85"/>
          <w:sz w:val="36"/>
          <w:szCs w:val="36"/>
          <w:u w:val="single"/>
          <w:lang w:eastAsia="zh-CN"/>
        </w:rPr>
        <w:t>司法局离退休人员生活补助经费</w:t>
      </w:r>
      <w:r>
        <w:rPr>
          <w:rFonts w:hint="eastAsia" w:ascii="宋体" w:hAnsi="宋体"/>
          <w:b/>
          <w:w w:val="85"/>
          <w:sz w:val="36"/>
          <w:szCs w:val="36"/>
        </w:rPr>
        <w:t>项目</w:t>
      </w:r>
      <w:r>
        <w:rPr>
          <w:rFonts w:ascii="宋体" w:hAnsi="宋体"/>
          <w:b/>
          <w:w w:val="85"/>
          <w:sz w:val="36"/>
          <w:szCs w:val="36"/>
        </w:rPr>
        <w:t>支出</w:t>
      </w:r>
      <w:r>
        <w:rPr>
          <w:rFonts w:hint="eastAsia" w:ascii="宋体" w:hAnsi="宋体"/>
          <w:b/>
          <w:w w:val="85"/>
          <w:sz w:val="36"/>
          <w:szCs w:val="36"/>
        </w:rPr>
        <w:t>绩效</w:t>
      </w:r>
      <w:r>
        <w:rPr>
          <w:rFonts w:ascii="宋体" w:hAnsi="宋体"/>
          <w:b/>
          <w:w w:val="85"/>
          <w:sz w:val="36"/>
          <w:szCs w:val="36"/>
        </w:rPr>
        <w:t>自评报告</w:t>
      </w:r>
    </w:p>
    <w:p w14:paraId="7ADE8A41">
      <w:pPr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一、基本情况</w:t>
      </w:r>
    </w:p>
    <w:p w14:paraId="65A9C3BB">
      <w:pPr>
        <w:spacing w:line="560" w:lineRule="exact"/>
        <w:ind w:firstLine="640" w:firstLineChars="200"/>
        <w:jc w:val="lef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（一）项目概况。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离退休人员生活补助经费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23.4万元，主要用于发放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离退休人员生活补助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 w14:paraId="578CDCD4">
      <w:pPr>
        <w:spacing w:line="560" w:lineRule="exact"/>
        <w:ind w:firstLine="640" w:firstLineChars="200"/>
        <w:jc w:val="lef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（二）项目绩效目标。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发放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34名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离退休人员生活补助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 w14:paraId="426E7329">
      <w:pPr>
        <w:spacing w:line="560" w:lineRule="exact"/>
        <w:ind w:firstLine="643" w:firstLineChars="200"/>
        <w:jc w:val="left"/>
        <w:rPr>
          <w:rFonts w:hint="eastAsia"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二、绩效评价工作开展情况</w:t>
      </w:r>
    </w:p>
    <w:p w14:paraId="412BE7F1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（一）绩效评价目的、对象和范围。</w:t>
      </w:r>
    </w:p>
    <w:p w14:paraId="404A685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（1）严格执行《预算法》，强化支出责任，提高项目资金使用效益，对项目支出情况开展绩效评价，践行“花钱必问效、无效必问责”。</w:t>
      </w:r>
    </w:p>
    <w:p w14:paraId="0248F0D6">
      <w:pPr>
        <w:spacing w:line="560" w:lineRule="exact"/>
        <w:ind w:firstLine="640" w:firstLineChars="200"/>
        <w:jc w:val="left"/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（2）通过对项目资金的绩效评价，进一步了解和掌握项目实施的具体情况，评价其项目资金安排的科学性、合理性、规范性和资金使用成效，及时总结项目管理经验，完善项目管理办法，提高项目管理水平和资金的使用效益。</w:t>
      </w:r>
    </w:p>
    <w:p w14:paraId="449204AF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（二）绩效评价原则、评价指标体系（附表说明）、评价方法、评价标准等。</w:t>
      </w:r>
    </w:p>
    <w:p w14:paraId="358CFF5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right="0"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（1）科学公正。绩效评价应当运用科学合理的方法，按照规范的程序，对项目绩效进行客观、公正地反映。</w:t>
      </w:r>
    </w:p>
    <w:p w14:paraId="6CEA981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0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　　（2）统筹兼顾。单位自评、部门评价和财政评价应职责明确，各有侧重，相互衔接。单位自评应由项目单位自主实施，即“谁支出、谁自评”。部门评价和财政评价应在单位自评的基础上开展。</w:t>
      </w:r>
    </w:p>
    <w:p w14:paraId="5FB7C96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0"/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　　（3）激励约束。绩效评价结果应与预算安排、政策调整、改进管理实质性挂钩，体现奖优罚劣和激励相容导向，有效要安排、低效要压减、无效要问责。</w:t>
      </w:r>
    </w:p>
    <w:p w14:paraId="10117E6E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（三）绩效评价工作过程。</w:t>
      </w:r>
    </w:p>
    <w:p w14:paraId="3CC71B8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1.成立绩效评价领导小组；</w:t>
      </w:r>
    </w:p>
    <w:p w14:paraId="09C9352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0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　　2.组织相关人员进行培训；</w:t>
      </w:r>
    </w:p>
    <w:p w14:paraId="58635EA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0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　　3.收集相关资料；</w:t>
      </w:r>
    </w:p>
    <w:p w14:paraId="5A6CA08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0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　　4.分析资料、汇总评价数据；</w:t>
      </w:r>
    </w:p>
    <w:p w14:paraId="6F36CA2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0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　　5.填写项目支出绩效单位自评表，撰写绩效自评报告。</w:t>
      </w:r>
    </w:p>
    <w:p w14:paraId="504C8C0F">
      <w:pPr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三、综合评价情况及评价结论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（附相关评分表）</w:t>
      </w:r>
    </w:p>
    <w:p w14:paraId="2BF34E64">
      <w:pPr>
        <w:spacing w:line="600" w:lineRule="exact"/>
        <w:ind w:firstLine="640" w:firstLineChars="200"/>
        <w:jc w:val="both"/>
        <w:rPr>
          <w:rFonts w:hint="eastAsi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根据绩效目标表</w:t>
      </w:r>
      <w:r>
        <w:rPr>
          <w:rFonts w:hint="eastAsia" w:eastAsia="仿宋_GB2312" w:cs="Times New Roman"/>
          <w:sz w:val="32"/>
          <w:szCs w:val="32"/>
          <w:lang w:val="en-US" w:eastAsia="zh-CN" w:bidi="ar-SA"/>
        </w:rPr>
        <w:t>相关指标，逐一对应指标值数进行综合评价，自评分数为96分，评价结果为优秀。</w:t>
      </w:r>
    </w:p>
    <w:tbl>
      <w:tblPr>
        <w:tblStyle w:val="5"/>
        <w:tblW w:w="86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8"/>
        <w:gridCol w:w="1244"/>
        <w:gridCol w:w="1755"/>
        <w:gridCol w:w="3555"/>
        <w:gridCol w:w="1460"/>
      </w:tblGrid>
      <w:tr w14:paraId="311426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</w:trPr>
        <w:tc>
          <w:tcPr>
            <w:tcW w:w="658" w:type="dxa"/>
            <w:vMerge w:val="restart"/>
            <w:vAlign w:val="center"/>
          </w:tcPr>
          <w:p w14:paraId="4F0FE1E7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绩效</w:t>
            </w:r>
          </w:p>
          <w:p w14:paraId="5769060F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指标</w:t>
            </w:r>
          </w:p>
        </w:tc>
        <w:tc>
          <w:tcPr>
            <w:tcW w:w="1244" w:type="dxa"/>
            <w:vAlign w:val="center"/>
          </w:tcPr>
          <w:p w14:paraId="02EB3E6D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一级</w:t>
            </w:r>
          </w:p>
          <w:p w14:paraId="0739AC0F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指标</w:t>
            </w:r>
          </w:p>
        </w:tc>
        <w:tc>
          <w:tcPr>
            <w:tcW w:w="1755" w:type="dxa"/>
            <w:vAlign w:val="center"/>
          </w:tcPr>
          <w:p w14:paraId="38EC7849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二级指标</w:t>
            </w:r>
          </w:p>
        </w:tc>
        <w:tc>
          <w:tcPr>
            <w:tcW w:w="3555" w:type="dxa"/>
            <w:vAlign w:val="center"/>
          </w:tcPr>
          <w:p w14:paraId="505B387C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三级指标</w:t>
            </w:r>
          </w:p>
        </w:tc>
        <w:tc>
          <w:tcPr>
            <w:tcW w:w="1460" w:type="dxa"/>
            <w:vAlign w:val="center"/>
          </w:tcPr>
          <w:p w14:paraId="7D5EDE94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指标值</w:t>
            </w:r>
          </w:p>
        </w:tc>
      </w:tr>
      <w:tr w14:paraId="49FC72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</w:trPr>
        <w:tc>
          <w:tcPr>
            <w:tcW w:w="658" w:type="dxa"/>
            <w:vMerge w:val="continue"/>
            <w:vAlign w:val="center"/>
          </w:tcPr>
          <w:p w14:paraId="029E1BFD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244" w:type="dxa"/>
            <w:vMerge w:val="restart"/>
            <w:vAlign w:val="center"/>
          </w:tcPr>
          <w:p w14:paraId="747AB025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产出指标</w:t>
            </w:r>
          </w:p>
        </w:tc>
        <w:tc>
          <w:tcPr>
            <w:tcW w:w="1755" w:type="dxa"/>
            <w:vMerge w:val="restart"/>
            <w:vAlign w:val="center"/>
          </w:tcPr>
          <w:p w14:paraId="33DFC424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数量指标</w:t>
            </w:r>
          </w:p>
        </w:tc>
        <w:tc>
          <w:tcPr>
            <w:tcW w:w="3555" w:type="dxa"/>
            <w:vAlign w:val="center"/>
          </w:tcPr>
          <w:p w14:paraId="4C8773C2">
            <w:pPr>
              <w:spacing w:line="400" w:lineRule="exact"/>
              <w:jc w:val="left"/>
              <w:rPr>
                <w:rFonts w:hint="default" w:ascii="仿宋_GB2312" w:eastAsia="仿宋_GB2312" w:hAnsiTheme="minorEastAsia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  <w:t>项目资金支出</w:t>
            </w:r>
          </w:p>
        </w:tc>
        <w:tc>
          <w:tcPr>
            <w:tcW w:w="1460" w:type="dxa"/>
            <w:vAlign w:val="center"/>
          </w:tcPr>
          <w:p w14:paraId="0749C5DF">
            <w:pPr>
              <w:spacing w:line="400" w:lineRule="exact"/>
              <w:jc w:val="center"/>
              <w:rPr>
                <w:rFonts w:hint="default" w:ascii="仿宋_GB2312" w:eastAsia="仿宋_GB2312" w:hAnsiTheme="minorEastAsia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  <w:t>≤23.4万元</w:t>
            </w:r>
          </w:p>
        </w:tc>
      </w:tr>
      <w:tr w14:paraId="72D355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</w:trPr>
        <w:tc>
          <w:tcPr>
            <w:tcW w:w="658" w:type="dxa"/>
            <w:vMerge w:val="continue"/>
            <w:vAlign w:val="center"/>
          </w:tcPr>
          <w:p w14:paraId="2BE6C2E9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244" w:type="dxa"/>
            <w:vMerge w:val="continue"/>
            <w:vAlign w:val="center"/>
          </w:tcPr>
          <w:p w14:paraId="4F590E8C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755" w:type="dxa"/>
            <w:vMerge w:val="continue"/>
            <w:vAlign w:val="center"/>
          </w:tcPr>
          <w:p w14:paraId="308F2A81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3555" w:type="dxa"/>
            <w:vAlign w:val="center"/>
          </w:tcPr>
          <w:p w14:paraId="6F717BD6">
            <w:pPr>
              <w:spacing w:line="400" w:lineRule="exact"/>
              <w:jc w:val="left"/>
              <w:rPr>
                <w:rFonts w:hint="default" w:ascii="仿宋_GB2312" w:eastAsia="仿宋_GB2312" w:hAnsiTheme="minorEastAsia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  <w:t>离退休人员数量</w:t>
            </w:r>
          </w:p>
        </w:tc>
        <w:tc>
          <w:tcPr>
            <w:tcW w:w="1460" w:type="dxa"/>
            <w:vAlign w:val="center"/>
          </w:tcPr>
          <w:p w14:paraId="5536F8B8">
            <w:pPr>
              <w:spacing w:line="400" w:lineRule="exact"/>
              <w:jc w:val="center"/>
              <w:rPr>
                <w:rFonts w:hint="default" w:ascii="仿宋_GB2312" w:eastAsia="仿宋_GB2312" w:hAnsiTheme="minorEastAsia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  <w:t>34</w:t>
            </w:r>
          </w:p>
        </w:tc>
      </w:tr>
      <w:tr w14:paraId="4ECF44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</w:trPr>
        <w:tc>
          <w:tcPr>
            <w:tcW w:w="658" w:type="dxa"/>
            <w:vMerge w:val="continue"/>
            <w:vAlign w:val="center"/>
          </w:tcPr>
          <w:p w14:paraId="54BE3592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244" w:type="dxa"/>
            <w:vMerge w:val="continue"/>
            <w:vAlign w:val="center"/>
          </w:tcPr>
          <w:p w14:paraId="0545C16B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755" w:type="dxa"/>
            <w:vMerge w:val="restart"/>
            <w:vAlign w:val="center"/>
          </w:tcPr>
          <w:p w14:paraId="11344DF5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质量指标</w:t>
            </w:r>
          </w:p>
        </w:tc>
        <w:tc>
          <w:tcPr>
            <w:tcW w:w="3555" w:type="dxa"/>
            <w:vAlign w:val="center"/>
          </w:tcPr>
          <w:p w14:paraId="463A6C14">
            <w:pPr>
              <w:spacing w:line="400" w:lineRule="exact"/>
              <w:jc w:val="left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  <w:t>项目</w:t>
            </w:r>
            <w:r>
              <w:rPr>
                <w:rFonts w:hint="eastAsia" w:ascii="仿宋_GB2312" w:eastAsia="仿宋_GB2312" w:hAnsiTheme="minorEastAsia"/>
                <w:szCs w:val="21"/>
              </w:rPr>
              <w:t>资金足额拨付率</w:t>
            </w:r>
          </w:p>
        </w:tc>
        <w:tc>
          <w:tcPr>
            <w:tcW w:w="1460" w:type="dxa"/>
            <w:vAlign w:val="center"/>
          </w:tcPr>
          <w:p w14:paraId="67EA8BAA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100%</w:t>
            </w:r>
          </w:p>
        </w:tc>
      </w:tr>
      <w:tr w14:paraId="5D7222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</w:trPr>
        <w:tc>
          <w:tcPr>
            <w:tcW w:w="658" w:type="dxa"/>
            <w:vMerge w:val="continue"/>
            <w:vAlign w:val="center"/>
          </w:tcPr>
          <w:p w14:paraId="2A0F5B6F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244" w:type="dxa"/>
            <w:vMerge w:val="continue"/>
            <w:vAlign w:val="center"/>
          </w:tcPr>
          <w:p w14:paraId="7AF8F413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755" w:type="dxa"/>
            <w:vMerge w:val="continue"/>
            <w:vAlign w:val="center"/>
          </w:tcPr>
          <w:p w14:paraId="6F6F4EC7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3555" w:type="dxa"/>
            <w:vAlign w:val="center"/>
          </w:tcPr>
          <w:p w14:paraId="2808FDBE">
            <w:pPr>
              <w:spacing w:line="400" w:lineRule="exact"/>
              <w:jc w:val="left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  <w:t>项目目标完成</w:t>
            </w:r>
            <w:r>
              <w:rPr>
                <w:rFonts w:hint="eastAsia" w:ascii="仿宋_GB2312" w:eastAsia="仿宋_GB2312" w:hAnsiTheme="minorEastAsia"/>
                <w:szCs w:val="21"/>
              </w:rPr>
              <w:t>率</w:t>
            </w:r>
          </w:p>
        </w:tc>
        <w:tc>
          <w:tcPr>
            <w:tcW w:w="1460" w:type="dxa"/>
            <w:vAlign w:val="center"/>
          </w:tcPr>
          <w:p w14:paraId="14E114D8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  <w:t>100</w:t>
            </w:r>
            <w:r>
              <w:rPr>
                <w:rFonts w:hint="eastAsia" w:ascii="仿宋_GB2312" w:eastAsia="仿宋_GB2312" w:hAnsiTheme="minorEastAsia"/>
                <w:szCs w:val="21"/>
              </w:rPr>
              <w:t>%</w:t>
            </w:r>
          </w:p>
        </w:tc>
      </w:tr>
      <w:tr w14:paraId="63E339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</w:trPr>
        <w:tc>
          <w:tcPr>
            <w:tcW w:w="658" w:type="dxa"/>
            <w:vMerge w:val="continue"/>
            <w:vAlign w:val="center"/>
          </w:tcPr>
          <w:p w14:paraId="396DB104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244" w:type="dxa"/>
            <w:vMerge w:val="continue"/>
            <w:vAlign w:val="center"/>
          </w:tcPr>
          <w:p w14:paraId="2139E87E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755" w:type="dxa"/>
            <w:vAlign w:val="center"/>
          </w:tcPr>
          <w:p w14:paraId="6BFD6FB1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时效指标</w:t>
            </w:r>
          </w:p>
        </w:tc>
        <w:tc>
          <w:tcPr>
            <w:tcW w:w="3555" w:type="dxa"/>
            <w:vAlign w:val="center"/>
          </w:tcPr>
          <w:p w14:paraId="4CB32FEE">
            <w:pPr>
              <w:spacing w:line="400" w:lineRule="exact"/>
              <w:jc w:val="left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  <w:t>项目</w:t>
            </w:r>
            <w:r>
              <w:rPr>
                <w:rFonts w:hint="eastAsia" w:ascii="仿宋_GB2312" w:eastAsia="仿宋_GB2312" w:hAnsiTheme="minorEastAsia"/>
                <w:szCs w:val="21"/>
              </w:rPr>
              <w:t>资金及时拨付率</w:t>
            </w:r>
          </w:p>
        </w:tc>
        <w:tc>
          <w:tcPr>
            <w:tcW w:w="1460" w:type="dxa"/>
            <w:vAlign w:val="center"/>
          </w:tcPr>
          <w:p w14:paraId="77B0A464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100%</w:t>
            </w:r>
          </w:p>
        </w:tc>
      </w:tr>
      <w:tr w14:paraId="54EB8E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</w:trPr>
        <w:tc>
          <w:tcPr>
            <w:tcW w:w="658" w:type="dxa"/>
            <w:vMerge w:val="continue"/>
            <w:vAlign w:val="center"/>
          </w:tcPr>
          <w:p w14:paraId="494F0D8C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244" w:type="dxa"/>
            <w:vMerge w:val="restart"/>
            <w:vAlign w:val="center"/>
          </w:tcPr>
          <w:p w14:paraId="1B4384CF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效益指标</w:t>
            </w:r>
          </w:p>
        </w:tc>
        <w:tc>
          <w:tcPr>
            <w:tcW w:w="1755" w:type="dxa"/>
            <w:vAlign w:val="center"/>
          </w:tcPr>
          <w:p w14:paraId="68086B64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社会效益指标</w:t>
            </w:r>
          </w:p>
        </w:tc>
        <w:tc>
          <w:tcPr>
            <w:tcW w:w="3555" w:type="dxa"/>
            <w:vAlign w:val="center"/>
          </w:tcPr>
          <w:p w14:paraId="0F73E3D0">
            <w:pPr>
              <w:spacing w:line="400" w:lineRule="exact"/>
              <w:jc w:val="left"/>
              <w:rPr>
                <w:rFonts w:hint="eastAsia" w:ascii="仿宋_GB2312" w:eastAsia="仿宋_GB2312" w:hAnsiTheme="minorEastAsia"/>
                <w:szCs w:val="21"/>
                <w:lang w:eastAsia="zh-CN"/>
              </w:rPr>
            </w:pPr>
            <w:r>
              <w:rPr>
                <w:rFonts w:hint="eastAsia" w:ascii="仿宋_GB2312" w:eastAsia="仿宋_GB2312" w:hAnsiTheme="minorEastAsia"/>
                <w:szCs w:val="21"/>
                <w:lang w:eastAsia="zh-CN"/>
              </w:rPr>
              <w:t>维护社会稳定</w:t>
            </w:r>
          </w:p>
        </w:tc>
        <w:tc>
          <w:tcPr>
            <w:tcW w:w="1460" w:type="dxa"/>
            <w:vAlign w:val="center"/>
          </w:tcPr>
          <w:p w14:paraId="2D3659C0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  <w:lang w:eastAsia="zh-CN"/>
              </w:rPr>
            </w:pPr>
            <w:r>
              <w:rPr>
                <w:rFonts w:hint="eastAsia" w:ascii="仿宋_GB2312" w:eastAsia="仿宋_GB2312" w:hAnsiTheme="minorEastAsia"/>
                <w:szCs w:val="21"/>
                <w:lang w:eastAsia="zh-CN"/>
              </w:rPr>
              <w:t>维护稳定</w:t>
            </w:r>
          </w:p>
        </w:tc>
      </w:tr>
      <w:tr w14:paraId="413926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</w:trPr>
        <w:tc>
          <w:tcPr>
            <w:tcW w:w="658" w:type="dxa"/>
            <w:vMerge w:val="continue"/>
            <w:vAlign w:val="center"/>
          </w:tcPr>
          <w:p w14:paraId="29F97A51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244" w:type="dxa"/>
            <w:vMerge w:val="continue"/>
            <w:vAlign w:val="center"/>
          </w:tcPr>
          <w:p w14:paraId="7D8B7C9A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755" w:type="dxa"/>
            <w:vAlign w:val="center"/>
          </w:tcPr>
          <w:p w14:paraId="6E354845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  <w:t>可持续影响指标</w:t>
            </w:r>
          </w:p>
        </w:tc>
        <w:tc>
          <w:tcPr>
            <w:tcW w:w="3555" w:type="dxa"/>
            <w:vAlign w:val="center"/>
          </w:tcPr>
          <w:p w14:paraId="2851A98E">
            <w:pPr>
              <w:spacing w:line="400" w:lineRule="exact"/>
              <w:jc w:val="left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创建项目具有可持续性</w:t>
            </w:r>
          </w:p>
        </w:tc>
        <w:tc>
          <w:tcPr>
            <w:tcW w:w="1460" w:type="dxa"/>
            <w:vAlign w:val="center"/>
          </w:tcPr>
          <w:p w14:paraId="5E2F1820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  <w:t>长期</w:t>
            </w:r>
          </w:p>
        </w:tc>
      </w:tr>
      <w:tr w14:paraId="32B9FC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</w:trPr>
        <w:tc>
          <w:tcPr>
            <w:tcW w:w="658" w:type="dxa"/>
            <w:vMerge w:val="continue"/>
            <w:vAlign w:val="center"/>
          </w:tcPr>
          <w:p w14:paraId="476992F1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244" w:type="dxa"/>
            <w:vAlign w:val="center"/>
          </w:tcPr>
          <w:p w14:paraId="447E9161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满意度指标</w:t>
            </w:r>
          </w:p>
        </w:tc>
        <w:tc>
          <w:tcPr>
            <w:tcW w:w="1755" w:type="dxa"/>
            <w:vAlign w:val="center"/>
          </w:tcPr>
          <w:p w14:paraId="65BC4320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服务对象满意度指标</w:t>
            </w:r>
          </w:p>
        </w:tc>
        <w:tc>
          <w:tcPr>
            <w:tcW w:w="3555" w:type="dxa"/>
            <w:vAlign w:val="center"/>
          </w:tcPr>
          <w:p w14:paraId="0F73A8D6">
            <w:pPr>
              <w:spacing w:line="400" w:lineRule="exact"/>
              <w:jc w:val="left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  <w:t>受益</w:t>
            </w:r>
            <w:r>
              <w:rPr>
                <w:rFonts w:hint="eastAsia" w:ascii="仿宋_GB2312" w:eastAsia="仿宋_GB2312" w:hAnsiTheme="minorEastAsia"/>
                <w:szCs w:val="21"/>
              </w:rPr>
              <w:t>群众满意度</w:t>
            </w:r>
          </w:p>
        </w:tc>
        <w:tc>
          <w:tcPr>
            <w:tcW w:w="1460" w:type="dxa"/>
            <w:vAlign w:val="center"/>
          </w:tcPr>
          <w:p w14:paraId="3561C462"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≥9</w:t>
            </w:r>
            <w:r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  <w:t>5</w:t>
            </w:r>
            <w:r>
              <w:rPr>
                <w:rFonts w:hint="eastAsia" w:ascii="仿宋_GB2312" w:eastAsia="仿宋_GB2312" w:hAnsiTheme="minorEastAsia"/>
                <w:szCs w:val="21"/>
              </w:rPr>
              <w:t>%</w:t>
            </w:r>
          </w:p>
        </w:tc>
      </w:tr>
    </w:tbl>
    <w:p w14:paraId="2315F988">
      <w:pPr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四、绩效评价指标分析</w:t>
      </w:r>
    </w:p>
    <w:p w14:paraId="4349BD3A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（一）项目决策情况。</w:t>
      </w:r>
    </w:p>
    <w:p w14:paraId="7CC50300">
      <w:pPr>
        <w:spacing w:line="600" w:lineRule="exact"/>
        <w:ind w:left="0" w:firstLine="640" w:firstLineChars="200"/>
        <w:textAlignment w:val="auto"/>
        <w:rPr>
          <w:rFonts w:hint="eastAsia"/>
          <w:lang w:val="en-US" w:eastAsia="zh-CN"/>
        </w:rPr>
      </w:pPr>
      <w:r>
        <w:rPr>
          <w:rFonts w:hint="eastAsia" w:ascii="仿宋_GB2312" w:eastAsia="仿宋_GB2312"/>
          <w:b w:val="0"/>
          <w:bCs/>
          <w:sz w:val="32"/>
          <w:szCs w:val="32"/>
          <w:lang w:val="en-US" w:eastAsia="zh-CN"/>
        </w:rPr>
        <w:t>离退休人员生活补助经费主要用于聘请辅警及发放遗属补助支出，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本项目符合社会发展规划和部门年度工作计划，根据实际需要和工作特点制定近期实施计划，为项目的实施提供了较好的方向性指导。</w:t>
      </w:r>
    </w:p>
    <w:p w14:paraId="0320FF94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（二）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项目过程情况。</w:t>
      </w:r>
    </w:p>
    <w:p w14:paraId="47FDE77A">
      <w:pPr>
        <w:spacing w:line="560" w:lineRule="exact"/>
        <w:ind w:firstLine="640" w:firstLineChars="200"/>
        <w:jc w:val="lef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资金到位23.4万元，到位率100%，支出23.4万元，使用率100%。该项目资金严格按照相关要求使用，专款专用。</w:t>
      </w:r>
    </w:p>
    <w:p w14:paraId="4D8070D2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（三）</w:t>
      </w:r>
      <w:r>
        <w:rPr>
          <w:rFonts w:hint="eastAsia" w:ascii="仿宋_GB2312" w:hAnsi="仿宋_GB2312" w:eastAsia="仿宋_GB2312" w:cs="仿宋_GB2312"/>
          <w:sz w:val="32"/>
          <w:szCs w:val="32"/>
        </w:rPr>
        <w:t>目产出情况。</w:t>
      </w:r>
    </w:p>
    <w:p w14:paraId="5EC2899A">
      <w:pPr>
        <w:spacing w:line="560" w:lineRule="exact"/>
        <w:ind w:firstLine="640" w:firstLineChars="200"/>
        <w:jc w:val="lef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发放34名离退休人员生活补助。</w:t>
      </w:r>
      <w:bookmarkStart w:id="0" w:name="_GoBack"/>
      <w:bookmarkEnd w:id="0"/>
    </w:p>
    <w:p w14:paraId="678BD9EA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（四）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项目效益情况。</w:t>
      </w:r>
    </w:p>
    <w:p w14:paraId="368572B9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保障了我单位司法行政工作正常开展，群众满意度95%。</w:t>
      </w:r>
    </w:p>
    <w:p w14:paraId="0BEAC69C">
      <w:pPr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五、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主要经验及做法、存在的问题及原因分析</w:t>
      </w:r>
    </w:p>
    <w:p w14:paraId="437A4829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加强专项资金绩效管理。通过2024年度专项绩效评价工作的开展，进一步加强专项支出的绩效管理，完善业务和财务管理制度，健全和落实财务监控机制，有效提高专项资金的使用效益和效率，确保财政资金的使用绩效。</w:t>
      </w:r>
    </w:p>
    <w:p w14:paraId="465142C4">
      <w:pPr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六、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有关建议</w:t>
      </w:r>
    </w:p>
    <w:p w14:paraId="18287694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完善预算编制，加大预算统筹力度，对政府性资金综合考虑、统一管理、统筹安排，提高预算的约束力。</w:t>
      </w:r>
    </w:p>
    <w:p w14:paraId="6D68B645">
      <w:pPr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七、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其他需要说明的问题</w:t>
      </w:r>
    </w:p>
    <w:p w14:paraId="574FC99B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无他需要说明的问题</w:t>
      </w:r>
    </w:p>
    <w:p w14:paraId="64A280BB">
      <w:pPr>
        <w:pStyle w:val="3"/>
        <w:widowControl w:val="0"/>
        <w:spacing w:before="0" w:beforeAutospacing="0" w:after="0" w:afterAutospacing="0" w:line="52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    项目单位（签）                        </w:t>
      </w:r>
    </w:p>
    <w:p w14:paraId="38623446">
      <w:pPr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5921ED"/>
    <w:rsid w:val="220F17A9"/>
    <w:rsid w:val="25585215"/>
    <w:rsid w:val="26633E37"/>
    <w:rsid w:val="28940C5A"/>
    <w:rsid w:val="2C1B0D4A"/>
    <w:rsid w:val="382F0057"/>
    <w:rsid w:val="430420E0"/>
    <w:rsid w:val="5D2C0791"/>
    <w:rsid w:val="6D0112BB"/>
    <w:rsid w:val="710B6BAC"/>
    <w:rsid w:val="7D8E6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kern w:val="44"/>
      <w:sz w:val="48"/>
      <w:szCs w:val="48"/>
      <w:lang w:val="en-US" w:eastAsia="zh-CN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1217</Words>
  <Characters>1263</Characters>
  <Lines>0</Lines>
  <Paragraphs>0</Paragraphs>
  <TotalTime>1</TotalTime>
  <ScaleCrop>false</ScaleCrop>
  <LinksUpToDate>false</LinksUpToDate>
  <CharactersWithSpaces>1337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2025-04-03T07:53:00Z</dcterms:created>
  <dc:creator>Administrator</dc:creator>
  <cp:lastModifiedBy>答案</cp:lastModifiedBy>
  <dcterms:modified xsi:type="dcterms:W3CDTF">2025-04-03T08:14:05Z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eyJoZGlkIjoiM2IxZDM0YTU2YjhiOGJiNThmZTU5YTc1MmEzYjUzYmIiLCJ1c2VySWQiOiIzNTAwNjk0OTcifQ==</vt:lpwstr>
  </property>
  <property fmtid="{D5CDD505-2E9C-101B-9397-08002B2CF9AE}" pid="4" name="ICV">
    <vt:lpwstr>F49B42FA5CED4DB48349215C92204F7C_12</vt:lpwstr>
  </property>
</Properties>
</file>