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6E91AA">
      <w:pPr>
        <w:spacing w:line="600" w:lineRule="exact"/>
        <w:ind w:left="0"/>
        <w:jc w:val="left"/>
        <w:rPr>
          <w:rFonts w:hint="eastAsia" w:eastAsia="仿宋_GB2312"/>
          <w:b/>
          <w:sz w:val="28"/>
          <w:szCs w:val="28"/>
        </w:rPr>
      </w:pPr>
      <w:r>
        <w:rPr>
          <w:rFonts w:hint="eastAsia" w:ascii="仿宋_GB2312" w:hAnsi="仿宋_GB2312" w:eastAsia="仿宋_GB2312" w:cs="仿宋_GB2312"/>
          <w:b/>
          <w:sz w:val="28"/>
          <w:szCs w:val="28"/>
        </w:rPr>
        <w:t>附件1-2</w:t>
      </w:r>
    </w:p>
    <w:p w14:paraId="5EBD758A">
      <w:pPr>
        <w:spacing w:line="500" w:lineRule="exact"/>
        <w:jc w:val="center"/>
        <w:rPr>
          <w:rFonts w:hint="eastAsia" w:ascii="宋体" w:hAnsi="宋体"/>
          <w:b/>
          <w:w w:val="85"/>
          <w:sz w:val="36"/>
          <w:szCs w:val="36"/>
        </w:rPr>
      </w:pPr>
      <w:r>
        <w:rPr>
          <w:rFonts w:hint="eastAsia" w:ascii="宋体" w:hAnsi="宋体"/>
          <w:b/>
          <w:w w:val="85"/>
          <w:sz w:val="36"/>
          <w:szCs w:val="36"/>
        </w:rPr>
        <w:t>2024</w:t>
      </w:r>
      <w:r>
        <w:rPr>
          <w:rFonts w:ascii="宋体" w:hAnsi="宋体"/>
          <w:b/>
          <w:w w:val="85"/>
          <w:sz w:val="36"/>
          <w:szCs w:val="36"/>
        </w:rPr>
        <w:t>年度新晃县</w:t>
      </w:r>
      <w:r>
        <w:rPr>
          <w:rFonts w:hint="eastAsia" w:ascii="宋体" w:hAnsi="宋体"/>
          <w:b/>
          <w:w w:val="85"/>
          <w:sz w:val="36"/>
          <w:szCs w:val="36"/>
          <w:u w:val="single"/>
        </w:rPr>
        <w:t xml:space="preserve">    司法局    </w:t>
      </w:r>
      <w:r>
        <w:rPr>
          <w:rFonts w:ascii="宋体" w:hAnsi="宋体"/>
          <w:b/>
          <w:w w:val="85"/>
          <w:sz w:val="36"/>
          <w:szCs w:val="36"/>
        </w:rPr>
        <w:t>部门（单位）整体支出绩效</w:t>
      </w:r>
      <w:r>
        <w:rPr>
          <w:rFonts w:hint="eastAsia" w:ascii="宋体" w:hAnsi="宋体"/>
          <w:b/>
          <w:w w:val="85"/>
          <w:sz w:val="36"/>
          <w:szCs w:val="36"/>
        </w:rPr>
        <w:t>自评表</w:t>
      </w:r>
    </w:p>
    <w:tbl>
      <w:tblPr>
        <w:tblStyle w:val="3"/>
        <w:tblW w:w="14417" w:type="dxa"/>
        <w:jc w:val="center"/>
        <w:tblCellSpacing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079"/>
        <w:gridCol w:w="1179"/>
        <w:gridCol w:w="1226"/>
        <w:gridCol w:w="701"/>
        <w:gridCol w:w="4750"/>
        <w:gridCol w:w="3123"/>
        <w:gridCol w:w="1614"/>
        <w:gridCol w:w="745"/>
      </w:tblGrid>
      <w:tr w14:paraId="7A5743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88" w:hRule="atLeast"/>
          <w:tblHeader/>
          <w:tblCellSpacing w:w="0" w:type="dxa"/>
          <w:jc w:val="center"/>
        </w:trPr>
        <w:tc>
          <w:tcPr>
            <w:tcW w:w="1079" w:type="dxa"/>
            <w:noWrap w:val="0"/>
            <w:tcMar>
              <w:top w:w="0" w:type="dxa"/>
              <w:left w:w="105" w:type="dxa"/>
              <w:bottom w:w="0" w:type="dxa"/>
              <w:right w:w="105" w:type="dxa"/>
            </w:tcMar>
            <w:vAlign w:val="center"/>
          </w:tcPr>
          <w:p w14:paraId="4A6CA09B">
            <w:pPr>
              <w:spacing w:before="100" w:beforeAutospacing="1" w:after="100" w:afterAutospacing="1"/>
              <w:jc w:val="center"/>
              <w:rPr>
                <w:rFonts w:hint="eastAsia" w:ascii="仿宋_GB2312" w:hAnsi="仿宋_GB2312" w:eastAsia="仿宋_GB2312" w:cs="仿宋_GB2312"/>
              </w:rPr>
            </w:pPr>
            <w:r>
              <w:rPr>
                <w:rFonts w:hint="eastAsia" w:ascii="仿宋_GB2312" w:hAnsi="仿宋_GB2312" w:eastAsia="仿宋_GB2312" w:cs="仿宋_GB2312"/>
              </w:rPr>
              <w:t>一级指标</w:t>
            </w:r>
          </w:p>
        </w:tc>
        <w:tc>
          <w:tcPr>
            <w:tcW w:w="1179" w:type="dxa"/>
            <w:noWrap w:val="0"/>
            <w:tcMar>
              <w:top w:w="0" w:type="dxa"/>
              <w:left w:w="105" w:type="dxa"/>
              <w:bottom w:w="0" w:type="dxa"/>
              <w:right w:w="105" w:type="dxa"/>
            </w:tcMar>
            <w:vAlign w:val="center"/>
          </w:tcPr>
          <w:p w14:paraId="2530FC0B">
            <w:pPr>
              <w:spacing w:before="100" w:beforeAutospacing="1" w:after="100" w:afterAutospacing="1"/>
              <w:jc w:val="center"/>
              <w:rPr>
                <w:rFonts w:hint="eastAsia" w:ascii="仿宋_GB2312" w:hAnsi="仿宋_GB2312" w:eastAsia="仿宋_GB2312" w:cs="仿宋_GB2312"/>
              </w:rPr>
            </w:pPr>
            <w:r>
              <w:rPr>
                <w:rFonts w:hint="eastAsia" w:ascii="仿宋_GB2312" w:hAnsi="仿宋_GB2312" w:eastAsia="仿宋_GB2312" w:cs="仿宋_GB2312"/>
              </w:rPr>
              <w:t>二级指标</w:t>
            </w:r>
          </w:p>
        </w:tc>
        <w:tc>
          <w:tcPr>
            <w:tcW w:w="1226" w:type="dxa"/>
            <w:noWrap w:val="0"/>
            <w:tcMar>
              <w:top w:w="0" w:type="dxa"/>
              <w:left w:w="105" w:type="dxa"/>
              <w:bottom w:w="0" w:type="dxa"/>
              <w:right w:w="105" w:type="dxa"/>
            </w:tcMar>
            <w:vAlign w:val="center"/>
          </w:tcPr>
          <w:p w14:paraId="41F54D14">
            <w:pPr>
              <w:spacing w:before="100" w:beforeAutospacing="1" w:after="100" w:afterAutospacing="1"/>
              <w:jc w:val="center"/>
              <w:rPr>
                <w:rFonts w:hint="eastAsia" w:ascii="仿宋_GB2312" w:hAnsi="仿宋_GB2312" w:eastAsia="仿宋_GB2312" w:cs="仿宋_GB2312"/>
              </w:rPr>
            </w:pPr>
            <w:r>
              <w:rPr>
                <w:rFonts w:hint="eastAsia" w:ascii="仿宋_GB2312" w:hAnsi="仿宋_GB2312" w:eastAsia="仿宋_GB2312" w:cs="仿宋_GB2312"/>
              </w:rPr>
              <w:t>三级指标</w:t>
            </w:r>
          </w:p>
        </w:tc>
        <w:tc>
          <w:tcPr>
            <w:tcW w:w="701" w:type="dxa"/>
            <w:noWrap w:val="0"/>
            <w:tcMar>
              <w:top w:w="0" w:type="dxa"/>
              <w:left w:w="105" w:type="dxa"/>
              <w:bottom w:w="0" w:type="dxa"/>
              <w:right w:w="105" w:type="dxa"/>
            </w:tcMar>
            <w:vAlign w:val="center"/>
          </w:tcPr>
          <w:p w14:paraId="4B622C91">
            <w:pPr>
              <w:spacing w:before="100" w:beforeAutospacing="1" w:after="100" w:afterAutospacing="1"/>
              <w:jc w:val="center"/>
              <w:rPr>
                <w:rFonts w:hint="eastAsia" w:ascii="仿宋_GB2312" w:hAnsi="仿宋_GB2312" w:eastAsia="仿宋_GB2312" w:cs="仿宋_GB2312"/>
              </w:rPr>
            </w:pPr>
            <w:r>
              <w:rPr>
                <w:rFonts w:hint="eastAsia" w:ascii="仿宋_GB2312" w:hAnsi="仿宋_GB2312" w:eastAsia="仿宋_GB2312" w:cs="仿宋_GB2312"/>
              </w:rPr>
              <w:t>分值</w:t>
            </w:r>
          </w:p>
        </w:tc>
        <w:tc>
          <w:tcPr>
            <w:tcW w:w="4750" w:type="dxa"/>
            <w:noWrap w:val="0"/>
            <w:tcMar>
              <w:top w:w="0" w:type="dxa"/>
              <w:left w:w="105" w:type="dxa"/>
              <w:bottom w:w="0" w:type="dxa"/>
              <w:right w:w="105" w:type="dxa"/>
            </w:tcMar>
            <w:vAlign w:val="center"/>
          </w:tcPr>
          <w:p w14:paraId="5C889933">
            <w:pPr>
              <w:spacing w:before="100" w:beforeAutospacing="1" w:after="100" w:afterAutospacing="1"/>
              <w:jc w:val="center"/>
              <w:rPr>
                <w:rFonts w:hint="eastAsia" w:ascii="仿宋_GB2312" w:hAnsi="仿宋_GB2312" w:eastAsia="仿宋_GB2312" w:cs="仿宋_GB2312"/>
              </w:rPr>
            </w:pPr>
            <w:r>
              <w:rPr>
                <w:rFonts w:hint="eastAsia" w:ascii="仿宋_GB2312" w:hAnsi="仿宋_GB2312" w:eastAsia="仿宋_GB2312" w:cs="仿宋_GB2312"/>
              </w:rPr>
              <w:t>指标内容</w:t>
            </w:r>
          </w:p>
        </w:tc>
        <w:tc>
          <w:tcPr>
            <w:tcW w:w="3123" w:type="dxa"/>
            <w:noWrap w:val="0"/>
            <w:tcMar>
              <w:top w:w="0" w:type="dxa"/>
              <w:left w:w="105" w:type="dxa"/>
              <w:bottom w:w="0" w:type="dxa"/>
              <w:right w:w="105" w:type="dxa"/>
            </w:tcMar>
            <w:vAlign w:val="center"/>
          </w:tcPr>
          <w:p w14:paraId="42896CFE">
            <w:pPr>
              <w:spacing w:before="100" w:beforeAutospacing="1" w:after="100" w:afterAutospacing="1"/>
              <w:jc w:val="center"/>
              <w:rPr>
                <w:rFonts w:hint="eastAsia" w:ascii="仿宋_GB2312" w:hAnsi="仿宋_GB2312" w:eastAsia="仿宋_GB2312" w:cs="仿宋_GB2312"/>
              </w:rPr>
            </w:pPr>
            <w:r>
              <w:rPr>
                <w:rFonts w:hint="eastAsia" w:ascii="仿宋_GB2312" w:hAnsi="仿宋_GB2312" w:eastAsia="仿宋_GB2312" w:cs="仿宋_GB2312"/>
              </w:rPr>
              <w:t>指标评价标准及对应分值</w:t>
            </w:r>
          </w:p>
        </w:tc>
        <w:tc>
          <w:tcPr>
            <w:tcW w:w="1614" w:type="dxa"/>
            <w:noWrap w:val="0"/>
            <w:tcMar>
              <w:top w:w="0" w:type="dxa"/>
              <w:left w:w="105" w:type="dxa"/>
              <w:bottom w:w="0" w:type="dxa"/>
              <w:right w:w="105" w:type="dxa"/>
            </w:tcMar>
            <w:vAlign w:val="center"/>
          </w:tcPr>
          <w:p w14:paraId="1BC500B8">
            <w:pPr>
              <w:spacing w:before="100" w:beforeAutospacing="1" w:after="100" w:afterAutospacing="1"/>
              <w:jc w:val="center"/>
              <w:rPr>
                <w:rFonts w:hint="eastAsia" w:ascii="仿宋_GB2312" w:hAnsi="仿宋_GB2312" w:eastAsia="仿宋_GB2312" w:cs="仿宋_GB2312"/>
              </w:rPr>
            </w:pPr>
            <w:r>
              <w:rPr>
                <w:rFonts w:hint="eastAsia" w:ascii="仿宋_GB2312" w:hAnsi="仿宋_GB2312" w:eastAsia="仿宋_GB2312" w:cs="仿宋_GB2312"/>
              </w:rPr>
              <w:t>指标实际完成情况及依据</w:t>
            </w:r>
          </w:p>
        </w:tc>
        <w:tc>
          <w:tcPr>
            <w:tcW w:w="745" w:type="dxa"/>
            <w:noWrap w:val="0"/>
            <w:tcMar>
              <w:top w:w="0" w:type="dxa"/>
              <w:left w:w="105" w:type="dxa"/>
              <w:bottom w:w="0" w:type="dxa"/>
              <w:right w:w="105" w:type="dxa"/>
            </w:tcMar>
            <w:vAlign w:val="center"/>
          </w:tcPr>
          <w:p w14:paraId="406F3150">
            <w:pPr>
              <w:spacing w:before="100" w:beforeAutospacing="1" w:after="100" w:afterAutospacing="1"/>
              <w:jc w:val="center"/>
              <w:rPr>
                <w:rFonts w:hint="eastAsia" w:ascii="仿宋_GB2312" w:hAnsi="仿宋_GB2312" w:eastAsia="仿宋_GB2312" w:cs="仿宋_GB2312"/>
              </w:rPr>
            </w:pPr>
            <w:r>
              <w:rPr>
                <w:rFonts w:hint="eastAsia" w:ascii="仿宋_GB2312" w:hAnsi="仿宋_GB2312" w:eastAsia="仿宋_GB2312" w:cs="仿宋_GB2312"/>
              </w:rPr>
              <w:t>得分</w:t>
            </w:r>
          </w:p>
        </w:tc>
      </w:tr>
      <w:tr w14:paraId="22AB80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tblCellSpacing w:w="0" w:type="dxa"/>
          <w:jc w:val="center"/>
        </w:trPr>
        <w:tc>
          <w:tcPr>
            <w:tcW w:w="1079" w:type="dxa"/>
            <w:vMerge w:val="restart"/>
            <w:noWrap w:val="0"/>
            <w:tcMar>
              <w:top w:w="0" w:type="dxa"/>
              <w:left w:w="105" w:type="dxa"/>
              <w:bottom w:w="0" w:type="dxa"/>
              <w:right w:w="105" w:type="dxa"/>
            </w:tcMar>
            <w:vAlign w:val="center"/>
          </w:tcPr>
          <w:p w14:paraId="38557F79">
            <w:pPr>
              <w:spacing w:before="100" w:beforeAutospacing="1" w:after="100" w:afterAutospacing="1"/>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投入</w:t>
            </w:r>
          </w:p>
          <w:p w14:paraId="53445898">
            <w:pPr>
              <w:spacing w:before="100" w:beforeAutospacing="1" w:after="100" w:afterAutospacing="1"/>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(共14分)</w:t>
            </w:r>
          </w:p>
        </w:tc>
        <w:tc>
          <w:tcPr>
            <w:tcW w:w="1179" w:type="dxa"/>
            <w:vMerge w:val="restart"/>
            <w:noWrap w:val="0"/>
            <w:tcMar>
              <w:top w:w="0" w:type="dxa"/>
              <w:left w:w="105" w:type="dxa"/>
              <w:bottom w:w="0" w:type="dxa"/>
              <w:right w:w="105" w:type="dxa"/>
            </w:tcMar>
            <w:vAlign w:val="center"/>
          </w:tcPr>
          <w:p w14:paraId="31A279F6">
            <w:pPr>
              <w:spacing w:before="100" w:beforeAutospacing="1" w:after="100" w:afterAutospacing="1"/>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预算编制(共5分)</w:t>
            </w:r>
          </w:p>
        </w:tc>
        <w:tc>
          <w:tcPr>
            <w:tcW w:w="1226" w:type="dxa"/>
            <w:noWrap w:val="0"/>
            <w:tcMar>
              <w:top w:w="0" w:type="dxa"/>
              <w:left w:w="105" w:type="dxa"/>
              <w:bottom w:w="0" w:type="dxa"/>
              <w:right w:w="105" w:type="dxa"/>
            </w:tcMar>
            <w:vAlign w:val="center"/>
          </w:tcPr>
          <w:p w14:paraId="1B346EFF">
            <w:pPr>
              <w:spacing w:line="300" w:lineRule="exact"/>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整体绩效</w:t>
            </w:r>
          </w:p>
          <w:p w14:paraId="0F07CB23">
            <w:pPr>
              <w:spacing w:line="300" w:lineRule="exact"/>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目标设定</w:t>
            </w:r>
          </w:p>
        </w:tc>
        <w:tc>
          <w:tcPr>
            <w:tcW w:w="701" w:type="dxa"/>
            <w:noWrap w:val="0"/>
            <w:tcMar>
              <w:top w:w="0" w:type="dxa"/>
              <w:left w:w="105" w:type="dxa"/>
              <w:bottom w:w="0" w:type="dxa"/>
              <w:right w:w="105" w:type="dxa"/>
            </w:tcMar>
            <w:vAlign w:val="center"/>
          </w:tcPr>
          <w:p w14:paraId="3C476D82">
            <w:pPr>
              <w:spacing w:before="100" w:beforeAutospacing="1" w:after="100" w:afterAutospacing="1"/>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2.5</w:t>
            </w:r>
          </w:p>
        </w:tc>
        <w:tc>
          <w:tcPr>
            <w:tcW w:w="4750" w:type="dxa"/>
            <w:noWrap w:val="0"/>
            <w:tcMar>
              <w:top w:w="0" w:type="dxa"/>
              <w:left w:w="105" w:type="dxa"/>
              <w:bottom w:w="0" w:type="dxa"/>
              <w:right w:w="105" w:type="dxa"/>
            </w:tcMar>
            <w:vAlign w:val="center"/>
          </w:tcPr>
          <w:p w14:paraId="3208EA10">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部门（含所属二级预算单位，下同）或单位是否制定了年度预算整体绩效目标；整体绩效目标制定依据是否充分，是否与部门履职、年度工作任务相符；整体绩效目标是否清晰、细化、可衡量。</w:t>
            </w:r>
          </w:p>
        </w:tc>
        <w:tc>
          <w:tcPr>
            <w:tcW w:w="3123" w:type="dxa"/>
            <w:noWrap w:val="0"/>
            <w:tcMar>
              <w:top w:w="0" w:type="dxa"/>
              <w:left w:w="105" w:type="dxa"/>
              <w:bottom w:w="0" w:type="dxa"/>
              <w:right w:w="105" w:type="dxa"/>
            </w:tcMar>
            <w:vAlign w:val="center"/>
          </w:tcPr>
          <w:p w14:paraId="627E13A3">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设有整体绩效目标1分；目标设定依据充分符合客观实际0.5分；目标清晰、细化0.5分；目标可衡量0.5分。</w:t>
            </w:r>
          </w:p>
        </w:tc>
        <w:tc>
          <w:tcPr>
            <w:tcW w:w="1614" w:type="dxa"/>
            <w:noWrap w:val="0"/>
            <w:tcMar>
              <w:top w:w="0" w:type="dxa"/>
              <w:left w:w="105" w:type="dxa"/>
              <w:bottom w:w="0" w:type="dxa"/>
              <w:right w:w="105" w:type="dxa"/>
            </w:tcMar>
            <w:vAlign w:val="center"/>
          </w:tcPr>
          <w:p w14:paraId="68E71FDA">
            <w:pPr>
              <w:jc w:val="center"/>
              <w:rPr>
                <w:rFonts w:ascii="仿宋_GB2312" w:hAnsi="仿宋_GB2312" w:eastAsia="仿宋_GB2312" w:cs="仿宋_GB2312"/>
                <w:sz w:val="18"/>
                <w:szCs w:val="18"/>
              </w:rPr>
            </w:pPr>
            <w:r>
              <w:rPr>
                <w:rFonts w:ascii="仿宋_GB2312" w:hAnsi="仿宋_GB2312" w:eastAsia="仿宋_GB2312" w:cs="仿宋_GB2312"/>
                <w:sz w:val="18"/>
                <w:szCs w:val="18"/>
              </w:rPr>
              <w:t>设定了整体绩效，客观、清晰、可衡量</w:t>
            </w:r>
          </w:p>
        </w:tc>
        <w:tc>
          <w:tcPr>
            <w:tcW w:w="745" w:type="dxa"/>
            <w:noWrap w:val="0"/>
            <w:tcMar>
              <w:top w:w="0" w:type="dxa"/>
              <w:left w:w="105" w:type="dxa"/>
              <w:bottom w:w="0" w:type="dxa"/>
              <w:right w:w="105" w:type="dxa"/>
            </w:tcMar>
            <w:vAlign w:val="center"/>
          </w:tcPr>
          <w:p w14:paraId="28AF1DE6">
            <w:pPr>
              <w:jc w:val="center"/>
              <w:rPr>
                <w:rFonts w:hint="eastAsia" w:ascii="仿宋_GB2312" w:hAnsi="仿宋_GB2312" w:eastAsia="仿宋_GB2312" w:cs="仿宋_GB2312"/>
              </w:rPr>
            </w:pPr>
            <w:r>
              <w:rPr>
                <w:rFonts w:hint="eastAsia" w:ascii="仿宋_GB2312" w:hAnsi="仿宋_GB2312" w:eastAsia="仿宋_GB2312" w:cs="仿宋_GB2312"/>
              </w:rPr>
              <w:t>2.5</w:t>
            </w:r>
          </w:p>
        </w:tc>
      </w:tr>
      <w:tr w14:paraId="347D83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31" w:hRule="atLeast"/>
          <w:tblCellSpacing w:w="0" w:type="dxa"/>
          <w:jc w:val="center"/>
        </w:trPr>
        <w:tc>
          <w:tcPr>
            <w:tcW w:w="1079" w:type="dxa"/>
            <w:vMerge w:val="continue"/>
            <w:noWrap w:val="0"/>
            <w:vAlign w:val="center"/>
          </w:tcPr>
          <w:p w14:paraId="129FF4EC">
            <w:pPr>
              <w:jc w:val="center"/>
              <w:rPr>
                <w:rFonts w:hint="eastAsia" w:ascii="仿宋_GB2312" w:hAnsi="仿宋_GB2312" w:eastAsia="仿宋_GB2312" w:cs="仿宋_GB2312"/>
                <w:sz w:val="18"/>
                <w:szCs w:val="18"/>
              </w:rPr>
            </w:pPr>
          </w:p>
        </w:tc>
        <w:tc>
          <w:tcPr>
            <w:tcW w:w="1179" w:type="dxa"/>
            <w:vMerge w:val="continue"/>
            <w:noWrap w:val="0"/>
            <w:vAlign w:val="center"/>
          </w:tcPr>
          <w:p w14:paraId="60CF15DD">
            <w:pPr>
              <w:jc w:val="center"/>
              <w:rPr>
                <w:rFonts w:hint="eastAsia" w:ascii="仿宋_GB2312" w:hAnsi="仿宋_GB2312" w:eastAsia="仿宋_GB2312" w:cs="仿宋_GB2312"/>
                <w:sz w:val="18"/>
                <w:szCs w:val="18"/>
              </w:rPr>
            </w:pPr>
          </w:p>
        </w:tc>
        <w:tc>
          <w:tcPr>
            <w:tcW w:w="1226" w:type="dxa"/>
            <w:noWrap w:val="0"/>
            <w:tcMar>
              <w:top w:w="0" w:type="dxa"/>
              <w:left w:w="105" w:type="dxa"/>
              <w:bottom w:w="0" w:type="dxa"/>
              <w:right w:w="105" w:type="dxa"/>
            </w:tcMar>
            <w:vAlign w:val="center"/>
          </w:tcPr>
          <w:p w14:paraId="25A7C189">
            <w:pPr>
              <w:spacing w:line="300" w:lineRule="exact"/>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项目绩效</w:t>
            </w:r>
          </w:p>
          <w:p w14:paraId="6CC67C71">
            <w:pPr>
              <w:spacing w:line="300" w:lineRule="exact"/>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目标设定</w:t>
            </w:r>
          </w:p>
        </w:tc>
        <w:tc>
          <w:tcPr>
            <w:tcW w:w="701" w:type="dxa"/>
            <w:noWrap w:val="0"/>
            <w:tcMar>
              <w:top w:w="0" w:type="dxa"/>
              <w:left w:w="105" w:type="dxa"/>
              <w:bottom w:w="0" w:type="dxa"/>
              <w:right w:w="105" w:type="dxa"/>
            </w:tcMar>
            <w:vAlign w:val="center"/>
          </w:tcPr>
          <w:p w14:paraId="26A5A6AA">
            <w:pPr>
              <w:spacing w:before="100" w:beforeAutospacing="1" w:after="100" w:afterAutospacing="1"/>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2.5</w:t>
            </w:r>
          </w:p>
        </w:tc>
        <w:tc>
          <w:tcPr>
            <w:tcW w:w="4750" w:type="dxa"/>
            <w:noWrap w:val="0"/>
            <w:tcMar>
              <w:top w:w="0" w:type="dxa"/>
              <w:left w:w="105" w:type="dxa"/>
              <w:bottom w:w="0" w:type="dxa"/>
              <w:right w:w="105" w:type="dxa"/>
            </w:tcMar>
            <w:vAlign w:val="center"/>
          </w:tcPr>
          <w:p w14:paraId="72502251">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是否科学、合理设立了项目绩效目标；目标明确；目标细化；目标量化。</w:t>
            </w:r>
          </w:p>
        </w:tc>
        <w:tc>
          <w:tcPr>
            <w:tcW w:w="3123" w:type="dxa"/>
            <w:noWrap w:val="0"/>
            <w:tcMar>
              <w:top w:w="0" w:type="dxa"/>
              <w:left w:w="105" w:type="dxa"/>
              <w:bottom w:w="0" w:type="dxa"/>
              <w:right w:w="105" w:type="dxa"/>
            </w:tcMar>
            <w:vAlign w:val="center"/>
          </w:tcPr>
          <w:p w14:paraId="5F5D5492">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项目均设有绩效目标0.5分；目标科学合理0.5分；目标明确0.5分；</w:t>
            </w:r>
          </w:p>
          <w:p w14:paraId="38ADF5C7">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目标细化0.5分；目标量化0.5分。</w:t>
            </w:r>
          </w:p>
        </w:tc>
        <w:tc>
          <w:tcPr>
            <w:tcW w:w="1614" w:type="dxa"/>
            <w:noWrap w:val="0"/>
            <w:tcMar>
              <w:top w:w="0" w:type="dxa"/>
              <w:left w:w="105" w:type="dxa"/>
              <w:bottom w:w="0" w:type="dxa"/>
              <w:right w:w="105" w:type="dxa"/>
            </w:tcMar>
            <w:vAlign w:val="center"/>
          </w:tcPr>
          <w:p w14:paraId="12773F3D">
            <w:pPr>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项目均有绩效目标，科学、明确、细化、量化</w:t>
            </w:r>
          </w:p>
        </w:tc>
        <w:tc>
          <w:tcPr>
            <w:tcW w:w="745" w:type="dxa"/>
            <w:noWrap w:val="0"/>
            <w:tcMar>
              <w:top w:w="0" w:type="dxa"/>
              <w:left w:w="105" w:type="dxa"/>
              <w:bottom w:w="0" w:type="dxa"/>
              <w:right w:w="105" w:type="dxa"/>
            </w:tcMar>
            <w:vAlign w:val="center"/>
          </w:tcPr>
          <w:p w14:paraId="1FA201B2">
            <w:pPr>
              <w:jc w:val="center"/>
              <w:rPr>
                <w:rFonts w:hint="eastAsia" w:ascii="仿宋_GB2312" w:hAnsi="仿宋_GB2312" w:eastAsia="仿宋_GB2312" w:cs="仿宋_GB2312"/>
              </w:rPr>
            </w:pPr>
            <w:r>
              <w:rPr>
                <w:rFonts w:hint="eastAsia" w:ascii="仿宋_GB2312" w:hAnsi="仿宋_GB2312" w:eastAsia="仿宋_GB2312" w:cs="仿宋_GB2312"/>
              </w:rPr>
              <w:t>2.5</w:t>
            </w:r>
          </w:p>
        </w:tc>
      </w:tr>
      <w:tr w14:paraId="1BB5DD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527" w:hRule="atLeast"/>
          <w:tblCellSpacing w:w="0" w:type="dxa"/>
          <w:jc w:val="center"/>
        </w:trPr>
        <w:tc>
          <w:tcPr>
            <w:tcW w:w="1079" w:type="dxa"/>
            <w:vMerge w:val="continue"/>
            <w:noWrap w:val="0"/>
            <w:vAlign w:val="center"/>
          </w:tcPr>
          <w:p w14:paraId="51BDB71B">
            <w:pPr>
              <w:jc w:val="center"/>
              <w:rPr>
                <w:rFonts w:hint="eastAsia" w:ascii="仿宋_GB2312" w:hAnsi="仿宋_GB2312" w:eastAsia="仿宋_GB2312" w:cs="仿宋_GB2312"/>
                <w:sz w:val="18"/>
                <w:szCs w:val="18"/>
              </w:rPr>
            </w:pPr>
          </w:p>
        </w:tc>
        <w:tc>
          <w:tcPr>
            <w:tcW w:w="1179" w:type="dxa"/>
            <w:vMerge w:val="restart"/>
            <w:noWrap w:val="0"/>
            <w:tcMar>
              <w:top w:w="0" w:type="dxa"/>
              <w:left w:w="105" w:type="dxa"/>
              <w:bottom w:w="0" w:type="dxa"/>
              <w:right w:w="105" w:type="dxa"/>
            </w:tcMar>
            <w:vAlign w:val="center"/>
          </w:tcPr>
          <w:p w14:paraId="74189C6D">
            <w:pPr>
              <w:spacing w:before="100" w:beforeAutospacing="1" w:after="100" w:afterAutospacing="1"/>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预算配置(共9分)</w:t>
            </w:r>
          </w:p>
        </w:tc>
        <w:tc>
          <w:tcPr>
            <w:tcW w:w="1226" w:type="dxa"/>
            <w:noWrap w:val="0"/>
            <w:tcMar>
              <w:top w:w="0" w:type="dxa"/>
              <w:left w:w="105" w:type="dxa"/>
              <w:bottom w:w="0" w:type="dxa"/>
              <w:right w:w="105" w:type="dxa"/>
            </w:tcMar>
            <w:vAlign w:val="center"/>
          </w:tcPr>
          <w:p w14:paraId="0D759F5F">
            <w:pPr>
              <w:spacing w:line="300" w:lineRule="exact"/>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在职人员</w:t>
            </w:r>
          </w:p>
          <w:p w14:paraId="1222D8A0">
            <w:pPr>
              <w:spacing w:line="300" w:lineRule="exact"/>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控制率</w:t>
            </w:r>
          </w:p>
        </w:tc>
        <w:tc>
          <w:tcPr>
            <w:tcW w:w="701" w:type="dxa"/>
            <w:noWrap w:val="0"/>
            <w:tcMar>
              <w:top w:w="0" w:type="dxa"/>
              <w:left w:w="105" w:type="dxa"/>
              <w:bottom w:w="0" w:type="dxa"/>
              <w:right w:w="105" w:type="dxa"/>
            </w:tcMar>
            <w:vAlign w:val="center"/>
          </w:tcPr>
          <w:p w14:paraId="2F0B33E9">
            <w:pPr>
              <w:spacing w:before="100" w:beforeAutospacing="1" w:after="100" w:afterAutospacing="1"/>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3</w:t>
            </w:r>
          </w:p>
        </w:tc>
        <w:tc>
          <w:tcPr>
            <w:tcW w:w="4750" w:type="dxa"/>
            <w:noWrap w:val="0"/>
            <w:tcMar>
              <w:top w:w="0" w:type="dxa"/>
              <w:left w:w="105" w:type="dxa"/>
              <w:bottom w:w="0" w:type="dxa"/>
              <w:right w:w="105" w:type="dxa"/>
            </w:tcMar>
            <w:vAlign w:val="center"/>
          </w:tcPr>
          <w:p w14:paraId="37E5E6D3">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在职人员控制率=[在职人员数/编制数]×100%</w:t>
            </w:r>
          </w:p>
          <w:p w14:paraId="364B51DB">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在职人员数：部门实际在职人数，以财政确定的部门决算编制口径为准，结合工资发放表上的年平均人数。</w:t>
            </w:r>
          </w:p>
          <w:p w14:paraId="7CB9B722">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编制数：机构编制部门核定批复的部门的人员编制数(含临时人员)。</w:t>
            </w:r>
          </w:p>
        </w:tc>
        <w:tc>
          <w:tcPr>
            <w:tcW w:w="3123" w:type="dxa"/>
            <w:noWrap w:val="0"/>
            <w:tcMar>
              <w:top w:w="0" w:type="dxa"/>
              <w:left w:w="105" w:type="dxa"/>
              <w:bottom w:w="0" w:type="dxa"/>
              <w:right w:w="105" w:type="dxa"/>
            </w:tcMar>
            <w:vAlign w:val="center"/>
          </w:tcPr>
          <w:p w14:paraId="3E1FC77D">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结果≤100%，得3分；</w:t>
            </w:r>
          </w:p>
          <w:p w14:paraId="74A6F234">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结果＞100%，得0分。</w:t>
            </w:r>
          </w:p>
        </w:tc>
        <w:tc>
          <w:tcPr>
            <w:tcW w:w="1614" w:type="dxa"/>
            <w:noWrap w:val="0"/>
            <w:tcMar>
              <w:top w:w="0" w:type="dxa"/>
              <w:left w:w="105" w:type="dxa"/>
              <w:bottom w:w="0" w:type="dxa"/>
              <w:right w:w="105" w:type="dxa"/>
            </w:tcMar>
            <w:vAlign w:val="center"/>
          </w:tcPr>
          <w:p w14:paraId="67616FD4">
            <w:pPr>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53/60=88%</w:t>
            </w:r>
          </w:p>
        </w:tc>
        <w:tc>
          <w:tcPr>
            <w:tcW w:w="745" w:type="dxa"/>
            <w:noWrap w:val="0"/>
            <w:tcMar>
              <w:top w:w="0" w:type="dxa"/>
              <w:left w:w="105" w:type="dxa"/>
              <w:bottom w:w="0" w:type="dxa"/>
              <w:right w:w="105" w:type="dxa"/>
            </w:tcMar>
            <w:vAlign w:val="center"/>
          </w:tcPr>
          <w:p w14:paraId="2E62C74B">
            <w:pPr>
              <w:jc w:val="center"/>
              <w:rPr>
                <w:rFonts w:hint="eastAsia" w:ascii="仿宋_GB2312" w:hAnsi="仿宋_GB2312" w:eastAsia="仿宋_GB2312" w:cs="仿宋_GB2312"/>
              </w:rPr>
            </w:pPr>
            <w:r>
              <w:rPr>
                <w:rFonts w:hint="eastAsia" w:ascii="仿宋_GB2312" w:hAnsi="仿宋_GB2312" w:eastAsia="仿宋_GB2312" w:cs="仿宋_GB2312"/>
              </w:rPr>
              <w:t>3</w:t>
            </w:r>
          </w:p>
        </w:tc>
      </w:tr>
      <w:tr w14:paraId="0C1A95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01" w:hRule="atLeast"/>
          <w:tblCellSpacing w:w="0" w:type="dxa"/>
          <w:jc w:val="center"/>
        </w:trPr>
        <w:tc>
          <w:tcPr>
            <w:tcW w:w="1079" w:type="dxa"/>
            <w:vMerge w:val="continue"/>
            <w:noWrap w:val="0"/>
            <w:vAlign w:val="center"/>
          </w:tcPr>
          <w:p w14:paraId="4169C703">
            <w:pPr>
              <w:jc w:val="center"/>
              <w:rPr>
                <w:rFonts w:hint="eastAsia" w:ascii="仿宋_GB2312" w:hAnsi="仿宋_GB2312" w:eastAsia="仿宋_GB2312" w:cs="仿宋_GB2312"/>
                <w:sz w:val="18"/>
                <w:szCs w:val="18"/>
              </w:rPr>
            </w:pPr>
          </w:p>
        </w:tc>
        <w:tc>
          <w:tcPr>
            <w:tcW w:w="1179" w:type="dxa"/>
            <w:vMerge w:val="continue"/>
            <w:noWrap w:val="0"/>
            <w:vAlign w:val="center"/>
          </w:tcPr>
          <w:p w14:paraId="1507918C">
            <w:pPr>
              <w:jc w:val="center"/>
              <w:rPr>
                <w:rFonts w:hint="eastAsia" w:ascii="仿宋_GB2312" w:hAnsi="仿宋_GB2312" w:eastAsia="仿宋_GB2312" w:cs="仿宋_GB2312"/>
                <w:sz w:val="18"/>
                <w:szCs w:val="18"/>
              </w:rPr>
            </w:pPr>
          </w:p>
        </w:tc>
        <w:tc>
          <w:tcPr>
            <w:tcW w:w="1226" w:type="dxa"/>
            <w:noWrap w:val="0"/>
            <w:tcMar>
              <w:top w:w="0" w:type="dxa"/>
              <w:left w:w="105" w:type="dxa"/>
              <w:bottom w:w="0" w:type="dxa"/>
              <w:right w:w="105" w:type="dxa"/>
            </w:tcMar>
            <w:vAlign w:val="center"/>
          </w:tcPr>
          <w:p w14:paraId="06067357">
            <w:pPr>
              <w:spacing w:line="300" w:lineRule="exact"/>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三公经费</w:t>
            </w:r>
          </w:p>
          <w:p w14:paraId="77C3CB2A">
            <w:pPr>
              <w:spacing w:line="300" w:lineRule="exact"/>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变动率</w:t>
            </w:r>
          </w:p>
        </w:tc>
        <w:tc>
          <w:tcPr>
            <w:tcW w:w="701" w:type="dxa"/>
            <w:noWrap w:val="0"/>
            <w:tcMar>
              <w:top w:w="0" w:type="dxa"/>
              <w:left w:w="105" w:type="dxa"/>
              <w:bottom w:w="0" w:type="dxa"/>
              <w:right w:w="105" w:type="dxa"/>
            </w:tcMar>
            <w:vAlign w:val="center"/>
          </w:tcPr>
          <w:p w14:paraId="3C99FE4C">
            <w:pPr>
              <w:spacing w:before="100" w:beforeAutospacing="1" w:after="100" w:afterAutospacing="1"/>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3</w:t>
            </w:r>
          </w:p>
        </w:tc>
        <w:tc>
          <w:tcPr>
            <w:tcW w:w="4750" w:type="dxa"/>
            <w:noWrap w:val="0"/>
            <w:tcMar>
              <w:top w:w="0" w:type="dxa"/>
              <w:left w:w="105" w:type="dxa"/>
              <w:bottom w:w="0" w:type="dxa"/>
              <w:right w:w="105" w:type="dxa"/>
            </w:tcMar>
            <w:vAlign w:val="center"/>
          </w:tcPr>
          <w:p w14:paraId="4C580E19">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“三公经费”变动率=[本年度“三公经费”预算总额/上年度“三公经费”预算总额] ×100%</w:t>
            </w:r>
          </w:p>
        </w:tc>
        <w:tc>
          <w:tcPr>
            <w:tcW w:w="3123" w:type="dxa"/>
            <w:noWrap w:val="0"/>
            <w:tcMar>
              <w:top w:w="0" w:type="dxa"/>
              <w:left w:w="105" w:type="dxa"/>
              <w:bottom w:w="0" w:type="dxa"/>
              <w:right w:w="105" w:type="dxa"/>
            </w:tcMar>
            <w:vAlign w:val="center"/>
          </w:tcPr>
          <w:p w14:paraId="7DA97364">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结果≤100%，得3分；</w:t>
            </w:r>
          </w:p>
          <w:p w14:paraId="0DC59BAB">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结果＞100%，得0分。</w:t>
            </w:r>
          </w:p>
        </w:tc>
        <w:tc>
          <w:tcPr>
            <w:tcW w:w="1614" w:type="dxa"/>
            <w:noWrap w:val="0"/>
            <w:tcMar>
              <w:top w:w="0" w:type="dxa"/>
              <w:left w:w="105" w:type="dxa"/>
              <w:bottom w:w="0" w:type="dxa"/>
              <w:right w:w="105" w:type="dxa"/>
            </w:tcMar>
            <w:vAlign w:val="center"/>
          </w:tcPr>
          <w:p w14:paraId="121972B4">
            <w:pPr>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12/14.7=82%</w:t>
            </w:r>
          </w:p>
        </w:tc>
        <w:tc>
          <w:tcPr>
            <w:tcW w:w="745" w:type="dxa"/>
            <w:noWrap w:val="0"/>
            <w:tcMar>
              <w:top w:w="0" w:type="dxa"/>
              <w:left w:w="105" w:type="dxa"/>
              <w:bottom w:w="0" w:type="dxa"/>
              <w:right w:w="105" w:type="dxa"/>
            </w:tcMar>
            <w:vAlign w:val="center"/>
          </w:tcPr>
          <w:p w14:paraId="07EAC9E9">
            <w:pPr>
              <w:jc w:val="center"/>
              <w:rPr>
                <w:rFonts w:hint="eastAsia" w:ascii="仿宋_GB2312" w:hAnsi="仿宋_GB2312" w:eastAsia="仿宋_GB2312" w:cs="仿宋_GB2312"/>
              </w:rPr>
            </w:pPr>
            <w:r>
              <w:rPr>
                <w:rFonts w:hint="eastAsia" w:ascii="仿宋_GB2312" w:hAnsi="仿宋_GB2312" w:eastAsia="仿宋_GB2312" w:cs="仿宋_GB2312"/>
              </w:rPr>
              <w:t>3</w:t>
            </w:r>
          </w:p>
        </w:tc>
      </w:tr>
      <w:tr w14:paraId="387336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728" w:hRule="atLeast"/>
          <w:tblCellSpacing w:w="0" w:type="dxa"/>
          <w:jc w:val="center"/>
        </w:trPr>
        <w:tc>
          <w:tcPr>
            <w:tcW w:w="1079" w:type="dxa"/>
            <w:vMerge w:val="continue"/>
            <w:noWrap w:val="0"/>
            <w:vAlign w:val="center"/>
          </w:tcPr>
          <w:p w14:paraId="599FB0C0">
            <w:pPr>
              <w:jc w:val="center"/>
              <w:rPr>
                <w:rFonts w:hint="eastAsia" w:ascii="仿宋_GB2312" w:hAnsi="仿宋_GB2312" w:eastAsia="仿宋_GB2312" w:cs="仿宋_GB2312"/>
                <w:sz w:val="18"/>
                <w:szCs w:val="18"/>
              </w:rPr>
            </w:pPr>
          </w:p>
        </w:tc>
        <w:tc>
          <w:tcPr>
            <w:tcW w:w="1179" w:type="dxa"/>
            <w:vMerge w:val="continue"/>
            <w:noWrap w:val="0"/>
            <w:vAlign w:val="center"/>
          </w:tcPr>
          <w:p w14:paraId="200E3784">
            <w:pPr>
              <w:jc w:val="center"/>
              <w:rPr>
                <w:rFonts w:hint="eastAsia" w:ascii="仿宋_GB2312" w:hAnsi="仿宋_GB2312" w:eastAsia="仿宋_GB2312" w:cs="仿宋_GB2312"/>
                <w:sz w:val="18"/>
                <w:szCs w:val="18"/>
              </w:rPr>
            </w:pPr>
          </w:p>
        </w:tc>
        <w:tc>
          <w:tcPr>
            <w:tcW w:w="1226" w:type="dxa"/>
            <w:noWrap w:val="0"/>
            <w:tcMar>
              <w:top w:w="0" w:type="dxa"/>
              <w:left w:w="105" w:type="dxa"/>
              <w:bottom w:w="0" w:type="dxa"/>
              <w:right w:w="105" w:type="dxa"/>
            </w:tcMar>
            <w:vAlign w:val="center"/>
          </w:tcPr>
          <w:p w14:paraId="778277D3">
            <w:pPr>
              <w:spacing w:line="300" w:lineRule="exact"/>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重点项目预算保障率</w:t>
            </w:r>
          </w:p>
        </w:tc>
        <w:tc>
          <w:tcPr>
            <w:tcW w:w="701" w:type="dxa"/>
            <w:noWrap w:val="0"/>
            <w:tcMar>
              <w:top w:w="0" w:type="dxa"/>
              <w:left w:w="105" w:type="dxa"/>
              <w:bottom w:w="0" w:type="dxa"/>
              <w:right w:w="105" w:type="dxa"/>
            </w:tcMar>
            <w:vAlign w:val="center"/>
          </w:tcPr>
          <w:p w14:paraId="766C5B0B">
            <w:pPr>
              <w:spacing w:before="100" w:beforeAutospacing="1" w:after="100" w:afterAutospacing="1"/>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3</w:t>
            </w:r>
          </w:p>
        </w:tc>
        <w:tc>
          <w:tcPr>
            <w:tcW w:w="4750" w:type="dxa"/>
            <w:noWrap w:val="0"/>
            <w:tcMar>
              <w:top w:w="0" w:type="dxa"/>
              <w:left w:w="105" w:type="dxa"/>
              <w:bottom w:w="0" w:type="dxa"/>
              <w:right w:w="105" w:type="dxa"/>
            </w:tcMar>
            <w:vAlign w:val="center"/>
          </w:tcPr>
          <w:p w14:paraId="3F18383E">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重点项目预算保障率=（重点项目预算/项目总预算）×100%。</w:t>
            </w:r>
          </w:p>
          <w:p w14:paraId="49358BE0">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重点项目预算：部门年度预算安排的，与本部门履职和发展密切相关、具有明显社会和经济影响、党委政府关心或社会比较关注的，列入政府重点项目的预算总额。</w:t>
            </w:r>
          </w:p>
        </w:tc>
        <w:tc>
          <w:tcPr>
            <w:tcW w:w="3123" w:type="dxa"/>
            <w:noWrap w:val="0"/>
            <w:tcMar>
              <w:top w:w="0" w:type="dxa"/>
              <w:left w:w="105" w:type="dxa"/>
              <w:bottom w:w="0" w:type="dxa"/>
              <w:right w:w="105" w:type="dxa"/>
            </w:tcMar>
            <w:vAlign w:val="center"/>
          </w:tcPr>
          <w:p w14:paraId="1ECA9023">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结果≥80%，得3分；</w:t>
            </w:r>
          </w:p>
          <w:p w14:paraId="50C65D82">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80%＞结果≥60%，得2分；</w:t>
            </w:r>
          </w:p>
          <w:p w14:paraId="20DAB8C1">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结果＜60%，得0分。</w:t>
            </w:r>
          </w:p>
        </w:tc>
        <w:tc>
          <w:tcPr>
            <w:tcW w:w="1614" w:type="dxa"/>
            <w:noWrap w:val="0"/>
            <w:tcMar>
              <w:top w:w="0" w:type="dxa"/>
              <w:left w:w="105" w:type="dxa"/>
              <w:bottom w:w="0" w:type="dxa"/>
              <w:right w:w="105" w:type="dxa"/>
            </w:tcMar>
            <w:vAlign w:val="center"/>
          </w:tcPr>
          <w:p w14:paraId="72EA2B8F">
            <w:pPr>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114.18/114.18=100%</w:t>
            </w:r>
          </w:p>
        </w:tc>
        <w:tc>
          <w:tcPr>
            <w:tcW w:w="745" w:type="dxa"/>
            <w:noWrap w:val="0"/>
            <w:tcMar>
              <w:top w:w="0" w:type="dxa"/>
              <w:left w:w="105" w:type="dxa"/>
              <w:bottom w:w="0" w:type="dxa"/>
              <w:right w:w="105" w:type="dxa"/>
            </w:tcMar>
            <w:vAlign w:val="center"/>
          </w:tcPr>
          <w:p w14:paraId="472C366F">
            <w:pPr>
              <w:jc w:val="center"/>
              <w:rPr>
                <w:rFonts w:hint="eastAsia" w:ascii="仿宋_GB2312" w:hAnsi="仿宋_GB2312" w:eastAsia="仿宋_GB2312" w:cs="仿宋_GB2312"/>
              </w:rPr>
            </w:pPr>
            <w:r>
              <w:rPr>
                <w:rFonts w:hint="eastAsia" w:ascii="仿宋_GB2312" w:hAnsi="仿宋_GB2312" w:eastAsia="仿宋_GB2312" w:cs="仿宋_GB2312"/>
              </w:rPr>
              <w:t>3</w:t>
            </w:r>
          </w:p>
        </w:tc>
      </w:tr>
      <w:tr w14:paraId="5AABA6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79" w:hRule="atLeast"/>
          <w:tblCellSpacing w:w="0" w:type="dxa"/>
          <w:jc w:val="center"/>
        </w:trPr>
        <w:tc>
          <w:tcPr>
            <w:tcW w:w="1079" w:type="dxa"/>
            <w:vMerge w:val="restart"/>
            <w:noWrap w:val="0"/>
            <w:tcMar>
              <w:top w:w="0" w:type="dxa"/>
              <w:left w:w="105" w:type="dxa"/>
              <w:bottom w:w="0" w:type="dxa"/>
              <w:right w:w="105" w:type="dxa"/>
            </w:tcMar>
            <w:vAlign w:val="center"/>
          </w:tcPr>
          <w:p w14:paraId="44A1B43F">
            <w:pPr>
              <w:spacing w:before="100" w:beforeAutospacing="1" w:after="100" w:afterAutospacing="1"/>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过程</w:t>
            </w:r>
          </w:p>
          <w:p w14:paraId="0CC873E0">
            <w:pPr>
              <w:spacing w:before="100" w:beforeAutospacing="1" w:after="100" w:afterAutospacing="1"/>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(共26分)</w:t>
            </w:r>
          </w:p>
        </w:tc>
        <w:tc>
          <w:tcPr>
            <w:tcW w:w="1179" w:type="dxa"/>
            <w:vMerge w:val="restart"/>
            <w:noWrap w:val="0"/>
            <w:tcMar>
              <w:top w:w="0" w:type="dxa"/>
              <w:left w:w="105" w:type="dxa"/>
              <w:bottom w:w="0" w:type="dxa"/>
              <w:right w:w="105" w:type="dxa"/>
            </w:tcMar>
            <w:vAlign w:val="center"/>
          </w:tcPr>
          <w:p w14:paraId="40F2A5C8">
            <w:pPr>
              <w:spacing w:before="100" w:beforeAutospacing="1" w:after="100" w:afterAutospacing="1"/>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预算执行（12分）</w:t>
            </w:r>
          </w:p>
        </w:tc>
        <w:tc>
          <w:tcPr>
            <w:tcW w:w="1226" w:type="dxa"/>
            <w:noWrap w:val="0"/>
            <w:tcMar>
              <w:top w:w="0" w:type="dxa"/>
              <w:left w:w="105" w:type="dxa"/>
              <w:bottom w:w="0" w:type="dxa"/>
              <w:right w:w="105" w:type="dxa"/>
            </w:tcMar>
            <w:vAlign w:val="center"/>
          </w:tcPr>
          <w:p w14:paraId="689BFF1F">
            <w:pPr>
              <w:spacing w:line="300" w:lineRule="exact"/>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项目预算执行率</w:t>
            </w:r>
          </w:p>
        </w:tc>
        <w:tc>
          <w:tcPr>
            <w:tcW w:w="701" w:type="dxa"/>
            <w:noWrap w:val="0"/>
            <w:tcMar>
              <w:top w:w="0" w:type="dxa"/>
              <w:left w:w="105" w:type="dxa"/>
              <w:bottom w:w="0" w:type="dxa"/>
              <w:right w:w="105" w:type="dxa"/>
            </w:tcMar>
            <w:vAlign w:val="center"/>
          </w:tcPr>
          <w:p w14:paraId="21251877">
            <w:pPr>
              <w:spacing w:before="100" w:beforeAutospacing="1" w:after="100" w:afterAutospacing="1"/>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3</w:t>
            </w:r>
          </w:p>
        </w:tc>
        <w:tc>
          <w:tcPr>
            <w:tcW w:w="4750" w:type="dxa"/>
            <w:noWrap w:val="0"/>
            <w:tcMar>
              <w:top w:w="0" w:type="dxa"/>
              <w:left w:w="105" w:type="dxa"/>
              <w:bottom w:w="0" w:type="dxa"/>
              <w:right w:w="105" w:type="dxa"/>
            </w:tcMar>
            <w:vAlign w:val="center"/>
          </w:tcPr>
          <w:p w14:paraId="6D518376">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项目预算执行率=[项目预算执行数/项目预算]×100%。</w:t>
            </w:r>
          </w:p>
          <w:p w14:paraId="5C4BDE3E">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项目预算执行数：部门本年度实际执行的项目预算。</w:t>
            </w:r>
          </w:p>
          <w:p w14:paraId="6CCD045D">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项目预算数：财政部门批复的本年度部门项目预算。</w:t>
            </w:r>
          </w:p>
        </w:tc>
        <w:tc>
          <w:tcPr>
            <w:tcW w:w="3123" w:type="dxa"/>
            <w:noWrap w:val="0"/>
            <w:tcMar>
              <w:top w:w="0" w:type="dxa"/>
              <w:left w:w="105" w:type="dxa"/>
              <w:bottom w:w="0" w:type="dxa"/>
              <w:right w:w="105" w:type="dxa"/>
            </w:tcMar>
            <w:vAlign w:val="center"/>
          </w:tcPr>
          <w:p w14:paraId="4AC9B3AA">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95%≤结果≤100%，得3分；</w:t>
            </w:r>
          </w:p>
          <w:p w14:paraId="6A07E16A">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90%≤结果＜95%，得2分；</w:t>
            </w:r>
          </w:p>
          <w:p w14:paraId="48119A83">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80%≤结果＜90%，得1分；</w:t>
            </w:r>
          </w:p>
          <w:p w14:paraId="18D01386">
            <w:pPr>
              <w:spacing w:line="300" w:lineRule="exact"/>
              <w:jc w:val="left"/>
              <w:rPr>
                <w:rFonts w:hint="eastAsia" w:ascii="仿宋_GB2312" w:hAnsi="仿宋_GB2312" w:eastAsia="仿宋_GB2312" w:cs="仿宋_GB2312"/>
                <w:spacing w:val="-20"/>
                <w:sz w:val="18"/>
                <w:szCs w:val="18"/>
              </w:rPr>
            </w:pPr>
            <w:r>
              <w:rPr>
                <w:rFonts w:hint="eastAsia" w:ascii="仿宋_GB2312" w:hAnsi="仿宋_GB2312" w:eastAsia="仿宋_GB2312" w:cs="仿宋_GB2312"/>
                <w:sz w:val="18"/>
                <w:szCs w:val="18"/>
              </w:rPr>
              <w:t>结果＜80%，得0分。</w:t>
            </w:r>
          </w:p>
        </w:tc>
        <w:tc>
          <w:tcPr>
            <w:tcW w:w="1614" w:type="dxa"/>
            <w:noWrap w:val="0"/>
            <w:tcMar>
              <w:top w:w="0" w:type="dxa"/>
              <w:left w:w="105" w:type="dxa"/>
              <w:bottom w:w="0" w:type="dxa"/>
              <w:right w:w="105" w:type="dxa"/>
            </w:tcMar>
            <w:vAlign w:val="center"/>
          </w:tcPr>
          <w:p w14:paraId="34863225">
            <w:pPr>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114.18/114.18=100%</w:t>
            </w:r>
          </w:p>
        </w:tc>
        <w:tc>
          <w:tcPr>
            <w:tcW w:w="745" w:type="dxa"/>
            <w:noWrap w:val="0"/>
            <w:tcMar>
              <w:top w:w="0" w:type="dxa"/>
              <w:left w:w="105" w:type="dxa"/>
              <w:bottom w:w="0" w:type="dxa"/>
              <w:right w:w="105" w:type="dxa"/>
            </w:tcMar>
            <w:vAlign w:val="center"/>
          </w:tcPr>
          <w:p w14:paraId="2C189A03">
            <w:pPr>
              <w:jc w:val="center"/>
              <w:rPr>
                <w:rFonts w:hint="eastAsia" w:ascii="仿宋_GB2312" w:hAnsi="仿宋_GB2312" w:eastAsia="仿宋_GB2312" w:cs="仿宋_GB2312"/>
              </w:rPr>
            </w:pPr>
            <w:r>
              <w:rPr>
                <w:rFonts w:hint="eastAsia" w:ascii="仿宋_GB2312" w:hAnsi="仿宋_GB2312" w:eastAsia="仿宋_GB2312" w:cs="仿宋_GB2312"/>
              </w:rPr>
              <w:t>3</w:t>
            </w:r>
          </w:p>
        </w:tc>
      </w:tr>
      <w:tr w14:paraId="1B6CE4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90" w:hRule="atLeast"/>
          <w:tblCellSpacing w:w="0" w:type="dxa"/>
          <w:jc w:val="center"/>
        </w:trPr>
        <w:tc>
          <w:tcPr>
            <w:tcW w:w="1079" w:type="dxa"/>
            <w:vMerge w:val="continue"/>
            <w:noWrap w:val="0"/>
            <w:vAlign w:val="center"/>
          </w:tcPr>
          <w:p w14:paraId="1004D3E7">
            <w:pPr>
              <w:jc w:val="center"/>
              <w:rPr>
                <w:rFonts w:hint="eastAsia" w:ascii="仿宋_GB2312" w:hAnsi="仿宋_GB2312" w:eastAsia="仿宋_GB2312" w:cs="仿宋_GB2312"/>
                <w:sz w:val="18"/>
                <w:szCs w:val="18"/>
              </w:rPr>
            </w:pPr>
          </w:p>
        </w:tc>
        <w:tc>
          <w:tcPr>
            <w:tcW w:w="1179" w:type="dxa"/>
            <w:vMerge w:val="continue"/>
            <w:noWrap w:val="0"/>
            <w:vAlign w:val="center"/>
          </w:tcPr>
          <w:p w14:paraId="250FFA38">
            <w:pPr>
              <w:jc w:val="center"/>
              <w:rPr>
                <w:rFonts w:hint="eastAsia" w:ascii="仿宋_GB2312" w:hAnsi="仿宋_GB2312" w:eastAsia="仿宋_GB2312" w:cs="仿宋_GB2312"/>
                <w:sz w:val="18"/>
                <w:szCs w:val="18"/>
              </w:rPr>
            </w:pPr>
          </w:p>
        </w:tc>
        <w:tc>
          <w:tcPr>
            <w:tcW w:w="1226" w:type="dxa"/>
            <w:noWrap w:val="0"/>
            <w:tcMar>
              <w:top w:w="0" w:type="dxa"/>
              <w:left w:w="105" w:type="dxa"/>
              <w:bottom w:w="0" w:type="dxa"/>
              <w:right w:w="105" w:type="dxa"/>
            </w:tcMar>
            <w:vAlign w:val="center"/>
          </w:tcPr>
          <w:p w14:paraId="563635A0">
            <w:pPr>
              <w:spacing w:line="300" w:lineRule="exact"/>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预算</w:t>
            </w:r>
          </w:p>
          <w:p w14:paraId="551D6116">
            <w:pPr>
              <w:spacing w:line="300" w:lineRule="exact"/>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调整率</w:t>
            </w:r>
          </w:p>
        </w:tc>
        <w:tc>
          <w:tcPr>
            <w:tcW w:w="701" w:type="dxa"/>
            <w:noWrap w:val="0"/>
            <w:tcMar>
              <w:top w:w="0" w:type="dxa"/>
              <w:left w:w="105" w:type="dxa"/>
              <w:bottom w:w="0" w:type="dxa"/>
              <w:right w:w="105" w:type="dxa"/>
            </w:tcMar>
            <w:vAlign w:val="center"/>
          </w:tcPr>
          <w:p w14:paraId="5C58C389">
            <w:pPr>
              <w:spacing w:before="100" w:beforeAutospacing="1" w:after="100" w:afterAutospacing="1"/>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2</w:t>
            </w:r>
          </w:p>
        </w:tc>
        <w:tc>
          <w:tcPr>
            <w:tcW w:w="4750" w:type="dxa"/>
            <w:noWrap w:val="0"/>
            <w:tcMar>
              <w:top w:w="0" w:type="dxa"/>
              <w:left w:w="105" w:type="dxa"/>
              <w:bottom w:w="0" w:type="dxa"/>
              <w:right w:w="105" w:type="dxa"/>
            </w:tcMar>
            <w:vAlign w:val="center"/>
          </w:tcPr>
          <w:p w14:paraId="48FA772D">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预算调整率=[预算调整数/预算数]×100%</w:t>
            </w:r>
          </w:p>
          <w:p w14:paraId="72980EB5">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预算调整数：部门在本年度内涉及预算的追加、追减或结构调整的资金总和（因落实国家政策、发生不可抗力、上级部门或党委政府临时交办而产生的调整除外）。</w:t>
            </w:r>
          </w:p>
        </w:tc>
        <w:tc>
          <w:tcPr>
            <w:tcW w:w="3123" w:type="dxa"/>
            <w:noWrap w:val="0"/>
            <w:tcMar>
              <w:top w:w="0" w:type="dxa"/>
              <w:left w:w="105" w:type="dxa"/>
              <w:bottom w:w="0" w:type="dxa"/>
              <w:right w:w="105" w:type="dxa"/>
            </w:tcMar>
            <w:vAlign w:val="center"/>
          </w:tcPr>
          <w:p w14:paraId="035F6B55">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结果≤5%，得2分；</w:t>
            </w:r>
          </w:p>
          <w:p w14:paraId="179B5BC0">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5%＜结果≤10%，得1分；</w:t>
            </w:r>
          </w:p>
          <w:p w14:paraId="513A4415">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结果＞10%，得0分。</w:t>
            </w:r>
          </w:p>
        </w:tc>
        <w:tc>
          <w:tcPr>
            <w:tcW w:w="1614" w:type="dxa"/>
            <w:noWrap w:val="0"/>
            <w:tcMar>
              <w:top w:w="0" w:type="dxa"/>
              <w:left w:w="105" w:type="dxa"/>
              <w:bottom w:w="0" w:type="dxa"/>
              <w:right w:w="105" w:type="dxa"/>
            </w:tcMar>
            <w:vAlign w:val="center"/>
          </w:tcPr>
          <w:p w14:paraId="62C3BD99">
            <w:pPr>
              <w:ind w:right="238" w:rightChars="119"/>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0/114.18=0%</w:t>
            </w:r>
          </w:p>
        </w:tc>
        <w:tc>
          <w:tcPr>
            <w:tcW w:w="745" w:type="dxa"/>
            <w:noWrap w:val="0"/>
            <w:tcMar>
              <w:top w:w="0" w:type="dxa"/>
              <w:left w:w="105" w:type="dxa"/>
              <w:bottom w:w="0" w:type="dxa"/>
              <w:right w:w="105" w:type="dxa"/>
            </w:tcMar>
            <w:vAlign w:val="center"/>
          </w:tcPr>
          <w:p w14:paraId="58754308">
            <w:pPr>
              <w:jc w:val="center"/>
              <w:rPr>
                <w:rFonts w:hint="eastAsia" w:ascii="仿宋_GB2312" w:hAnsi="仿宋_GB2312" w:eastAsia="仿宋_GB2312" w:cs="仿宋_GB2312"/>
              </w:rPr>
            </w:pPr>
            <w:r>
              <w:rPr>
                <w:rFonts w:hint="eastAsia" w:ascii="仿宋_GB2312" w:hAnsi="仿宋_GB2312" w:eastAsia="仿宋_GB2312" w:cs="仿宋_GB2312"/>
              </w:rPr>
              <w:t>2</w:t>
            </w:r>
          </w:p>
        </w:tc>
      </w:tr>
      <w:tr w14:paraId="7A2BE2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42" w:hRule="atLeast"/>
          <w:tblCellSpacing w:w="0" w:type="dxa"/>
          <w:jc w:val="center"/>
        </w:trPr>
        <w:tc>
          <w:tcPr>
            <w:tcW w:w="1079" w:type="dxa"/>
            <w:vMerge w:val="continue"/>
            <w:noWrap w:val="0"/>
            <w:vAlign w:val="center"/>
          </w:tcPr>
          <w:p w14:paraId="15AA79F0">
            <w:pPr>
              <w:jc w:val="center"/>
              <w:rPr>
                <w:rFonts w:hint="eastAsia" w:ascii="仿宋_GB2312" w:hAnsi="仿宋_GB2312" w:eastAsia="仿宋_GB2312" w:cs="仿宋_GB2312"/>
                <w:sz w:val="18"/>
                <w:szCs w:val="18"/>
              </w:rPr>
            </w:pPr>
          </w:p>
        </w:tc>
        <w:tc>
          <w:tcPr>
            <w:tcW w:w="1179" w:type="dxa"/>
            <w:vMerge w:val="continue"/>
            <w:noWrap w:val="0"/>
            <w:vAlign w:val="center"/>
          </w:tcPr>
          <w:p w14:paraId="79A0F6CB">
            <w:pPr>
              <w:jc w:val="center"/>
              <w:rPr>
                <w:rFonts w:hint="eastAsia" w:ascii="仿宋_GB2312" w:hAnsi="仿宋_GB2312" w:eastAsia="仿宋_GB2312" w:cs="仿宋_GB2312"/>
                <w:sz w:val="18"/>
                <w:szCs w:val="18"/>
              </w:rPr>
            </w:pPr>
          </w:p>
        </w:tc>
        <w:tc>
          <w:tcPr>
            <w:tcW w:w="1226" w:type="dxa"/>
            <w:noWrap w:val="0"/>
            <w:tcMar>
              <w:top w:w="0" w:type="dxa"/>
              <w:left w:w="105" w:type="dxa"/>
              <w:bottom w:w="0" w:type="dxa"/>
              <w:right w:w="105" w:type="dxa"/>
            </w:tcMar>
            <w:vAlign w:val="center"/>
          </w:tcPr>
          <w:p w14:paraId="2B8E4562">
            <w:pPr>
              <w:spacing w:line="300" w:lineRule="exact"/>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公用经费控制率</w:t>
            </w:r>
          </w:p>
        </w:tc>
        <w:tc>
          <w:tcPr>
            <w:tcW w:w="701" w:type="dxa"/>
            <w:noWrap w:val="0"/>
            <w:tcMar>
              <w:top w:w="0" w:type="dxa"/>
              <w:left w:w="105" w:type="dxa"/>
              <w:bottom w:w="0" w:type="dxa"/>
              <w:right w:w="105" w:type="dxa"/>
            </w:tcMar>
            <w:vAlign w:val="center"/>
          </w:tcPr>
          <w:p w14:paraId="0A6F46BC">
            <w:pPr>
              <w:spacing w:before="100" w:beforeAutospacing="1" w:after="100" w:afterAutospacing="1"/>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3</w:t>
            </w:r>
          </w:p>
        </w:tc>
        <w:tc>
          <w:tcPr>
            <w:tcW w:w="4750" w:type="dxa"/>
            <w:noWrap w:val="0"/>
            <w:tcMar>
              <w:top w:w="0" w:type="dxa"/>
              <w:left w:w="105" w:type="dxa"/>
              <w:bottom w:w="0" w:type="dxa"/>
              <w:right w:w="105" w:type="dxa"/>
            </w:tcMar>
            <w:vAlign w:val="center"/>
          </w:tcPr>
          <w:p w14:paraId="0EA8A555">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公用经费控制率=[公用经费实际支出总额/公用经费预算安排总额]×100%</w:t>
            </w:r>
          </w:p>
        </w:tc>
        <w:tc>
          <w:tcPr>
            <w:tcW w:w="3123" w:type="dxa"/>
            <w:noWrap w:val="0"/>
            <w:tcMar>
              <w:top w:w="0" w:type="dxa"/>
              <w:left w:w="105" w:type="dxa"/>
              <w:bottom w:w="0" w:type="dxa"/>
              <w:right w:w="105" w:type="dxa"/>
            </w:tcMar>
            <w:vAlign w:val="center"/>
          </w:tcPr>
          <w:p w14:paraId="25CFDD2D">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结果≤100%，得3分；</w:t>
            </w:r>
          </w:p>
          <w:p w14:paraId="13CD7D53">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结果＞100%，得0分。</w:t>
            </w:r>
          </w:p>
        </w:tc>
        <w:tc>
          <w:tcPr>
            <w:tcW w:w="1614" w:type="dxa"/>
            <w:noWrap w:val="0"/>
            <w:tcMar>
              <w:top w:w="0" w:type="dxa"/>
              <w:left w:w="105" w:type="dxa"/>
              <w:bottom w:w="0" w:type="dxa"/>
              <w:right w:w="105" w:type="dxa"/>
            </w:tcMar>
            <w:vAlign w:val="center"/>
          </w:tcPr>
          <w:p w14:paraId="4E01248B">
            <w:pPr>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167.7/180=93%</w:t>
            </w:r>
          </w:p>
        </w:tc>
        <w:tc>
          <w:tcPr>
            <w:tcW w:w="745" w:type="dxa"/>
            <w:noWrap w:val="0"/>
            <w:tcMar>
              <w:top w:w="0" w:type="dxa"/>
              <w:left w:w="105" w:type="dxa"/>
              <w:bottom w:w="0" w:type="dxa"/>
              <w:right w:w="105" w:type="dxa"/>
            </w:tcMar>
            <w:vAlign w:val="center"/>
          </w:tcPr>
          <w:p w14:paraId="6E75481E">
            <w:pPr>
              <w:jc w:val="center"/>
              <w:rPr>
                <w:rFonts w:hint="eastAsia" w:ascii="仿宋_GB2312" w:hAnsi="仿宋_GB2312" w:eastAsia="仿宋_GB2312" w:cs="仿宋_GB2312"/>
              </w:rPr>
            </w:pPr>
            <w:r>
              <w:rPr>
                <w:rFonts w:hint="eastAsia" w:ascii="仿宋_GB2312" w:hAnsi="仿宋_GB2312" w:eastAsia="仿宋_GB2312" w:cs="仿宋_GB2312"/>
              </w:rPr>
              <w:t>3</w:t>
            </w:r>
          </w:p>
        </w:tc>
      </w:tr>
      <w:tr w14:paraId="3ABAD0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72" w:hRule="atLeast"/>
          <w:tblCellSpacing w:w="0" w:type="dxa"/>
          <w:jc w:val="center"/>
        </w:trPr>
        <w:tc>
          <w:tcPr>
            <w:tcW w:w="1079" w:type="dxa"/>
            <w:vMerge w:val="continue"/>
            <w:noWrap w:val="0"/>
            <w:vAlign w:val="center"/>
          </w:tcPr>
          <w:p w14:paraId="03A5F3A6">
            <w:pPr>
              <w:jc w:val="center"/>
              <w:rPr>
                <w:rFonts w:hint="eastAsia" w:ascii="仿宋_GB2312" w:hAnsi="仿宋_GB2312" w:eastAsia="仿宋_GB2312" w:cs="仿宋_GB2312"/>
                <w:sz w:val="18"/>
                <w:szCs w:val="18"/>
              </w:rPr>
            </w:pPr>
          </w:p>
        </w:tc>
        <w:tc>
          <w:tcPr>
            <w:tcW w:w="1179" w:type="dxa"/>
            <w:vMerge w:val="continue"/>
            <w:noWrap w:val="0"/>
            <w:vAlign w:val="center"/>
          </w:tcPr>
          <w:p w14:paraId="27D3DDCD">
            <w:pPr>
              <w:jc w:val="center"/>
              <w:rPr>
                <w:rFonts w:hint="eastAsia" w:ascii="仿宋_GB2312" w:hAnsi="仿宋_GB2312" w:eastAsia="仿宋_GB2312" w:cs="仿宋_GB2312"/>
                <w:sz w:val="18"/>
                <w:szCs w:val="18"/>
              </w:rPr>
            </w:pPr>
          </w:p>
        </w:tc>
        <w:tc>
          <w:tcPr>
            <w:tcW w:w="1226" w:type="dxa"/>
            <w:noWrap w:val="0"/>
            <w:tcMar>
              <w:top w:w="0" w:type="dxa"/>
              <w:left w:w="105" w:type="dxa"/>
              <w:bottom w:w="0" w:type="dxa"/>
              <w:right w:w="105" w:type="dxa"/>
            </w:tcMar>
            <w:vAlign w:val="center"/>
          </w:tcPr>
          <w:p w14:paraId="402360C4">
            <w:pPr>
              <w:spacing w:line="300" w:lineRule="exact"/>
              <w:jc w:val="center"/>
              <w:rPr>
                <w:rFonts w:hint="eastAsia" w:ascii="仿宋_GB2312" w:hAnsi="仿宋_GB2312" w:eastAsia="仿宋_GB2312" w:cs="仿宋_GB2312"/>
                <w:spacing w:val="-20"/>
                <w:sz w:val="18"/>
                <w:szCs w:val="18"/>
              </w:rPr>
            </w:pPr>
            <w:r>
              <w:rPr>
                <w:rFonts w:hint="eastAsia" w:ascii="仿宋_GB2312" w:hAnsi="仿宋_GB2312" w:eastAsia="仿宋_GB2312" w:cs="仿宋_GB2312"/>
                <w:spacing w:val="-20"/>
                <w:sz w:val="18"/>
                <w:szCs w:val="18"/>
              </w:rPr>
              <w:t>“</w:t>
            </w:r>
            <w:r>
              <w:rPr>
                <w:rFonts w:hint="eastAsia" w:ascii="仿宋_GB2312" w:hAnsi="仿宋_GB2312" w:eastAsia="仿宋_GB2312" w:cs="仿宋_GB2312"/>
                <w:sz w:val="18"/>
                <w:szCs w:val="18"/>
              </w:rPr>
              <w:t>三公经费”控制率</w:t>
            </w:r>
          </w:p>
        </w:tc>
        <w:tc>
          <w:tcPr>
            <w:tcW w:w="701" w:type="dxa"/>
            <w:noWrap w:val="0"/>
            <w:tcMar>
              <w:top w:w="0" w:type="dxa"/>
              <w:left w:w="105" w:type="dxa"/>
              <w:bottom w:w="0" w:type="dxa"/>
              <w:right w:w="105" w:type="dxa"/>
            </w:tcMar>
            <w:vAlign w:val="center"/>
          </w:tcPr>
          <w:p w14:paraId="269C3E1F">
            <w:pPr>
              <w:spacing w:before="100" w:beforeAutospacing="1" w:after="100" w:afterAutospacing="1"/>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2</w:t>
            </w:r>
          </w:p>
        </w:tc>
        <w:tc>
          <w:tcPr>
            <w:tcW w:w="4750" w:type="dxa"/>
            <w:noWrap w:val="0"/>
            <w:tcMar>
              <w:top w:w="0" w:type="dxa"/>
              <w:left w:w="105" w:type="dxa"/>
              <w:bottom w:w="0" w:type="dxa"/>
              <w:right w:w="105" w:type="dxa"/>
            </w:tcMar>
            <w:vAlign w:val="center"/>
          </w:tcPr>
          <w:p w14:paraId="75DF98DF">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“三公经费”控制率=[“三公经费”实际支出总额/“三公经费”预算安排总额]×100%</w:t>
            </w:r>
          </w:p>
        </w:tc>
        <w:tc>
          <w:tcPr>
            <w:tcW w:w="3123" w:type="dxa"/>
            <w:noWrap w:val="0"/>
            <w:tcMar>
              <w:top w:w="0" w:type="dxa"/>
              <w:left w:w="105" w:type="dxa"/>
              <w:bottom w:w="0" w:type="dxa"/>
              <w:right w:w="105" w:type="dxa"/>
            </w:tcMar>
            <w:vAlign w:val="center"/>
          </w:tcPr>
          <w:p w14:paraId="6F9B6454">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结果≤100%，得2分；</w:t>
            </w:r>
          </w:p>
          <w:p w14:paraId="23B3AE16">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结果＞100%，得0分。</w:t>
            </w:r>
          </w:p>
        </w:tc>
        <w:tc>
          <w:tcPr>
            <w:tcW w:w="1614" w:type="dxa"/>
            <w:noWrap w:val="0"/>
            <w:tcMar>
              <w:top w:w="0" w:type="dxa"/>
              <w:left w:w="105" w:type="dxa"/>
              <w:bottom w:w="0" w:type="dxa"/>
              <w:right w:w="105" w:type="dxa"/>
            </w:tcMar>
            <w:vAlign w:val="center"/>
          </w:tcPr>
          <w:p w14:paraId="5F2307F2">
            <w:pPr>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9.6/12=80%</w:t>
            </w:r>
          </w:p>
        </w:tc>
        <w:tc>
          <w:tcPr>
            <w:tcW w:w="745" w:type="dxa"/>
            <w:noWrap w:val="0"/>
            <w:tcMar>
              <w:top w:w="0" w:type="dxa"/>
              <w:left w:w="105" w:type="dxa"/>
              <w:bottom w:w="0" w:type="dxa"/>
              <w:right w:w="105" w:type="dxa"/>
            </w:tcMar>
            <w:vAlign w:val="center"/>
          </w:tcPr>
          <w:p w14:paraId="14CD8DFE">
            <w:pPr>
              <w:jc w:val="center"/>
              <w:rPr>
                <w:rFonts w:hint="eastAsia" w:ascii="仿宋_GB2312" w:hAnsi="仿宋_GB2312" w:eastAsia="仿宋_GB2312" w:cs="仿宋_GB2312"/>
              </w:rPr>
            </w:pPr>
            <w:r>
              <w:rPr>
                <w:rFonts w:hint="eastAsia" w:ascii="仿宋_GB2312" w:hAnsi="仿宋_GB2312" w:eastAsia="仿宋_GB2312" w:cs="仿宋_GB2312"/>
              </w:rPr>
              <w:t>2</w:t>
            </w:r>
          </w:p>
        </w:tc>
      </w:tr>
      <w:tr w14:paraId="0783BC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632" w:hRule="atLeast"/>
          <w:tblCellSpacing w:w="0" w:type="dxa"/>
          <w:jc w:val="center"/>
        </w:trPr>
        <w:tc>
          <w:tcPr>
            <w:tcW w:w="1079" w:type="dxa"/>
            <w:vMerge w:val="continue"/>
            <w:noWrap w:val="0"/>
            <w:vAlign w:val="center"/>
          </w:tcPr>
          <w:p w14:paraId="039E4846">
            <w:pPr>
              <w:jc w:val="center"/>
              <w:rPr>
                <w:rFonts w:hint="eastAsia" w:ascii="仿宋_GB2312" w:hAnsi="仿宋_GB2312" w:eastAsia="仿宋_GB2312" w:cs="仿宋_GB2312"/>
                <w:sz w:val="18"/>
                <w:szCs w:val="18"/>
              </w:rPr>
            </w:pPr>
          </w:p>
        </w:tc>
        <w:tc>
          <w:tcPr>
            <w:tcW w:w="1179" w:type="dxa"/>
            <w:vMerge w:val="continue"/>
            <w:noWrap w:val="0"/>
            <w:vAlign w:val="center"/>
          </w:tcPr>
          <w:p w14:paraId="4A247391">
            <w:pPr>
              <w:jc w:val="center"/>
              <w:rPr>
                <w:rFonts w:hint="eastAsia" w:ascii="仿宋_GB2312" w:hAnsi="仿宋_GB2312" w:eastAsia="仿宋_GB2312" w:cs="仿宋_GB2312"/>
                <w:sz w:val="18"/>
                <w:szCs w:val="18"/>
              </w:rPr>
            </w:pPr>
          </w:p>
        </w:tc>
        <w:tc>
          <w:tcPr>
            <w:tcW w:w="1226" w:type="dxa"/>
            <w:noWrap w:val="0"/>
            <w:tcMar>
              <w:top w:w="0" w:type="dxa"/>
              <w:left w:w="105" w:type="dxa"/>
              <w:bottom w:w="0" w:type="dxa"/>
              <w:right w:w="105" w:type="dxa"/>
            </w:tcMar>
            <w:vAlign w:val="center"/>
          </w:tcPr>
          <w:p w14:paraId="40F951E6">
            <w:pPr>
              <w:spacing w:line="300" w:lineRule="exact"/>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政府采购</w:t>
            </w:r>
          </w:p>
          <w:p w14:paraId="7BD64539">
            <w:pPr>
              <w:spacing w:line="300" w:lineRule="exact"/>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完成率</w:t>
            </w:r>
          </w:p>
        </w:tc>
        <w:tc>
          <w:tcPr>
            <w:tcW w:w="701" w:type="dxa"/>
            <w:noWrap w:val="0"/>
            <w:tcMar>
              <w:top w:w="0" w:type="dxa"/>
              <w:left w:w="105" w:type="dxa"/>
              <w:bottom w:w="0" w:type="dxa"/>
              <w:right w:w="105" w:type="dxa"/>
            </w:tcMar>
            <w:vAlign w:val="center"/>
          </w:tcPr>
          <w:p w14:paraId="68E2FCE3">
            <w:pPr>
              <w:spacing w:before="100" w:beforeAutospacing="1" w:after="100" w:afterAutospacing="1"/>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2</w:t>
            </w:r>
          </w:p>
        </w:tc>
        <w:tc>
          <w:tcPr>
            <w:tcW w:w="4750" w:type="dxa"/>
            <w:noWrap w:val="0"/>
            <w:tcMar>
              <w:top w:w="0" w:type="dxa"/>
              <w:left w:w="105" w:type="dxa"/>
              <w:bottom w:w="0" w:type="dxa"/>
              <w:right w:w="105" w:type="dxa"/>
            </w:tcMar>
            <w:vAlign w:val="center"/>
          </w:tcPr>
          <w:p w14:paraId="6A66310E">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政府采购完成率=（政府采购完成项目数/政府采购预算项目数）×100%；</w:t>
            </w:r>
          </w:p>
          <w:p w14:paraId="326425AA">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政府采购预算项目：采购机关根据事业发展计划和行政任务编制的、并经过规定程序批准的年度政府采购计划项目。</w:t>
            </w:r>
          </w:p>
        </w:tc>
        <w:tc>
          <w:tcPr>
            <w:tcW w:w="3123" w:type="dxa"/>
            <w:noWrap w:val="0"/>
            <w:tcMar>
              <w:top w:w="0" w:type="dxa"/>
              <w:left w:w="105" w:type="dxa"/>
              <w:bottom w:w="0" w:type="dxa"/>
              <w:right w:w="105" w:type="dxa"/>
            </w:tcMar>
            <w:vAlign w:val="center"/>
          </w:tcPr>
          <w:p w14:paraId="6479F808">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完成率≧80%，得2分；</w:t>
            </w:r>
          </w:p>
          <w:p w14:paraId="56CF47CA">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80%&gt;完成率≧60%，得1分；</w:t>
            </w:r>
          </w:p>
          <w:p w14:paraId="60A97A06">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完成率＜60%，得0分。</w:t>
            </w:r>
          </w:p>
        </w:tc>
        <w:tc>
          <w:tcPr>
            <w:tcW w:w="1614" w:type="dxa"/>
            <w:noWrap w:val="0"/>
            <w:tcMar>
              <w:top w:w="0" w:type="dxa"/>
              <w:left w:w="105" w:type="dxa"/>
              <w:bottom w:w="0" w:type="dxa"/>
              <w:right w:w="105" w:type="dxa"/>
            </w:tcMar>
            <w:vAlign w:val="center"/>
          </w:tcPr>
          <w:p w14:paraId="1AD740B1">
            <w:pPr>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1/1=100%</w:t>
            </w:r>
          </w:p>
        </w:tc>
        <w:tc>
          <w:tcPr>
            <w:tcW w:w="745" w:type="dxa"/>
            <w:noWrap w:val="0"/>
            <w:tcMar>
              <w:top w:w="0" w:type="dxa"/>
              <w:left w:w="105" w:type="dxa"/>
              <w:bottom w:w="0" w:type="dxa"/>
              <w:right w:w="105" w:type="dxa"/>
            </w:tcMar>
            <w:vAlign w:val="center"/>
          </w:tcPr>
          <w:p w14:paraId="7316D3F8">
            <w:pPr>
              <w:jc w:val="center"/>
              <w:rPr>
                <w:rFonts w:hint="eastAsia" w:ascii="仿宋_GB2312" w:hAnsi="仿宋_GB2312" w:eastAsia="仿宋_GB2312" w:cs="仿宋_GB2312"/>
              </w:rPr>
            </w:pPr>
            <w:r>
              <w:rPr>
                <w:rFonts w:hint="eastAsia" w:ascii="仿宋_GB2312" w:hAnsi="仿宋_GB2312" w:eastAsia="仿宋_GB2312" w:cs="仿宋_GB2312"/>
              </w:rPr>
              <w:t>2</w:t>
            </w:r>
          </w:p>
        </w:tc>
      </w:tr>
      <w:tr w14:paraId="33F1CF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74" w:hRule="atLeast"/>
          <w:tblCellSpacing w:w="0" w:type="dxa"/>
          <w:jc w:val="center"/>
        </w:trPr>
        <w:tc>
          <w:tcPr>
            <w:tcW w:w="1079" w:type="dxa"/>
            <w:vMerge w:val="continue"/>
            <w:noWrap w:val="0"/>
            <w:vAlign w:val="center"/>
          </w:tcPr>
          <w:p w14:paraId="1EEF0724">
            <w:pPr>
              <w:jc w:val="center"/>
              <w:rPr>
                <w:rFonts w:hint="eastAsia" w:ascii="仿宋_GB2312" w:hAnsi="仿宋_GB2312" w:eastAsia="仿宋_GB2312" w:cs="仿宋_GB2312"/>
                <w:sz w:val="18"/>
                <w:szCs w:val="18"/>
              </w:rPr>
            </w:pPr>
          </w:p>
        </w:tc>
        <w:tc>
          <w:tcPr>
            <w:tcW w:w="1179" w:type="dxa"/>
            <w:vMerge w:val="restart"/>
            <w:noWrap w:val="0"/>
            <w:tcMar>
              <w:top w:w="0" w:type="dxa"/>
              <w:left w:w="105" w:type="dxa"/>
              <w:bottom w:w="0" w:type="dxa"/>
              <w:right w:w="105" w:type="dxa"/>
            </w:tcMar>
            <w:vAlign w:val="center"/>
          </w:tcPr>
          <w:p w14:paraId="223DA2F1">
            <w:pPr>
              <w:spacing w:before="100" w:beforeAutospacing="1" w:after="100" w:afterAutospacing="1"/>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预算</w:t>
            </w:r>
          </w:p>
          <w:p w14:paraId="4EE50534">
            <w:pPr>
              <w:spacing w:before="100" w:beforeAutospacing="1" w:after="100" w:afterAutospacing="1"/>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管理（9分）</w:t>
            </w:r>
          </w:p>
        </w:tc>
        <w:tc>
          <w:tcPr>
            <w:tcW w:w="1226" w:type="dxa"/>
            <w:noWrap w:val="0"/>
            <w:tcMar>
              <w:top w:w="0" w:type="dxa"/>
              <w:left w:w="105" w:type="dxa"/>
              <w:bottom w:w="0" w:type="dxa"/>
              <w:right w:w="105" w:type="dxa"/>
            </w:tcMar>
            <w:vAlign w:val="center"/>
          </w:tcPr>
          <w:p w14:paraId="66206846">
            <w:pPr>
              <w:spacing w:line="280" w:lineRule="exact"/>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资金管理</w:t>
            </w:r>
          </w:p>
          <w:p w14:paraId="5030483A">
            <w:pPr>
              <w:spacing w:line="280" w:lineRule="exact"/>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制度健全性</w:t>
            </w:r>
          </w:p>
        </w:tc>
        <w:tc>
          <w:tcPr>
            <w:tcW w:w="701" w:type="dxa"/>
            <w:noWrap w:val="0"/>
            <w:tcMar>
              <w:top w:w="0" w:type="dxa"/>
              <w:left w:w="105" w:type="dxa"/>
              <w:bottom w:w="0" w:type="dxa"/>
              <w:right w:w="105" w:type="dxa"/>
            </w:tcMar>
            <w:vAlign w:val="center"/>
          </w:tcPr>
          <w:p w14:paraId="4CF9A9DF">
            <w:pPr>
              <w:spacing w:before="100" w:beforeAutospacing="1" w:after="100" w:afterAutospacing="1"/>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2</w:t>
            </w:r>
          </w:p>
        </w:tc>
        <w:tc>
          <w:tcPr>
            <w:tcW w:w="4750" w:type="dxa"/>
            <w:noWrap w:val="0"/>
            <w:tcMar>
              <w:top w:w="0" w:type="dxa"/>
              <w:left w:w="105" w:type="dxa"/>
              <w:bottom w:w="0" w:type="dxa"/>
              <w:right w:w="105" w:type="dxa"/>
            </w:tcMar>
            <w:vAlign w:val="center"/>
          </w:tcPr>
          <w:p w14:paraId="06826E67">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制定预算资金管理办法、内部财务管理制度、内控制度、会计核算制度等是否完整，是否执行到位。</w:t>
            </w:r>
          </w:p>
        </w:tc>
        <w:tc>
          <w:tcPr>
            <w:tcW w:w="3123" w:type="dxa"/>
            <w:noWrap w:val="0"/>
            <w:tcMar>
              <w:top w:w="0" w:type="dxa"/>
              <w:left w:w="105" w:type="dxa"/>
              <w:bottom w:w="0" w:type="dxa"/>
              <w:right w:w="105" w:type="dxa"/>
            </w:tcMar>
            <w:vAlign w:val="center"/>
          </w:tcPr>
          <w:p w14:paraId="00DDD9F5">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每发现一项问题，扣1分，扣完为止。</w:t>
            </w:r>
          </w:p>
        </w:tc>
        <w:tc>
          <w:tcPr>
            <w:tcW w:w="1614" w:type="dxa"/>
            <w:noWrap w:val="0"/>
            <w:tcMar>
              <w:top w:w="0" w:type="dxa"/>
              <w:left w:w="105" w:type="dxa"/>
              <w:bottom w:w="0" w:type="dxa"/>
              <w:right w:w="105" w:type="dxa"/>
            </w:tcMar>
            <w:vAlign w:val="center"/>
          </w:tcPr>
          <w:p w14:paraId="327BD597">
            <w:pPr>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没有问题</w:t>
            </w:r>
          </w:p>
        </w:tc>
        <w:tc>
          <w:tcPr>
            <w:tcW w:w="745" w:type="dxa"/>
            <w:vMerge w:val="restart"/>
            <w:noWrap w:val="0"/>
            <w:tcMar>
              <w:top w:w="0" w:type="dxa"/>
              <w:left w:w="105" w:type="dxa"/>
              <w:bottom w:w="0" w:type="dxa"/>
              <w:right w:w="105" w:type="dxa"/>
            </w:tcMar>
            <w:vAlign w:val="center"/>
          </w:tcPr>
          <w:p w14:paraId="5F63C11C">
            <w:pPr>
              <w:jc w:val="center"/>
              <w:rPr>
                <w:rFonts w:hint="eastAsia" w:ascii="仿宋_GB2312" w:hAnsi="仿宋_GB2312" w:eastAsia="仿宋_GB2312" w:cs="仿宋_GB2312"/>
              </w:rPr>
            </w:pPr>
            <w:r>
              <w:rPr>
                <w:rFonts w:hint="eastAsia" w:ascii="仿宋_GB2312" w:hAnsi="仿宋_GB2312" w:eastAsia="仿宋_GB2312" w:cs="仿宋_GB2312"/>
              </w:rPr>
              <w:t>5</w:t>
            </w:r>
          </w:p>
        </w:tc>
      </w:tr>
      <w:tr w14:paraId="00554C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27" w:hRule="atLeast"/>
          <w:tblCellSpacing w:w="0" w:type="dxa"/>
          <w:jc w:val="center"/>
        </w:trPr>
        <w:tc>
          <w:tcPr>
            <w:tcW w:w="1079" w:type="dxa"/>
            <w:vMerge w:val="continue"/>
            <w:noWrap w:val="0"/>
            <w:vAlign w:val="center"/>
          </w:tcPr>
          <w:p w14:paraId="4570684E">
            <w:pPr>
              <w:jc w:val="center"/>
              <w:rPr>
                <w:rFonts w:hint="eastAsia" w:ascii="仿宋_GB2312" w:hAnsi="仿宋_GB2312" w:eastAsia="仿宋_GB2312" w:cs="仿宋_GB2312"/>
                <w:sz w:val="18"/>
                <w:szCs w:val="18"/>
              </w:rPr>
            </w:pPr>
          </w:p>
        </w:tc>
        <w:tc>
          <w:tcPr>
            <w:tcW w:w="1179" w:type="dxa"/>
            <w:vMerge w:val="continue"/>
            <w:noWrap w:val="0"/>
            <w:vAlign w:val="center"/>
          </w:tcPr>
          <w:p w14:paraId="63636FA4">
            <w:pPr>
              <w:jc w:val="center"/>
              <w:rPr>
                <w:rFonts w:hint="eastAsia" w:ascii="仿宋_GB2312" w:hAnsi="仿宋_GB2312" w:eastAsia="仿宋_GB2312" w:cs="仿宋_GB2312"/>
                <w:sz w:val="18"/>
                <w:szCs w:val="18"/>
              </w:rPr>
            </w:pPr>
          </w:p>
        </w:tc>
        <w:tc>
          <w:tcPr>
            <w:tcW w:w="1226" w:type="dxa"/>
            <w:noWrap w:val="0"/>
            <w:tcMar>
              <w:top w:w="0" w:type="dxa"/>
              <w:left w:w="105" w:type="dxa"/>
              <w:bottom w:w="0" w:type="dxa"/>
              <w:right w:w="105" w:type="dxa"/>
            </w:tcMar>
            <w:vAlign w:val="center"/>
          </w:tcPr>
          <w:p w14:paraId="73B4DEE1">
            <w:pPr>
              <w:spacing w:line="300" w:lineRule="exact"/>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资金使用</w:t>
            </w:r>
          </w:p>
          <w:p w14:paraId="7047DE92">
            <w:pPr>
              <w:spacing w:line="300" w:lineRule="exact"/>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合规性</w:t>
            </w:r>
          </w:p>
        </w:tc>
        <w:tc>
          <w:tcPr>
            <w:tcW w:w="701" w:type="dxa"/>
            <w:noWrap w:val="0"/>
            <w:tcMar>
              <w:top w:w="0" w:type="dxa"/>
              <w:left w:w="105" w:type="dxa"/>
              <w:bottom w:w="0" w:type="dxa"/>
              <w:right w:w="105" w:type="dxa"/>
            </w:tcMar>
            <w:vAlign w:val="center"/>
          </w:tcPr>
          <w:p w14:paraId="5AC488E3">
            <w:pPr>
              <w:spacing w:before="100" w:beforeAutospacing="1" w:after="100" w:afterAutospacing="1"/>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3</w:t>
            </w:r>
          </w:p>
        </w:tc>
        <w:tc>
          <w:tcPr>
            <w:tcW w:w="4750" w:type="dxa"/>
            <w:noWrap w:val="0"/>
            <w:tcMar>
              <w:top w:w="0" w:type="dxa"/>
              <w:left w:w="105" w:type="dxa"/>
              <w:bottom w:w="0" w:type="dxa"/>
              <w:right w:w="105" w:type="dxa"/>
            </w:tcMar>
            <w:vAlign w:val="center"/>
          </w:tcPr>
          <w:p w14:paraId="1A10D458">
            <w:pPr>
              <w:spacing w:line="300" w:lineRule="exact"/>
              <w:jc w:val="left"/>
              <w:rPr>
                <w:rFonts w:hint="eastAsia" w:ascii="仿宋_GB2312" w:hAnsi="仿宋_GB2312" w:eastAsia="仿宋_GB2312" w:cs="仿宋_GB2312"/>
                <w:spacing w:val="-20"/>
                <w:sz w:val="18"/>
                <w:szCs w:val="18"/>
              </w:rPr>
            </w:pPr>
            <w:r>
              <w:rPr>
                <w:rFonts w:hint="eastAsia" w:ascii="仿宋_GB2312" w:hAnsi="仿宋_GB2312" w:eastAsia="仿宋_GB2312" w:cs="仿宋_GB2312"/>
                <w:sz w:val="18"/>
                <w:szCs w:val="18"/>
              </w:rPr>
              <w:t>部门预算资金使用是否符合相关的预算财务管理制度的规定。如①是否符合国家财经法规和财务管理制度规定，以及有关专项资金管理办法的规定；②资金的拨付是否有完整的审批程序和手续；③项目的重大开支是否经过评估论证；④是否存在截留、挤占、挪用、虚列支出等情况。</w:t>
            </w:r>
          </w:p>
        </w:tc>
        <w:tc>
          <w:tcPr>
            <w:tcW w:w="3123" w:type="dxa"/>
            <w:noWrap w:val="0"/>
            <w:tcMar>
              <w:top w:w="0" w:type="dxa"/>
              <w:left w:w="105" w:type="dxa"/>
              <w:bottom w:w="0" w:type="dxa"/>
              <w:right w:w="105" w:type="dxa"/>
            </w:tcMar>
            <w:vAlign w:val="center"/>
          </w:tcPr>
          <w:p w14:paraId="758CBE11">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合规率100%得3分；合规率每下降1%，扣0.5分，扣完为止。</w:t>
            </w:r>
          </w:p>
        </w:tc>
        <w:tc>
          <w:tcPr>
            <w:tcW w:w="1614" w:type="dxa"/>
            <w:noWrap w:val="0"/>
            <w:tcMar>
              <w:top w:w="0" w:type="dxa"/>
              <w:left w:w="105" w:type="dxa"/>
              <w:bottom w:w="0" w:type="dxa"/>
              <w:right w:w="105" w:type="dxa"/>
            </w:tcMar>
            <w:vAlign w:val="center"/>
          </w:tcPr>
          <w:p w14:paraId="2E2074B1">
            <w:pPr>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合规律100%</w:t>
            </w:r>
          </w:p>
        </w:tc>
        <w:tc>
          <w:tcPr>
            <w:tcW w:w="745" w:type="dxa"/>
            <w:vMerge w:val="continue"/>
            <w:noWrap w:val="0"/>
            <w:vAlign w:val="center"/>
          </w:tcPr>
          <w:p w14:paraId="145FCEE2">
            <w:pPr>
              <w:jc w:val="center"/>
              <w:rPr>
                <w:rFonts w:hint="eastAsia" w:ascii="仿宋_GB2312" w:hAnsi="仿宋_GB2312" w:eastAsia="仿宋_GB2312" w:cs="仿宋_GB2312"/>
              </w:rPr>
            </w:pPr>
          </w:p>
        </w:tc>
      </w:tr>
      <w:tr w14:paraId="3C094A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35" w:hRule="atLeast"/>
          <w:tblCellSpacing w:w="0" w:type="dxa"/>
          <w:jc w:val="center"/>
        </w:trPr>
        <w:tc>
          <w:tcPr>
            <w:tcW w:w="1079" w:type="dxa"/>
            <w:vMerge w:val="continue"/>
            <w:noWrap w:val="0"/>
            <w:vAlign w:val="center"/>
          </w:tcPr>
          <w:p w14:paraId="22DC0624">
            <w:pPr>
              <w:jc w:val="center"/>
              <w:rPr>
                <w:rFonts w:hint="eastAsia" w:ascii="仿宋_GB2312" w:hAnsi="仿宋_GB2312" w:eastAsia="仿宋_GB2312" w:cs="仿宋_GB2312"/>
                <w:sz w:val="18"/>
                <w:szCs w:val="18"/>
              </w:rPr>
            </w:pPr>
          </w:p>
        </w:tc>
        <w:tc>
          <w:tcPr>
            <w:tcW w:w="1179" w:type="dxa"/>
            <w:vMerge w:val="continue"/>
            <w:noWrap w:val="0"/>
            <w:vAlign w:val="center"/>
          </w:tcPr>
          <w:p w14:paraId="36EFC17C">
            <w:pPr>
              <w:jc w:val="center"/>
              <w:rPr>
                <w:rFonts w:hint="eastAsia" w:ascii="仿宋_GB2312" w:hAnsi="仿宋_GB2312" w:eastAsia="仿宋_GB2312" w:cs="仿宋_GB2312"/>
                <w:sz w:val="18"/>
                <w:szCs w:val="18"/>
              </w:rPr>
            </w:pPr>
          </w:p>
        </w:tc>
        <w:tc>
          <w:tcPr>
            <w:tcW w:w="1226" w:type="dxa"/>
            <w:noWrap w:val="0"/>
            <w:tcMar>
              <w:top w:w="0" w:type="dxa"/>
              <w:left w:w="105" w:type="dxa"/>
              <w:bottom w:w="0" w:type="dxa"/>
              <w:right w:w="105" w:type="dxa"/>
            </w:tcMar>
            <w:vAlign w:val="center"/>
          </w:tcPr>
          <w:p w14:paraId="3BA04D3B">
            <w:pPr>
              <w:spacing w:line="300" w:lineRule="exact"/>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资金使用</w:t>
            </w:r>
          </w:p>
          <w:p w14:paraId="461EE223">
            <w:pPr>
              <w:spacing w:line="300" w:lineRule="exact"/>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合理性</w:t>
            </w:r>
          </w:p>
        </w:tc>
        <w:tc>
          <w:tcPr>
            <w:tcW w:w="701" w:type="dxa"/>
            <w:noWrap w:val="0"/>
            <w:tcMar>
              <w:top w:w="0" w:type="dxa"/>
              <w:left w:w="105" w:type="dxa"/>
              <w:bottom w:w="0" w:type="dxa"/>
              <w:right w:w="105" w:type="dxa"/>
            </w:tcMar>
            <w:vAlign w:val="center"/>
          </w:tcPr>
          <w:p w14:paraId="18B40EFB">
            <w:pPr>
              <w:spacing w:before="100" w:beforeAutospacing="1" w:after="100" w:afterAutospacing="1"/>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2</w:t>
            </w:r>
          </w:p>
        </w:tc>
        <w:tc>
          <w:tcPr>
            <w:tcW w:w="4750" w:type="dxa"/>
            <w:noWrap w:val="0"/>
            <w:tcMar>
              <w:top w:w="0" w:type="dxa"/>
              <w:left w:w="105" w:type="dxa"/>
              <w:bottom w:w="0" w:type="dxa"/>
              <w:right w:w="105" w:type="dxa"/>
            </w:tcMar>
            <w:vAlign w:val="center"/>
          </w:tcPr>
          <w:p w14:paraId="1D01D827">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部门预算资金使用是否与批准的预算及其预算内容相符合。</w:t>
            </w:r>
          </w:p>
        </w:tc>
        <w:tc>
          <w:tcPr>
            <w:tcW w:w="3123" w:type="dxa"/>
            <w:noWrap w:val="0"/>
            <w:tcMar>
              <w:top w:w="0" w:type="dxa"/>
              <w:left w:w="105" w:type="dxa"/>
              <w:bottom w:w="0" w:type="dxa"/>
              <w:right w:w="105" w:type="dxa"/>
            </w:tcMar>
            <w:vAlign w:val="center"/>
          </w:tcPr>
          <w:p w14:paraId="7C07D97B">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相符率100%得2分；相符率每下降1%，扣0.5分，扣完为止。</w:t>
            </w:r>
          </w:p>
        </w:tc>
        <w:tc>
          <w:tcPr>
            <w:tcW w:w="1614" w:type="dxa"/>
            <w:noWrap w:val="0"/>
            <w:tcMar>
              <w:top w:w="0" w:type="dxa"/>
              <w:left w:w="105" w:type="dxa"/>
              <w:bottom w:w="0" w:type="dxa"/>
              <w:right w:w="105" w:type="dxa"/>
            </w:tcMar>
            <w:vAlign w:val="center"/>
          </w:tcPr>
          <w:p w14:paraId="1E8EE2EC">
            <w:pPr>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相符率100%</w:t>
            </w:r>
          </w:p>
        </w:tc>
        <w:tc>
          <w:tcPr>
            <w:tcW w:w="745" w:type="dxa"/>
            <w:noWrap w:val="0"/>
            <w:tcMar>
              <w:top w:w="0" w:type="dxa"/>
              <w:left w:w="105" w:type="dxa"/>
              <w:bottom w:w="0" w:type="dxa"/>
              <w:right w:w="105" w:type="dxa"/>
            </w:tcMar>
            <w:vAlign w:val="center"/>
          </w:tcPr>
          <w:p w14:paraId="73227C59">
            <w:pPr>
              <w:jc w:val="center"/>
              <w:rPr>
                <w:rFonts w:hint="eastAsia" w:ascii="仿宋_GB2312" w:hAnsi="仿宋_GB2312" w:eastAsia="仿宋_GB2312" w:cs="仿宋_GB2312"/>
              </w:rPr>
            </w:pPr>
            <w:r>
              <w:rPr>
                <w:rFonts w:hint="eastAsia" w:ascii="仿宋_GB2312" w:hAnsi="仿宋_GB2312" w:eastAsia="仿宋_GB2312" w:cs="仿宋_GB2312"/>
              </w:rPr>
              <w:t>2</w:t>
            </w:r>
          </w:p>
        </w:tc>
      </w:tr>
      <w:tr w14:paraId="70F102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99" w:hRule="atLeast"/>
          <w:tblCellSpacing w:w="0" w:type="dxa"/>
          <w:jc w:val="center"/>
        </w:trPr>
        <w:tc>
          <w:tcPr>
            <w:tcW w:w="1079" w:type="dxa"/>
            <w:vMerge w:val="continue"/>
            <w:noWrap w:val="0"/>
            <w:vAlign w:val="center"/>
          </w:tcPr>
          <w:p w14:paraId="45B7FE76">
            <w:pPr>
              <w:jc w:val="center"/>
              <w:rPr>
                <w:rFonts w:hint="eastAsia" w:ascii="仿宋_GB2312" w:hAnsi="仿宋_GB2312" w:eastAsia="仿宋_GB2312" w:cs="仿宋_GB2312"/>
                <w:sz w:val="18"/>
                <w:szCs w:val="18"/>
              </w:rPr>
            </w:pPr>
          </w:p>
        </w:tc>
        <w:tc>
          <w:tcPr>
            <w:tcW w:w="1179" w:type="dxa"/>
            <w:vMerge w:val="continue"/>
            <w:noWrap w:val="0"/>
            <w:vAlign w:val="center"/>
          </w:tcPr>
          <w:p w14:paraId="51B697F7">
            <w:pPr>
              <w:jc w:val="center"/>
              <w:rPr>
                <w:rFonts w:hint="eastAsia" w:ascii="仿宋_GB2312" w:hAnsi="仿宋_GB2312" w:eastAsia="仿宋_GB2312" w:cs="仿宋_GB2312"/>
                <w:sz w:val="18"/>
                <w:szCs w:val="18"/>
              </w:rPr>
            </w:pPr>
          </w:p>
        </w:tc>
        <w:tc>
          <w:tcPr>
            <w:tcW w:w="1226" w:type="dxa"/>
            <w:noWrap w:val="0"/>
            <w:tcMar>
              <w:top w:w="0" w:type="dxa"/>
              <w:left w:w="105" w:type="dxa"/>
              <w:bottom w:w="0" w:type="dxa"/>
              <w:right w:w="105" w:type="dxa"/>
            </w:tcMar>
            <w:vAlign w:val="center"/>
          </w:tcPr>
          <w:p w14:paraId="2B863348">
            <w:pPr>
              <w:spacing w:line="300" w:lineRule="exact"/>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整改</w:t>
            </w:r>
          </w:p>
          <w:p w14:paraId="213BDA92">
            <w:pPr>
              <w:spacing w:line="300" w:lineRule="exact"/>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落实</w:t>
            </w:r>
          </w:p>
        </w:tc>
        <w:tc>
          <w:tcPr>
            <w:tcW w:w="701" w:type="dxa"/>
            <w:noWrap w:val="0"/>
            <w:tcMar>
              <w:top w:w="0" w:type="dxa"/>
              <w:left w:w="105" w:type="dxa"/>
              <w:bottom w:w="0" w:type="dxa"/>
              <w:right w:w="105" w:type="dxa"/>
            </w:tcMar>
            <w:vAlign w:val="center"/>
          </w:tcPr>
          <w:p w14:paraId="6414919E">
            <w:pPr>
              <w:spacing w:before="100" w:beforeAutospacing="1" w:after="100" w:afterAutospacing="1"/>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2</w:t>
            </w:r>
          </w:p>
        </w:tc>
        <w:tc>
          <w:tcPr>
            <w:tcW w:w="4750" w:type="dxa"/>
            <w:noWrap w:val="0"/>
            <w:tcMar>
              <w:top w:w="0" w:type="dxa"/>
              <w:left w:w="105" w:type="dxa"/>
              <w:bottom w:w="0" w:type="dxa"/>
              <w:right w:w="105" w:type="dxa"/>
            </w:tcMar>
            <w:vAlign w:val="center"/>
          </w:tcPr>
          <w:p w14:paraId="274F7B0F">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是否对近三年内审计、财政等部门各项检查中、绩效评价发现违法违规问题已经进行有效整改。</w:t>
            </w:r>
          </w:p>
        </w:tc>
        <w:tc>
          <w:tcPr>
            <w:tcW w:w="3123" w:type="dxa"/>
            <w:noWrap w:val="0"/>
            <w:tcMar>
              <w:top w:w="0" w:type="dxa"/>
              <w:left w:w="105" w:type="dxa"/>
              <w:bottom w:w="0" w:type="dxa"/>
              <w:right w:w="105" w:type="dxa"/>
            </w:tcMar>
            <w:vAlign w:val="center"/>
          </w:tcPr>
          <w:p w14:paraId="44C431BF">
            <w:pPr>
              <w:spacing w:line="300" w:lineRule="exact"/>
              <w:jc w:val="left"/>
              <w:rPr>
                <w:rFonts w:hint="eastAsia" w:ascii="仿宋_GB2312" w:hAnsi="仿宋_GB2312" w:eastAsia="仿宋_GB2312" w:cs="仿宋_GB2312"/>
                <w:spacing w:val="-20"/>
                <w:sz w:val="18"/>
                <w:szCs w:val="18"/>
              </w:rPr>
            </w:pPr>
            <w:r>
              <w:rPr>
                <w:rFonts w:hint="eastAsia" w:ascii="仿宋_GB2312" w:hAnsi="仿宋_GB2312" w:eastAsia="仿宋_GB2312" w:cs="仿宋_GB2312"/>
                <w:sz w:val="18"/>
                <w:szCs w:val="18"/>
              </w:rPr>
              <w:t>没发现违法违规问题或发现违法违纪行为并积极制定措施全部整改的，得2分；部分整改的，视整改情况得0.5至1分；未整改的，得0分。</w:t>
            </w:r>
          </w:p>
        </w:tc>
        <w:tc>
          <w:tcPr>
            <w:tcW w:w="1614" w:type="dxa"/>
            <w:noWrap w:val="0"/>
            <w:tcMar>
              <w:top w:w="0" w:type="dxa"/>
              <w:left w:w="105" w:type="dxa"/>
              <w:bottom w:w="0" w:type="dxa"/>
              <w:right w:w="105" w:type="dxa"/>
            </w:tcMar>
            <w:vAlign w:val="center"/>
          </w:tcPr>
          <w:p w14:paraId="4842E24D">
            <w:pPr>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没有违规问题</w:t>
            </w:r>
          </w:p>
        </w:tc>
        <w:tc>
          <w:tcPr>
            <w:tcW w:w="745" w:type="dxa"/>
            <w:noWrap w:val="0"/>
            <w:tcMar>
              <w:top w:w="0" w:type="dxa"/>
              <w:left w:w="105" w:type="dxa"/>
              <w:bottom w:w="0" w:type="dxa"/>
              <w:right w:w="105" w:type="dxa"/>
            </w:tcMar>
            <w:vAlign w:val="center"/>
          </w:tcPr>
          <w:p w14:paraId="6138A994">
            <w:pPr>
              <w:jc w:val="center"/>
              <w:rPr>
                <w:rFonts w:hint="eastAsia" w:ascii="仿宋_GB2312" w:hAnsi="仿宋_GB2312" w:eastAsia="仿宋_GB2312" w:cs="仿宋_GB2312"/>
              </w:rPr>
            </w:pPr>
            <w:r>
              <w:rPr>
                <w:rFonts w:hint="eastAsia" w:ascii="仿宋_GB2312" w:hAnsi="仿宋_GB2312" w:eastAsia="仿宋_GB2312" w:cs="仿宋_GB2312"/>
              </w:rPr>
              <w:t>2</w:t>
            </w:r>
          </w:p>
        </w:tc>
      </w:tr>
      <w:tr w14:paraId="43CCC8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32" w:hRule="atLeast"/>
          <w:tblCellSpacing w:w="0" w:type="dxa"/>
          <w:jc w:val="center"/>
        </w:trPr>
        <w:tc>
          <w:tcPr>
            <w:tcW w:w="1079" w:type="dxa"/>
            <w:vMerge w:val="continue"/>
            <w:noWrap w:val="0"/>
            <w:vAlign w:val="center"/>
          </w:tcPr>
          <w:p w14:paraId="6472F09C">
            <w:pPr>
              <w:jc w:val="center"/>
              <w:rPr>
                <w:rFonts w:hint="eastAsia" w:ascii="仿宋_GB2312" w:hAnsi="仿宋_GB2312" w:eastAsia="仿宋_GB2312" w:cs="仿宋_GB2312"/>
                <w:sz w:val="18"/>
                <w:szCs w:val="18"/>
              </w:rPr>
            </w:pPr>
          </w:p>
        </w:tc>
        <w:tc>
          <w:tcPr>
            <w:tcW w:w="1179" w:type="dxa"/>
            <w:vMerge w:val="restart"/>
            <w:noWrap w:val="0"/>
            <w:tcMar>
              <w:top w:w="0" w:type="dxa"/>
              <w:left w:w="105" w:type="dxa"/>
              <w:bottom w:w="0" w:type="dxa"/>
              <w:right w:w="105" w:type="dxa"/>
            </w:tcMar>
            <w:vAlign w:val="center"/>
          </w:tcPr>
          <w:p w14:paraId="55F3A0E9">
            <w:pPr>
              <w:spacing w:before="100" w:beforeAutospacing="1" w:after="100" w:afterAutospacing="1"/>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资产管理（5分）</w:t>
            </w:r>
          </w:p>
        </w:tc>
        <w:tc>
          <w:tcPr>
            <w:tcW w:w="1226" w:type="dxa"/>
            <w:noWrap w:val="0"/>
            <w:tcMar>
              <w:top w:w="0" w:type="dxa"/>
              <w:left w:w="105" w:type="dxa"/>
              <w:bottom w:w="0" w:type="dxa"/>
              <w:right w:w="105" w:type="dxa"/>
            </w:tcMar>
            <w:vAlign w:val="center"/>
          </w:tcPr>
          <w:p w14:paraId="7C266B80">
            <w:pPr>
              <w:spacing w:line="300" w:lineRule="exact"/>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资产管理制度健全性</w:t>
            </w:r>
          </w:p>
        </w:tc>
        <w:tc>
          <w:tcPr>
            <w:tcW w:w="701" w:type="dxa"/>
            <w:noWrap w:val="0"/>
            <w:tcMar>
              <w:top w:w="0" w:type="dxa"/>
              <w:left w:w="105" w:type="dxa"/>
              <w:bottom w:w="0" w:type="dxa"/>
              <w:right w:w="105" w:type="dxa"/>
            </w:tcMar>
            <w:vAlign w:val="center"/>
          </w:tcPr>
          <w:p w14:paraId="0C351EBA">
            <w:pPr>
              <w:spacing w:before="100" w:beforeAutospacing="1" w:after="100" w:afterAutospacing="1"/>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1</w:t>
            </w:r>
          </w:p>
        </w:tc>
        <w:tc>
          <w:tcPr>
            <w:tcW w:w="4750" w:type="dxa"/>
            <w:noWrap w:val="0"/>
            <w:tcMar>
              <w:top w:w="0" w:type="dxa"/>
              <w:left w:w="105" w:type="dxa"/>
              <w:bottom w:w="0" w:type="dxa"/>
              <w:right w:w="105" w:type="dxa"/>
            </w:tcMar>
            <w:vAlign w:val="center"/>
          </w:tcPr>
          <w:p w14:paraId="17500FE4">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部门为加强资产管理、规范资产管理行为而制定的管理制度是否健全完整，是否合法合规，是否执行到位。</w:t>
            </w:r>
          </w:p>
        </w:tc>
        <w:tc>
          <w:tcPr>
            <w:tcW w:w="3123" w:type="dxa"/>
            <w:noWrap w:val="0"/>
            <w:tcMar>
              <w:top w:w="0" w:type="dxa"/>
              <w:left w:w="105" w:type="dxa"/>
              <w:bottom w:w="0" w:type="dxa"/>
              <w:right w:w="105" w:type="dxa"/>
            </w:tcMar>
            <w:vAlign w:val="center"/>
          </w:tcPr>
          <w:p w14:paraId="16D0E511">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每发现一项问题，扣0.5分，扣完为止。</w:t>
            </w:r>
          </w:p>
        </w:tc>
        <w:tc>
          <w:tcPr>
            <w:tcW w:w="1614" w:type="dxa"/>
            <w:noWrap w:val="0"/>
            <w:tcMar>
              <w:top w:w="0" w:type="dxa"/>
              <w:left w:w="105" w:type="dxa"/>
              <w:bottom w:w="0" w:type="dxa"/>
              <w:right w:w="105" w:type="dxa"/>
            </w:tcMar>
            <w:vAlign w:val="center"/>
          </w:tcPr>
          <w:p w14:paraId="45F4DE47">
            <w:pPr>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没有问题</w:t>
            </w:r>
          </w:p>
        </w:tc>
        <w:tc>
          <w:tcPr>
            <w:tcW w:w="745" w:type="dxa"/>
            <w:noWrap w:val="0"/>
            <w:tcMar>
              <w:top w:w="0" w:type="dxa"/>
              <w:left w:w="105" w:type="dxa"/>
              <w:bottom w:w="0" w:type="dxa"/>
              <w:right w:w="105" w:type="dxa"/>
            </w:tcMar>
            <w:vAlign w:val="center"/>
          </w:tcPr>
          <w:p w14:paraId="42F12FA9">
            <w:pPr>
              <w:jc w:val="center"/>
              <w:rPr>
                <w:rFonts w:hint="eastAsia" w:ascii="仿宋_GB2312" w:hAnsi="仿宋_GB2312" w:eastAsia="仿宋_GB2312" w:cs="仿宋_GB2312"/>
              </w:rPr>
            </w:pPr>
            <w:r>
              <w:rPr>
                <w:rFonts w:hint="eastAsia" w:ascii="仿宋_GB2312" w:hAnsi="仿宋_GB2312" w:eastAsia="仿宋_GB2312" w:cs="仿宋_GB2312"/>
              </w:rPr>
              <w:t>1</w:t>
            </w:r>
          </w:p>
        </w:tc>
      </w:tr>
      <w:tr w14:paraId="08D71E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06" w:hRule="atLeast"/>
          <w:tblCellSpacing w:w="0" w:type="dxa"/>
          <w:jc w:val="center"/>
        </w:trPr>
        <w:tc>
          <w:tcPr>
            <w:tcW w:w="1079" w:type="dxa"/>
            <w:vMerge w:val="continue"/>
            <w:noWrap w:val="0"/>
            <w:vAlign w:val="center"/>
          </w:tcPr>
          <w:p w14:paraId="1BC9513B">
            <w:pPr>
              <w:jc w:val="center"/>
              <w:rPr>
                <w:rFonts w:hint="eastAsia" w:ascii="仿宋_GB2312" w:hAnsi="仿宋_GB2312" w:eastAsia="仿宋_GB2312" w:cs="仿宋_GB2312"/>
                <w:sz w:val="18"/>
                <w:szCs w:val="18"/>
              </w:rPr>
            </w:pPr>
          </w:p>
        </w:tc>
        <w:tc>
          <w:tcPr>
            <w:tcW w:w="1179" w:type="dxa"/>
            <w:vMerge w:val="continue"/>
            <w:noWrap w:val="0"/>
            <w:vAlign w:val="center"/>
          </w:tcPr>
          <w:p w14:paraId="5315FE19">
            <w:pPr>
              <w:jc w:val="center"/>
              <w:rPr>
                <w:rFonts w:hint="eastAsia" w:ascii="仿宋_GB2312" w:hAnsi="仿宋_GB2312" w:eastAsia="仿宋_GB2312" w:cs="仿宋_GB2312"/>
                <w:sz w:val="18"/>
                <w:szCs w:val="18"/>
              </w:rPr>
            </w:pPr>
          </w:p>
        </w:tc>
        <w:tc>
          <w:tcPr>
            <w:tcW w:w="1226" w:type="dxa"/>
            <w:noWrap w:val="0"/>
            <w:tcMar>
              <w:top w:w="0" w:type="dxa"/>
              <w:left w:w="105" w:type="dxa"/>
              <w:bottom w:w="0" w:type="dxa"/>
              <w:right w:w="105" w:type="dxa"/>
            </w:tcMar>
            <w:vAlign w:val="center"/>
          </w:tcPr>
          <w:p w14:paraId="6D0C80D8">
            <w:pPr>
              <w:spacing w:line="300" w:lineRule="exact"/>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资产管理</w:t>
            </w:r>
          </w:p>
          <w:p w14:paraId="0B34AA34">
            <w:pPr>
              <w:spacing w:line="300" w:lineRule="exact"/>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安全性</w:t>
            </w:r>
          </w:p>
        </w:tc>
        <w:tc>
          <w:tcPr>
            <w:tcW w:w="701" w:type="dxa"/>
            <w:noWrap w:val="0"/>
            <w:tcMar>
              <w:top w:w="0" w:type="dxa"/>
              <w:left w:w="105" w:type="dxa"/>
              <w:bottom w:w="0" w:type="dxa"/>
              <w:right w:w="105" w:type="dxa"/>
            </w:tcMar>
            <w:vAlign w:val="center"/>
          </w:tcPr>
          <w:p w14:paraId="2C49ACC3">
            <w:pPr>
              <w:spacing w:before="100" w:beforeAutospacing="1" w:after="100" w:afterAutospacing="1"/>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2</w:t>
            </w:r>
          </w:p>
        </w:tc>
        <w:tc>
          <w:tcPr>
            <w:tcW w:w="4750" w:type="dxa"/>
            <w:noWrap w:val="0"/>
            <w:tcMar>
              <w:top w:w="0" w:type="dxa"/>
              <w:left w:w="105" w:type="dxa"/>
              <w:bottom w:w="0" w:type="dxa"/>
              <w:right w:w="105" w:type="dxa"/>
            </w:tcMar>
            <w:vAlign w:val="center"/>
          </w:tcPr>
          <w:p w14:paraId="35C60F28">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部门的资产是否保存完整、使用合规、配置合理、处置规范、收入及时足额上缴。</w:t>
            </w:r>
          </w:p>
        </w:tc>
        <w:tc>
          <w:tcPr>
            <w:tcW w:w="3123" w:type="dxa"/>
            <w:noWrap w:val="0"/>
            <w:tcMar>
              <w:top w:w="0" w:type="dxa"/>
              <w:left w:w="105" w:type="dxa"/>
              <w:bottom w:w="0" w:type="dxa"/>
              <w:right w:w="105" w:type="dxa"/>
            </w:tcMar>
            <w:vAlign w:val="center"/>
          </w:tcPr>
          <w:p w14:paraId="4A1FC6B6">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每发现一项问题，扣0.5分，扣完为止。</w:t>
            </w:r>
          </w:p>
        </w:tc>
        <w:tc>
          <w:tcPr>
            <w:tcW w:w="1614" w:type="dxa"/>
            <w:noWrap w:val="0"/>
            <w:tcMar>
              <w:top w:w="0" w:type="dxa"/>
              <w:left w:w="105" w:type="dxa"/>
              <w:bottom w:w="0" w:type="dxa"/>
              <w:right w:w="105" w:type="dxa"/>
            </w:tcMar>
            <w:vAlign w:val="center"/>
          </w:tcPr>
          <w:p w14:paraId="3DC25162">
            <w:pPr>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没有问题</w:t>
            </w:r>
          </w:p>
        </w:tc>
        <w:tc>
          <w:tcPr>
            <w:tcW w:w="745" w:type="dxa"/>
            <w:noWrap w:val="0"/>
            <w:tcMar>
              <w:top w:w="0" w:type="dxa"/>
              <w:left w:w="105" w:type="dxa"/>
              <w:bottom w:w="0" w:type="dxa"/>
              <w:right w:w="105" w:type="dxa"/>
            </w:tcMar>
            <w:vAlign w:val="center"/>
          </w:tcPr>
          <w:p w14:paraId="3ED110A1">
            <w:pPr>
              <w:jc w:val="center"/>
              <w:rPr>
                <w:rFonts w:hint="eastAsia" w:ascii="仿宋_GB2312" w:hAnsi="仿宋_GB2312" w:eastAsia="仿宋_GB2312" w:cs="仿宋_GB2312"/>
              </w:rPr>
            </w:pPr>
            <w:r>
              <w:rPr>
                <w:rFonts w:hint="eastAsia" w:ascii="仿宋_GB2312" w:hAnsi="仿宋_GB2312" w:eastAsia="仿宋_GB2312" w:cs="仿宋_GB2312"/>
              </w:rPr>
              <w:t>2</w:t>
            </w:r>
          </w:p>
        </w:tc>
      </w:tr>
      <w:tr w14:paraId="0EAA18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73" w:hRule="atLeast"/>
          <w:tblCellSpacing w:w="0" w:type="dxa"/>
          <w:jc w:val="center"/>
        </w:trPr>
        <w:tc>
          <w:tcPr>
            <w:tcW w:w="1079" w:type="dxa"/>
            <w:vMerge w:val="continue"/>
            <w:noWrap w:val="0"/>
            <w:vAlign w:val="center"/>
          </w:tcPr>
          <w:p w14:paraId="7C85F2C8">
            <w:pPr>
              <w:jc w:val="center"/>
              <w:rPr>
                <w:rFonts w:hint="eastAsia" w:ascii="仿宋_GB2312" w:hAnsi="仿宋_GB2312" w:eastAsia="仿宋_GB2312" w:cs="仿宋_GB2312"/>
                <w:sz w:val="18"/>
                <w:szCs w:val="18"/>
              </w:rPr>
            </w:pPr>
          </w:p>
        </w:tc>
        <w:tc>
          <w:tcPr>
            <w:tcW w:w="1179" w:type="dxa"/>
            <w:vMerge w:val="continue"/>
            <w:noWrap w:val="0"/>
            <w:vAlign w:val="center"/>
          </w:tcPr>
          <w:p w14:paraId="3CC8C2EF">
            <w:pPr>
              <w:jc w:val="center"/>
              <w:rPr>
                <w:rFonts w:hint="eastAsia" w:ascii="仿宋_GB2312" w:hAnsi="仿宋_GB2312" w:eastAsia="仿宋_GB2312" w:cs="仿宋_GB2312"/>
                <w:sz w:val="18"/>
                <w:szCs w:val="18"/>
              </w:rPr>
            </w:pPr>
          </w:p>
        </w:tc>
        <w:tc>
          <w:tcPr>
            <w:tcW w:w="1226" w:type="dxa"/>
            <w:noWrap w:val="0"/>
            <w:tcMar>
              <w:top w:w="0" w:type="dxa"/>
              <w:left w:w="105" w:type="dxa"/>
              <w:bottom w:w="0" w:type="dxa"/>
              <w:right w:w="105" w:type="dxa"/>
            </w:tcMar>
            <w:vAlign w:val="center"/>
          </w:tcPr>
          <w:p w14:paraId="2B35881E">
            <w:pPr>
              <w:spacing w:line="300" w:lineRule="exact"/>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固定资产</w:t>
            </w:r>
          </w:p>
          <w:p w14:paraId="027EDE0D">
            <w:pPr>
              <w:spacing w:line="300" w:lineRule="exact"/>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利用率</w:t>
            </w:r>
          </w:p>
        </w:tc>
        <w:tc>
          <w:tcPr>
            <w:tcW w:w="701" w:type="dxa"/>
            <w:noWrap w:val="0"/>
            <w:tcMar>
              <w:top w:w="0" w:type="dxa"/>
              <w:left w:w="105" w:type="dxa"/>
              <w:bottom w:w="0" w:type="dxa"/>
              <w:right w:w="105" w:type="dxa"/>
            </w:tcMar>
            <w:vAlign w:val="center"/>
          </w:tcPr>
          <w:p w14:paraId="09F4E239">
            <w:pPr>
              <w:spacing w:before="100" w:beforeAutospacing="1" w:after="100" w:afterAutospacing="1"/>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2</w:t>
            </w:r>
          </w:p>
        </w:tc>
        <w:tc>
          <w:tcPr>
            <w:tcW w:w="4750" w:type="dxa"/>
            <w:noWrap w:val="0"/>
            <w:tcMar>
              <w:top w:w="0" w:type="dxa"/>
              <w:left w:w="105" w:type="dxa"/>
              <w:bottom w:w="0" w:type="dxa"/>
              <w:right w:w="105" w:type="dxa"/>
            </w:tcMar>
            <w:vAlign w:val="center"/>
          </w:tcPr>
          <w:p w14:paraId="64F68A3B">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固定资产利用率=（实际在用固定资产总额/所有固定资产总额）×100%</w:t>
            </w:r>
          </w:p>
        </w:tc>
        <w:tc>
          <w:tcPr>
            <w:tcW w:w="3123" w:type="dxa"/>
            <w:noWrap w:val="0"/>
            <w:tcMar>
              <w:top w:w="0" w:type="dxa"/>
              <w:left w:w="105" w:type="dxa"/>
              <w:bottom w:w="0" w:type="dxa"/>
              <w:right w:w="105" w:type="dxa"/>
            </w:tcMar>
            <w:vAlign w:val="center"/>
          </w:tcPr>
          <w:p w14:paraId="39039260">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99%≤结果≤100%，得2分；</w:t>
            </w:r>
          </w:p>
          <w:p w14:paraId="5B971BFD">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90%≤结果＜99%，得1分；</w:t>
            </w:r>
          </w:p>
          <w:p w14:paraId="63B2475A">
            <w:pPr>
              <w:spacing w:line="300" w:lineRule="exact"/>
              <w:jc w:val="left"/>
              <w:rPr>
                <w:rFonts w:hint="eastAsia" w:ascii="仿宋_GB2312" w:hAnsi="仿宋_GB2312" w:eastAsia="仿宋_GB2312" w:cs="仿宋_GB2312"/>
                <w:spacing w:val="-20"/>
                <w:sz w:val="18"/>
                <w:szCs w:val="18"/>
              </w:rPr>
            </w:pPr>
            <w:r>
              <w:rPr>
                <w:rFonts w:hint="eastAsia" w:ascii="仿宋_GB2312" w:hAnsi="仿宋_GB2312" w:eastAsia="仿宋_GB2312" w:cs="仿宋_GB2312"/>
                <w:sz w:val="18"/>
                <w:szCs w:val="18"/>
              </w:rPr>
              <w:t>结果＜90%，得0分。</w:t>
            </w:r>
          </w:p>
        </w:tc>
        <w:tc>
          <w:tcPr>
            <w:tcW w:w="1614" w:type="dxa"/>
            <w:noWrap w:val="0"/>
            <w:tcMar>
              <w:top w:w="0" w:type="dxa"/>
              <w:left w:w="105" w:type="dxa"/>
              <w:bottom w:w="0" w:type="dxa"/>
              <w:right w:w="105" w:type="dxa"/>
            </w:tcMar>
            <w:vAlign w:val="center"/>
          </w:tcPr>
          <w:p w14:paraId="09E60B70">
            <w:pPr>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95%</w:t>
            </w:r>
          </w:p>
        </w:tc>
        <w:tc>
          <w:tcPr>
            <w:tcW w:w="745" w:type="dxa"/>
            <w:noWrap w:val="0"/>
            <w:tcMar>
              <w:top w:w="0" w:type="dxa"/>
              <w:left w:w="105" w:type="dxa"/>
              <w:bottom w:w="0" w:type="dxa"/>
              <w:right w:w="105" w:type="dxa"/>
            </w:tcMar>
            <w:vAlign w:val="center"/>
          </w:tcPr>
          <w:p w14:paraId="56F0DE32">
            <w:pPr>
              <w:jc w:val="center"/>
              <w:rPr>
                <w:rFonts w:hint="eastAsia" w:ascii="仿宋_GB2312" w:hAnsi="仿宋_GB2312" w:eastAsia="仿宋_GB2312" w:cs="仿宋_GB2312"/>
              </w:rPr>
            </w:pPr>
            <w:r>
              <w:rPr>
                <w:rFonts w:hint="eastAsia" w:ascii="仿宋_GB2312" w:hAnsi="仿宋_GB2312" w:eastAsia="仿宋_GB2312" w:cs="仿宋_GB2312"/>
              </w:rPr>
              <w:t>1</w:t>
            </w:r>
          </w:p>
        </w:tc>
      </w:tr>
      <w:tr w14:paraId="2F337D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094" w:hRule="atLeast"/>
          <w:tblCellSpacing w:w="0" w:type="dxa"/>
          <w:jc w:val="center"/>
        </w:trPr>
        <w:tc>
          <w:tcPr>
            <w:tcW w:w="1079" w:type="dxa"/>
            <w:vMerge w:val="restart"/>
            <w:noWrap w:val="0"/>
            <w:tcMar>
              <w:top w:w="0" w:type="dxa"/>
              <w:left w:w="105" w:type="dxa"/>
              <w:bottom w:w="0" w:type="dxa"/>
              <w:right w:w="105" w:type="dxa"/>
            </w:tcMar>
            <w:vAlign w:val="center"/>
          </w:tcPr>
          <w:p w14:paraId="5184C713">
            <w:pPr>
              <w:spacing w:before="100" w:beforeAutospacing="1" w:after="100" w:afterAutospacing="1"/>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产出与效果(共60分)</w:t>
            </w:r>
          </w:p>
        </w:tc>
        <w:tc>
          <w:tcPr>
            <w:tcW w:w="1179" w:type="dxa"/>
            <w:vMerge w:val="restart"/>
            <w:noWrap w:val="0"/>
            <w:tcMar>
              <w:top w:w="0" w:type="dxa"/>
              <w:left w:w="105" w:type="dxa"/>
              <w:bottom w:w="0" w:type="dxa"/>
              <w:right w:w="105" w:type="dxa"/>
            </w:tcMar>
            <w:vAlign w:val="center"/>
          </w:tcPr>
          <w:p w14:paraId="77A70042">
            <w:pPr>
              <w:spacing w:before="100" w:beforeAutospacing="1" w:after="100" w:afterAutospacing="1"/>
              <w:jc w:val="center"/>
              <w:rPr>
                <w:rFonts w:hint="eastAsia" w:ascii="仿宋_GB2312" w:hAnsi="仿宋_GB2312" w:eastAsia="仿宋_GB2312" w:cs="仿宋_GB2312"/>
                <w:sz w:val="18"/>
                <w:szCs w:val="18"/>
              </w:rPr>
            </w:pPr>
          </w:p>
          <w:p w14:paraId="0D03E553">
            <w:pPr>
              <w:spacing w:before="100" w:beforeAutospacing="1" w:after="100" w:afterAutospacing="1"/>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产出指标（30分）</w:t>
            </w:r>
          </w:p>
        </w:tc>
        <w:tc>
          <w:tcPr>
            <w:tcW w:w="1226" w:type="dxa"/>
            <w:noWrap w:val="0"/>
            <w:tcMar>
              <w:top w:w="0" w:type="dxa"/>
              <w:left w:w="105" w:type="dxa"/>
              <w:bottom w:w="0" w:type="dxa"/>
              <w:right w:w="105" w:type="dxa"/>
            </w:tcMar>
            <w:vAlign w:val="center"/>
          </w:tcPr>
          <w:p w14:paraId="58B7B8DC">
            <w:pPr>
              <w:spacing w:line="300" w:lineRule="exact"/>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数量</w:t>
            </w:r>
          </w:p>
        </w:tc>
        <w:tc>
          <w:tcPr>
            <w:tcW w:w="701" w:type="dxa"/>
            <w:noWrap w:val="0"/>
            <w:tcMar>
              <w:top w:w="0" w:type="dxa"/>
              <w:left w:w="105" w:type="dxa"/>
              <w:bottom w:w="0" w:type="dxa"/>
              <w:right w:w="105" w:type="dxa"/>
            </w:tcMar>
            <w:vAlign w:val="center"/>
          </w:tcPr>
          <w:p w14:paraId="7043F554">
            <w:pPr>
              <w:spacing w:before="100" w:beforeAutospacing="1" w:after="100" w:afterAutospacing="1"/>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10</w:t>
            </w:r>
          </w:p>
        </w:tc>
        <w:tc>
          <w:tcPr>
            <w:tcW w:w="4750" w:type="dxa"/>
            <w:noWrap w:val="0"/>
            <w:tcMar>
              <w:top w:w="0" w:type="dxa"/>
              <w:left w:w="105" w:type="dxa"/>
              <w:bottom w:w="0" w:type="dxa"/>
              <w:right w:w="105" w:type="dxa"/>
            </w:tcMar>
            <w:vAlign w:val="center"/>
          </w:tcPr>
          <w:p w14:paraId="3F1F414D">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对照整体绩效目标评价。未设置整体绩效目标，或整体绩效目标设置不完善的，根据部门年度履行职责主要工作和重点工作计划任务数与实际完成任务数的比率评价得分。</w:t>
            </w:r>
          </w:p>
        </w:tc>
        <w:tc>
          <w:tcPr>
            <w:tcW w:w="3123" w:type="dxa"/>
            <w:noWrap w:val="0"/>
            <w:tcMar>
              <w:top w:w="0" w:type="dxa"/>
              <w:left w:w="105" w:type="dxa"/>
              <w:bottom w:w="0" w:type="dxa"/>
              <w:right w:w="105" w:type="dxa"/>
            </w:tcMar>
            <w:vAlign w:val="center"/>
          </w:tcPr>
          <w:p w14:paraId="11D5395A">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对照绩效目标，按实际产出数量率计算得分</w:t>
            </w:r>
          </w:p>
        </w:tc>
        <w:tc>
          <w:tcPr>
            <w:tcW w:w="1614" w:type="dxa"/>
            <w:noWrap w:val="0"/>
            <w:tcMar>
              <w:top w:w="0" w:type="dxa"/>
              <w:left w:w="105" w:type="dxa"/>
              <w:bottom w:w="0" w:type="dxa"/>
              <w:right w:w="105" w:type="dxa"/>
            </w:tcMar>
            <w:vAlign w:val="center"/>
          </w:tcPr>
          <w:p w14:paraId="31B84FA3">
            <w:pPr>
              <w:jc w:val="center"/>
              <w:rPr>
                <w:rFonts w:hint="eastAsia" w:ascii="仿宋_GB2312" w:hAnsi="仿宋_GB2312" w:eastAsia="仿宋_GB2312" w:cs="仿宋_GB2312"/>
                <w:sz w:val="18"/>
                <w:szCs w:val="18"/>
              </w:rPr>
            </w:pPr>
          </w:p>
        </w:tc>
        <w:tc>
          <w:tcPr>
            <w:tcW w:w="745" w:type="dxa"/>
            <w:noWrap w:val="0"/>
            <w:tcMar>
              <w:top w:w="0" w:type="dxa"/>
              <w:left w:w="105" w:type="dxa"/>
              <w:bottom w:w="0" w:type="dxa"/>
              <w:right w:w="105" w:type="dxa"/>
            </w:tcMar>
            <w:vAlign w:val="center"/>
          </w:tcPr>
          <w:p w14:paraId="27E0347A">
            <w:pPr>
              <w:jc w:val="center"/>
              <w:rPr>
                <w:rFonts w:hint="eastAsia" w:ascii="仿宋_GB2312" w:hAnsi="仿宋_GB2312" w:eastAsia="仿宋_GB2312" w:cs="仿宋_GB2312"/>
              </w:rPr>
            </w:pPr>
            <w:r>
              <w:rPr>
                <w:rFonts w:hint="eastAsia" w:ascii="仿宋_GB2312" w:hAnsi="仿宋_GB2312" w:eastAsia="仿宋_GB2312" w:cs="仿宋_GB2312"/>
              </w:rPr>
              <w:t>9</w:t>
            </w:r>
          </w:p>
        </w:tc>
      </w:tr>
      <w:tr w14:paraId="61D031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59" w:hRule="atLeast"/>
          <w:tblCellSpacing w:w="0" w:type="dxa"/>
          <w:jc w:val="center"/>
        </w:trPr>
        <w:tc>
          <w:tcPr>
            <w:tcW w:w="1079" w:type="dxa"/>
            <w:vMerge w:val="continue"/>
            <w:noWrap w:val="0"/>
            <w:vAlign w:val="center"/>
          </w:tcPr>
          <w:p w14:paraId="246AD4B2">
            <w:pPr>
              <w:jc w:val="center"/>
              <w:rPr>
                <w:rFonts w:hint="eastAsia" w:ascii="仿宋_GB2312" w:hAnsi="仿宋_GB2312" w:eastAsia="仿宋_GB2312" w:cs="仿宋_GB2312"/>
                <w:sz w:val="18"/>
                <w:szCs w:val="18"/>
              </w:rPr>
            </w:pPr>
          </w:p>
        </w:tc>
        <w:tc>
          <w:tcPr>
            <w:tcW w:w="1179" w:type="dxa"/>
            <w:vMerge w:val="continue"/>
            <w:noWrap w:val="0"/>
            <w:vAlign w:val="center"/>
          </w:tcPr>
          <w:p w14:paraId="3318C1E9">
            <w:pPr>
              <w:jc w:val="center"/>
              <w:rPr>
                <w:rFonts w:hint="eastAsia" w:ascii="仿宋_GB2312" w:hAnsi="仿宋_GB2312" w:eastAsia="仿宋_GB2312" w:cs="仿宋_GB2312"/>
                <w:sz w:val="18"/>
                <w:szCs w:val="18"/>
              </w:rPr>
            </w:pPr>
          </w:p>
        </w:tc>
        <w:tc>
          <w:tcPr>
            <w:tcW w:w="1226" w:type="dxa"/>
            <w:noWrap w:val="0"/>
            <w:tcMar>
              <w:top w:w="0" w:type="dxa"/>
              <w:left w:w="105" w:type="dxa"/>
              <w:bottom w:w="0" w:type="dxa"/>
              <w:right w:w="105" w:type="dxa"/>
            </w:tcMar>
            <w:vAlign w:val="center"/>
          </w:tcPr>
          <w:p w14:paraId="5C151A50">
            <w:pPr>
              <w:spacing w:line="300" w:lineRule="exact"/>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质量</w:t>
            </w:r>
          </w:p>
        </w:tc>
        <w:tc>
          <w:tcPr>
            <w:tcW w:w="701" w:type="dxa"/>
            <w:noWrap w:val="0"/>
            <w:tcMar>
              <w:top w:w="0" w:type="dxa"/>
              <w:left w:w="105" w:type="dxa"/>
              <w:bottom w:w="0" w:type="dxa"/>
              <w:right w:w="105" w:type="dxa"/>
            </w:tcMar>
            <w:vAlign w:val="center"/>
          </w:tcPr>
          <w:p w14:paraId="39D51D97">
            <w:pPr>
              <w:spacing w:before="100" w:beforeAutospacing="1" w:after="100" w:afterAutospacing="1"/>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10</w:t>
            </w:r>
          </w:p>
        </w:tc>
        <w:tc>
          <w:tcPr>
            <w:tcW w:w="4750" w:type="dxa"/>
            <w:noWrap w:val="0"/>
            <w:tcMar>
              <w:top w:w="0" w:type="dxa"/>
              <w:left w:w="105" w:type="dxa"/>
              <w:bottom w:w="0" w:type="dxa"/>
              <w:right w:w="105" w:type="dxa"/>
            </w:tcMar>
            <w:vAlign w:val="center"/>
          </w:tcPr>
          <w:p w14:paraId="7C2B9315">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对照整体绩效目标评价。未设置整体绩效目标，或整体绩效目标设置不完善的，根据部门年度履行职责主要工作和重点工作，标识具体明确的产出质量。</w:t>
            </w:r>
          </w:p>
        </w:tc>
        <w:tc>
          <w:tcPr>
            <w:tcW w:w="3123" w:type="dxa"/>
            <w:noWrap w:val="0"/>
            <w:tcMar>
              <w:top w:w="0" w:type="dxa"/>
              <w:left w:w="105" w:type="dxa"/>
              <w:bottom w:w="0" w:type="dxa"/>
              <w:right w:w="105" w:type="dxa"/>
            </w:tcMar>
            <w:vAlign w:val="center"/>
          </w:tcPr>
          <w:p w14:paraId="5D167673">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对照绩效目标，按实际产出质量计算得分</w:t>
            </w:r>
          </w:p>
        </w:tc>
        <w:tc>
          <w:tcPr>
            <w:tcW w:w="1614" w:type="dxa"/>
            <w:noWrap w:val="0"/>
            <w:tcMar>
              <w:top w:w="0" w:type="dxa"/>
              <w:left w:w="105" w:type="dxa"/>
              <w:bottom w:w="0" w:type="dxa"/>
              <w:right w:w="105" w:type="dxa"/>
            </w:tcMar>
            <w:vAlign w:val="center"/>
          </w:tcPr>
          <w:p w14:paraId="4D43C7F2">
            <w:pPr>
              <w:jc w:val="center"/>
              <w:rPr>
                <w:rFonts w:hint="eastAsia" w:ascii="仿宋_GB2312" w:hAnsi="仿宋_GB2312" w:eastAsia="仿宋_GB2312" w:cs="仿宋_GB2312"/>
                <w:sz w:val="18"/>
                <w:szCs w:val="18"/>
              </w:rPr>
            </w:pPr>
          </w:p>
        </w:tc>
        <w:tc>
          <w:tcPr>
            <w:tcW w:w="745" w:type="dxa"/>
            <w:noWrap w:val="0"/>
            <w:tcMar>
              <w:top w:w="0" w:type="dxa"/>
              <w:left w:w="105" w:type="dxa"/>
              <w:bottom w:w="0" w:type="dxa"/>
              <w:right w:w="105" w:type="dxa"/>
            </w:tcMar>
            <w:vAlign w:val="center"/>
          </w:tcPr>
          <w:p w14:paraId="78ADE89C">
            <w:pPr>
              <w:jc w:val="center"/>
              <w:rPr>
                <w:rFonts w:hint="eastAsia" w:ascii="仿宋_GB2312" w:hAnsi="仿宋_GB2312" w:eastAsia="仿宋_GB2312" w:cs="仿宋_GB2312"/>
              </w:rPr>
            </w:pPr>
            <w:r>
              <w:rPr>
                <w:rFonts w:hint="eastAsia" w:ascii="仿宋_GB2312" w:hAnsi="仿宋_GB2312" w:eastAsia="仿宋_GB2312" w:cs="仿宋_GB2312"/>
              </w:rPr>
              <w:t>8</w:t>
            </w:r>
          </w:p>
        </w:tc>
      </w:tr>
      <w:tr w14:paraId="1B3992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54" w:hRule="atLeast"/>
          <w:tblCellSpacing w:w="0" w:type="dxa"/>
          <w:jc w:val="center"/>
        </w:trPr>
        <w:tc>
          <w:tcPr>
            <w:tcW w:w="1079" w:type="dxa"/>
            <w:vMerge w:val="continue"/>
            <w:noWrap w:val="0"/>
            <w:vAlign w:val="center"/>
          </w:tcPr>
          <w:p w14:paraId="01939062">
            <w:pPr>
              <w:jc w:val="center"/>
              <w:rPr>
                <w:rFonts w:hint="eastAsia" w:ascii="仿宋_GB2312" w:hAnsi="仿宋_GB2312" w:eastAsia="仿宋_GB2312" w:cs="仿宋_GB2312"/>
                <w:sz w:val="18"/>
                <w:szCs w:val="18"/>
              </w:rPr>
            </w:pPr>
          </w:p>
        </w:tc>
        <w:tc>
          <w:tcPr>
            <w:tcW w:w="1179" w:type="dxa"/>
            <w:vMerge w:val="continue"/>
            <w:noWrap w:val="0"/>
            <w:vAlign w:val="center"/>
          </w:tcPr>
          <w:p w14:paraId="73148520">
            <w:pPr>
              <w:jc w:val="center"/>
              <w:rPr>
                <w:rFonts w:hint="eastAsia" w:ascii="仿宋_GB2312" w:hAnsi="仿宋_GB2312" w:eastAsia="仿宋_GB2312" w:cs="仿宋_GB2312"/>
                <w:sz w:val="18"/>
                <w:szCs w:val="18"/>
              </w:rPr>
            </w:pPr>
          </w:p>
        </w:tc>
        <w:tc>
          <w:tcPr>
            <w:tcW w:w="1226" w:type="dxa"/>
            <w:noWrap w:val="0"/>
            <w:tcMar>
              <w:top w:w="0" w:type="dxa"/>
              <w:left w:w="105" w:type="dxa"/>
              <w:bottom w:w="0" w:type="dxa"/>
              <w:right w:w="105" w:type="dxa"/>
            </w:tcMar>
            <w:vAlign w:val="center"/>
          </w:tcPr>
          <w:p w14:paraId="39DABC46">
            <w:pPr>
              <w:spacing w:line="300" w:lineRule="exact"/>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时效</w:t>
            </w:r>
          </w:p>
        </w:tc>
        <w:tc>
          <w:tcPr>
            <w:tcW w:w="701" w:type="dxa"/>
            <w:noWrap w:val="0"/>
            <w:tcMar>
              <w:top w:w="0" w:type="dxa"/>
              <w:left w:w="105" w:type="dxa"/>
              <w:bottom w:w="0" w:type="dxa"/>
              <w:right w:w="105" w:type="dxa"/>
            </w:tcMar>
            <w:vAlign w:val="center"/>
          </w:tcPr>
          <w:p w14:paraId="6E79E05B">
            <w:pPr>
              <w:spacing w:before="100" w:beforeAutospacing="1" w:after="100" w:afterAutospacing="1"/>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10</w:t>
            </w:r>
          </w:p>
        </w:tc>
        <w:tc>
          <w:tcPr>
            <w:tcW w:w="4750" w:type="dxa"/>
            <w:noWrap w:val="0"/>
            <w:tcMar>
              <w:top w:w="0" w:type="dxa"/>
              <w:left w:w="105" w:type="dxa"/>
              <w:bottom w:w="0" w:type="dxa"/>
              <w:right w:w="105" w:type="dxa"/>
            </w:tcMar>
            <w:vAlign w:val="center"/>
          </w:tcPr>
          <w:p w14:paraId="3D07C8C5">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对照整体绩效目标评价。未设置整体绩效目标，或整体绩效目标设置不完善的，根据部门年度履行职责主要工作和重点工作，标识具体明确的产出时效。</w:t>
            </w:r>
          </w:p>
        </w:tc>
        <w:tc>
          <w:tcPr>
            <w:tcW w:w="3123" w:type="dxa"/>
            <w:noWrap w:val="0"/>
            <w:tcMar>
              <w:top w:w="0" w:type="dxa"/>
              <w:left w:w="105" w:type="dxa"/>
              <w:bottom w:w="0" w:type="dxa"/>
              <w:right w:w="105" w:type="dxa"/>
            </w:tcMar>
            <w:vAlign w:val="center"/>
          </w:tcPr>
          <w:p w14:paraId="2FAA0CE6">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对照绩效目标，按实际产出时效计算得分</w:t>
            </w:r>
          </w:p>
        </w:tc>
        <w:tc>
          <w:tcPr>
            <w:tcW w:w="1614" w:type="dxa"/>
            <w:noWrap w:val="0"/>
            <w:tcMar>
              <w:top w:w="0" w:type="dxa"/>
              <w:left w:w="105" w:type="dxa"/>
              <w:bottom w:w="0" w:type="dxa"/>
              <w:right w:w="105" w:type="dxa"/>
            </w:tcMar>
            <w:vAlign w:val="center"/>
          </w:tcPr>
          <w:p w14:paraId="5FDB6643">
            <w:pPr>
              <w:jc w:val="center"/>
              <w:rPr>
                <w:rFonts w:hint="eastAsia" w:ascii="仿宋_GB2312" w:hAnsi="仿宋_GB2312" w:eastAsia="仿宋_GB2312" w:cs="仿宋_GB2312"/>
                <w:sz w:val="18"/>
                <w:szCs w:val="18"/>
              </w:rPr>
            </w:pPr>
          </w:p>
        </w:tc>
        <w:tc>
          <w:tcPr>
            <w:tcW w:w="745" w:type="dxa"/>
            <w:noWrap w:val="0"/>
            <w:tcMar>
              <w:top w:w="0" w:type="dxa"/>
              <w:left w:w="105" w:type="dxa"/>
              <w:bottom w:w="0" w:type="dxa"/>
              <w:right w:w="105" w:type="dxa"/>
            </w:tcMar>
            <w:vAlign w:val="center"/>
          </w:tcPr>
          <w:p w14:paraId="495DDE98">
            <w:pPr>
              <w:jc w:val="center"/>
              <w:rPr>
                <w:rFonts w:hint="eastAsia" w:ascii="仿宋_GB2312" w:hAnsi="仿宋_GB2312" w:eastAsia="仿宋_GB2312" w:cs="仿宋_GB2312"/>
              </w:rPr>
            </w:pPr>
            <w:r>
              <w:rPr>
                <w:rFonts w:hint="eastAsia" w:ascii="仿宋_GB2312" w:hAnsi="仿宋_GB2312" w:eastAsia="仿宋_GB2312" w:cs="仿宋_GB2312"/>
              </w:rPr>
              <w:t>8</w:t>
            </w:r>
          </w:p>
        </w:tc>
      </w:tr>
      <w:tr w14:paraId="3403DE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73" w:hRule="atLeast"/>
          <w:tblCellSpacing w:w="0" w:type="dxa"/>
          <w:jc w:val="center"/>
        </w:trPr>
        <w:tc>
          <w:tcPr>
            <w:tcW w:w="1079" w:type="dxa"/>
            <w:vMerge w:val="continue"/>
            <w:noWrap w:val="0"/>
            <w:vAlign w:val="center"/>
          </w:tcPr>
          <w:p w14:paraId="27A2E61C">
            <w:pPr>
              <w:jc w:val="center"/>
              <w:rPr>
                <w:rFonts w:hint="eastAsia" w:ascii="仿宋_GB2312" w:hAnsi="仿宋_GB2312" w:eastAsia="仿宋_GB2312" w:cs="仿宋_GB2312"/>
                <w:sz w:val="18"/>
                <w:szCs w:val="18"/>
              </w:rPr>
            </w:pPr>
          </w:p>
        </w:tc>
        <w:tc>
          <w:tcPr>
            <w:tcW w:w="1179" w:type="dxa"/>
            <w:vMerge w:val="restart"/>
            <w:noWrap w:val="0"/>
            <w:tcMar>
              <w:top w:w="0" w:type="dxa"/>
              <w:left w:w="105" w:type="dxa"/>
              <w:bottom w:w="0" w:type="dxa"/>
              <w:right w:w="105" w:type="dxa"/>
            </w:tcMar>
            <w:vAlign w:val="center"/>
          </w:tcPr>
          <w:p w14:paraId="69D1D4E4">
            <w:pPr>
              <w:spacing w:before="100" w:beforeAutospacing="1" w:after="100" w:afterAutospacing="1"/>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效益指标（30分）</w:t>
            </w:r>
          </w:p>
        </w:tc>
        <w:tc>
          <w:tcPr>
            <w:tcW w:w="1226" w:type="dxa"/>
            <w:noWrap w:val="0"/>
            <w:tcMar>
              <w:top w:w="0" w:type="dxa"/>
              <w:left w:w="105" w:type="dxa"/>
              <w:bottom w:w="0" w:type="dxa"/>
              <w:right w:w="105" w:type="dxa"/>
            </w:tcMar>
            <w:vAlign w:val="center"/>
          </w:tcPr>
          <w:p w14:paraId="11DFD5AE">
            <w:pPr>
              <w:spacing w:line="300" w:lineRule="exact"/>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经济</w:t>
            </w:r>
          </w:p>
          <w:p w14:paraId="4F68BF77">
            <w:pPr>
              <w:spacing w:line="300" w:lineRule="exact"/>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效益</w:t>
            </w:r>
          </w:p>
        </w:tc>
        <w:tc>
          <w:tcPr>
            <w:tcW w:w="701" w:type="dxa"/>
            <w:vMerge w:val="restart"/>
            <w:noWrap w:val="0"/>
            <w:tcMar>
              <w:top w:w="0" w:type="dxa"/>
              <w:left w:w="105" w:type="dxa"/>
              <w:bottom w:w="0" w:type="dxa"/>
              <w:right w:w="105" w:type="dxa"/>
            </w:tcMar>
            <w:vAlign w:val="center"/>
          </w:tcPr>
          <w:p w14:paraId="408EE570">
            <w:pPr>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20</w:t>
            </w:r>
          </w:p>
        </w:tc>
        <w:tc>
          <w:tcPr>
            <w:tcW w:w="4750" w:type="dxa"/>
            <w:noWrap w:val="0"/>
            <w:tcMar>
              <w:top w:w="0" w:type="dxa"/>
              <w:left w:w="105" w:type="dxa"/>
              <w:bottom w:w="0" w:type="dxa"/>
              <w:right w:w="105" w:type="dxa"/>
            </w:tcMar>
            <w:vAlign w:val="center"/>
          </w:tcPr>
          <w:p w14:paraId="476FA3A8">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对照整体绩效目标评价。未设置整体绩效目标，或整体绩效目标设置不完善的，根据部门年度履行职责主要工作和重点工作，标识所产生的直接或间接的经济效益</w:t>
            </w:r>
          </w:p>
        </w:tc>
        <w:tc>
          <w:tcPr>
            <w:tcW w:w="3123" w:type="dxa"/>
            <w:noWrap w:val="0"/>
            <w:tcMar>
              <w:top w:w="0" w:type="dxa"/>
              <w:left w:w="105" w:type="dxa"/>
              <w:bottom w:w="0" w:type="dxa"/>
              <w:right w:w="105" w:type="dxa"/>
            </w:tcMar>
            <w:vAlign w:val="center"/>
          </w:tcPr>
          <w:p w14:paraId="3FEC5F6E">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对照绩效目标，按经济效益实现程度计算得分</w:t>
            </w:r>
          </w:p>
        </w:tc>
        <w:tc>
          <w:tcPr>
            <w:tcW w:w="1614" w:type="dxa"/>
            <w:noWrap w:val="0"/>
            <w:tcMar>
              <w:top w:w="0" w:type="dxa"/>
              <w:left w:w="105" w:type="dxa"/>
              <w:bottom w:w="0" w:type="dxa"/>
              <w:right w:w="105" w:type="dxa"/>
            </w:tcMar>
            <w:vAlign w:val="center"/>
          </w:tcPr>
          <w:p w14:paraId="3EA37599">
            <w:pPr>
              <w:jc w:val="center"/>
              <w:rPr>
                <w:rFonts w:hint="eastAsia" w:ascii="仿宋_GB2312" w:hAnsi="仿宋_GB2312" w:eastAsia="仿宋_GB2312" w:cs="仿宋_GB2312"/>
                <w:sz w:val="18"/>
                <w:szCs w:val="18"/>
              </w:rPr>
            </w:pPr>
          </w:p>
        </w:tc>
        <w:tc>
          <w:tcPr>
            <w:tcW w:w="745" w:type="dxa"/>
            <w:noWrap w:val="0"/>
            <w:tcMar>
              <w:top w:w="0" w:type="dxa"/>
              <w:left w:w="105" w:type="dxa"/>
              <w:bottom w:w="0" w:type="dxa"/>
              <w:right w:w="105" w:type="dxa"/>
            </w:tcMar>
            <w:vAlign w:val="center"/>
          </w:tcPr>
          <w:p w14:paraId="350A6F04">
            <w:pPr>
              <w:jc w:val="center"/>
              <w:rPr>
                <w:rFonts w:hint="eastAsia" w:ascii="仿宋_GB2312" w:hAnsi="仿宋_GB2312" w:eastAsia="仿宋_GB2312" w:cs="仿宋_GB2312"/>
              </w:rPr>
            </w:pPr>
            <w:r>
              <w:rPr>
                <w:rFonts w:hint="eastAsia" w:ascii="仿宋_GB2312" w:hAnsi="仿宋_GB2312" w:eastAsia="仿宋_GB2312" w:cs="仿宋_GB2312"/>
              </w:rPr>
              <w:t>17</w:t>
            </w:r>
          </w:p>
        </w:tc>
      </w:tr>
      <w:tr w14:paraId="35431C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tblCellSpacing w:w="0" w:type="dxa"/>
          <w:jc w:val="center"/>
        </w:trPr>
        <w:tc>
          <w:tcPr>
            <w:tcW w:w="1079" w:type="dxa"/>
            <w:vMerge w:val="continue"/>
            <w:noWrap w:val="0"/>
            <w:vAlign w:val="center"/>
          </w:tcPr>
          <w:p w14:paraId="7DED6B6D">
            <w:pPr>
              <w:jc w:val="center"/>
              <w:rPr>
                <w:rFonts w:hint="eastAsia" w:ascii="仿宋_GB2312" w:hAnsi="仿宋_GB2312" w:eastAsia="仿宋_GB2312" w:cs="仿宋_GB2312"/>
                <w:sz w:val="18"/>
                <w:szCs w:val="18"/>
              </w:rPr>
            </w:pPr>
          </w:p>
        </w:tc>
        <w:tc>
          <w:tcPr>
            <w:tcW w:w="1179" w:type="dxa"/>
            <w:vMerge w:val="continue"/>
            <w:noWrap w:val="0"/>
            <w:vAlign w:val="center"/>
          </w:tcPr>
          <w:p w14:paraId="58031095">
            <w:pPr>
              <w:jc w:val="center"/>
              <w:rPr>
                <w:rFonts w:hint="eastAsia" w:ascii="仿宋_GB2312" w:hAnsi="仿宋_GB2312" w:eastAsia="仿宋_GB2312" w:cs="仿宋_GB2312"/>
                <w:sz w:val="18"/>
                <w:szCs w:val="18"/>
              </w:rPr>
            </w:pPr>
          </w:p>
        </w:tc>
        <w:tc>
          <w:tcPr>
            <w:tcW w:w="1226" w:type="dxa"/>
            <w:noWrap w:val="0"/>
            <w:vAlign w:val="center"/>
          </w:tcPr>
          <w:p w14:paraId="5A941172">
            <w:pPr>
              <w:spacing w:line="300" w:lineRule="exact"/>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社会</w:t>
            </w:r>
          </w:p>
          <w:p w14:paraId="6D7F8CFD">
            <w:pPr>
              <w:spacing w:line="300" w:lineRule="exact"/>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效益</w:t>
            </w:r>
          </w:p>
        </w:tc>
        <w:tc>
          <w:tcPr>
            <w:tcW w:w="701" w:type="dxa"/>
            <w:vMerge w:val="continue"/>
            <w:noWrap w:val="0"/>
            <w:vAlign w:val="center"/>
          </w:tcPr>
          <w:p w14:paraId="4390E8BC">
            <w:pPr>
              <w:jc w:val="center"/>
              <w:rPr>
                <w:rFonts w:hint="eastAsia" w:ascii="仿宋_GB2312" w:hAnsi="仿宋_GB2312" w:eastAsia="仿宋_GB2312" w:cs="仿宋_GB2312"/>
                <w:sz w:val="18"/>
                <w:szCs w:val="18"/>
              </w:rPr>
            </w:pPr>
          </w:p>
        </w:tc>
        <w:tc>
          <w:tcPr>
            <w:tcW w:w="4750" w:type="dxa"/>
            <w:noWrap w:val="0"/>
            <w:tcMar>
              <w:top w:w="0" w:type="dxa"/>
              <w:left w:w="105" w:type="dxa"/>
              <w:bottom w:w="0" w:type="dxa"/>
              <w:right w:w="105" w:type="dxa"/>
            </w:tcMar>
            <w:vAlign w:val="center"/>
          </w:tcPr>
          <w:p w14:paraId="637C0FA5">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对照整体绩效目标评价。未设置整体绩效目标，或整体绩效目标设置不完善的，根据部门年度履行职责主要工作和重点工作，标识所产生的社会效益</w:t>
            </w:r>
          </w:p>
        </w:tc>
        <w:tc>
          <w:tcPr>
            <w:tcW w:w="3123" w:type="dxa"/>
            <w:noWrap w:val="0"/>
            <w:tcMar>
              <w:top w:w="0" w:type="dxa"/>
              <w:left w:w="105" w:type="dxa"/>
              <w:bottom w:w="0" w:type="dxa"/>
              <w:right w:w="105" w:type="dxa"/>
            </w:tcMar>
            <w:vAlign w:val="center"/>
          </w:tcPr>
          <w:p w14:paraId="21B6E79A">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对照绩效目标，按社会效益实现程度计算得分</w:t>
            </w:r>
          </w:p>
        </w:tc>
        <w:tc>
          <w:tcPr>
            <w:tcW w:w="1614" w:type="dxa"/>
            <w:noWrap w:val="0"/>
            <w:tcMar>
              <w:top w:w="0" w:type="dxa"/>
              <w:left w:w="105" w:type="dxa"/>
              <w:bottom w:w="0" w:type="dxa"/>
              <w:right w:w="105" w:type="dxa"/>
            </w:tcMar>
            <w:vAlign w:val="center"/>
          </w:tcPr>
          <w:p w14:paraId="40EF1887">
            <w:pPr>
              <w:jc w:val="center"/>
              <w:rPr>
                <w:rFonts w:hint="eastAsia" w:ascii="仿宋_GB2312" w:hAnsi="仿宋_GB2312" w:eastAsia="仿宋_GB2312" w:cs="仿宋_GB2312"/>
                <w:sz w:val="18"/>
                <w:szCs w:val="18"/>
              </w:rPr>
            </w:pPr>
          </w:p>
        </w:tc>
        <w:tc>
          <w:tcPr>
            <w:tcW w:w="745" w:type="dxa"/>
            <w:noWrap w:val="0"/>
            <w:tcMar>
              <w:top w:w="0" w:type="dxa"/>
              <w:left w:w="105" w:type="dxa"/>
              <w:bottom w:w="0" w:type="dxa"/>
              <w:right w:w="105" w:type="dxa"/>
            </w:tcMar>
            <w:vAlign w:val="center"/>
          </w:tcPr>
          <w:p w14:paraId="7659F9A0">
            <w:pPr>
              <w:jc w:val="center"/>
              <w:rPr>
                <w:rFonts w:hint="eastAsia" w:ascii="仿宋_GB2312" w:hAnsi="仿宋_GB2312" w:eastAsia="仿宋_GB2312" w:cs="仿宋_GB2312"/>
              </w:rPr>
            </w:pPr>
          </w:p>
        </w:tc>
      </w:tr>
      <w:tr w14:paraId="7FE7A2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230" w:hRule="atLeast"/>
          <w:tblCellSpacing w:w="0" w:type="dxa"/>
          <w:jc w:val="center"/>
        </w:trPr>
        <w:tc>
          <w:tcPr>
            <w:tcW w:w="1079" w:type="dxa"/>
            <w:vMerge w:val="continue"/>
            <w:noWrap w:val="0"/>
            <w:vAlign w:val="center"/>
          </w:tcPr>
          <w:p w14:paraId="03D5FF6F">
            <w:pPr>
              <w:jc w:val="center"/>
              <w:rPr>
                <w:rFonts w:hint="eastAsia" w:ascii="仿宋_GB2312" w:hAnsi="仿宋_GB2312" w:eastAsia="仿宋_GB2312" w:cs="仿宋_GB2312"/>
                <w:sz w:val="18"/>
                <w:szCs w:val="18"/>
              </w:rPr>
            </w:pPr>
          </w:p>
        </w:tc>
        <w:tc>
          <w:tcPr>
            <w:tcW w:w="1179" w:type="dxa"/>
            <w:vMerge w:val="continue"/>
            <w:noWrap w:val="0"/>
            <w:vAlign w:val="center"/>
          </w:tcPr>
          <w:p w14:paraId="5CD17251">
            <w:pPr>
              <w:jc w:val="center"/>
              <w:rPr>
                <w:rFonts w:hint="eastAsia" w:ascii="仿宋_GB2312" w:hAnsi="仿宋_GB2312" w:eastAsia="仿宋_GB2312" w:cs="仿宋_GB2312"/>
                <w:sz w:val="18"/>
                <w:szCs w:val="18"/>
              </w:rPr>
            </w:pPr>
          </w:p>
        </w:tc>
        <w:tc>
          <w:tcPr>
            <w:tcW w:w="1226" w:type="dxa"/>
            <w:noWrap w:val="0"/>
            <w:vAlign w:val="center"/>
          </w:tcPr>
          <w:p w14:paraId="674A8035">
            <w:pPr>
              <w:spacing w:line="300" w:lineRule="exact"/>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环境</w:t>
            </w:r>
          </w:p>
          <w:p w14:paraId="477C3AF2">
            <w:pPr>
              <w:spacing w:line="300" w:lineRule="exact"/>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效益</w:t>
            </w:r>
          </w:p>
        </w:tc>
        <w:tc>
          <w:tcPr>
            <w:tcW w:w="701" w:type="dxa"/>
            <w:vMerge w:val="continue"/>
            <w:noWrap w:val="0"/>
            <w:vAlign w:val="center"/>
          </w:tcPr>
          <w:p w14:paraId="04434672">
            <w:pPr>
              <w:jc w:val="center"/>
              <w:rPr>
                <w:rFonts w:hint="eastAsia" w:ascii="仿宋_GB2312" w:hAnsi="仿宋_GB2312" w:eastAsia="仿宋_GB2312" w:cs="仿宋_GB2312"/>
                <w:sz w:val="18"/>
                <w:szCs w:val="18"/>
              </w:rPr>
            </w:pPr>
          </w:p>
        </w:tc>
        <w:tc>
          <w:tcPr>
            <w:tcW w:w="4750" w:type="dxa"/>
            <w:noWrap w:val="0"/>
            <w:tcMar>
              <w:top w:w="0" w:type="dxa"/>
              <w:left w:w="105" w:type="dxa"/>
              <w:bottom w:w="0" w:type="dxa"/>
              <w:right w:w="105" w:type="dxa"/>
            </w:tcMar>
            <w:vAlign w:val="center"/>
          </w:tcPr>
          <w:p w14:paraId="2472B3D2">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对照整体绩效目标评价。未设</w:t>
            </w:r>
          </w:p>
          <w:p w14:paraId="75A69B92">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置整体绩效目标，或整体绩效目标设置不完善的，根据部门年度履行职责主要工作和重点工作，标识对环境所产生的积极或消极影响</w:t>
            </w:r>
          </w:p>
        </w:tc>
        <w:tc>
          <w:tcPr>
            <w:tcW w:w="3123" w:type="dxa"/>
            <w:noWrap w:val="0"/>
            <w:tcMar>
              <w:top w:w="0" w:type="dxa"/>
              <w:left w:w="105" w:type="dxa"/>
              <w:bottom w:w="0" w:type="dxa"/>
              <w:right w:w="105" w:type="dxa"/>
            </w:tcMar>
            <w:vAlign w:val="center"/>
          </w:tcPr>
          <w:p w14:paraId="1BABB9F4">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对照绩效目标，按对环境所产生的实际影响程度计算得分</w:t>
            </w:r>
          </w:p>
        </w:tc>
        <w:tc>
          <w:tcPr>
            <w:tcW w:w="1614" w:type="dxa"/>
            <w:noWrap w:val="0"/>
            <w:tcMar>
              <w:top w:w="0" w:type="dxa"/>
              <w:left w:w="105" w:type="dxa"/>
              <w:bottom w:w="0" w:type="dxa"/>
              <w:right w:w="105" w:type="dxa"/>
            </w:tcMar>
            <w:vAlign w:val="center"/>
          </w:tcPr>
          <w:p w14:paraId="7FCE5688">
            <w:pPr>
              <w:jc w:val="center"/>
              <w:rPr>
                <w:rFonts w:hint="eastAsia" w:ascii="仿宋_GB2312" w:hAnsi="仿宋_GB2312" w:eastAsia="仿宋_GB2312" w:cs="仿宋_GB2312"/>
                <w:sz w:val="18"/>
                <w:szCs w:val="18"/>
              </w:rPr>
            </w:pPr>
          </w:p>
        </w:tc>
        <w:tc>
          <w:tcPr>
            <w:tcW w:w="745" w:type="dxa"/>
            <w:noWrap w:val="0"/>
            <w:tcMar>
              <w:top w:w="0" w:type="dxa"/>
              <w:left w:w="105" w:type="dxa"/>
              <w:bottom w:w="0" w:type="dxa"/>
              <w:right w:w="105" w:type="dxa"/>
            </w:tcMar>
            <w:vAlign w:val="center"/>
          </w:tcPr>
          <w:p w14:paraId="5A6940BF">
            <w:pPr>
              <w:jc w:val="center"/>
              <w:rPr>
                <w:rFonts w:hint="eastAsia" w:ascii="仿宋_GB2312" w:hAnsi="仿宋_GB2312" w:eastAsia="仿宋_GB2312" w:cs="仿宋_GB2312"/>
              </w:rPr>
            </w:pPr>
          </w:p>
        </w:tc>
      </w:tr>
      <w:tr w14:paraId="69A060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63" w:hRule="atLeast"/>
          <w:tblCellSpacing w:w="0" w:type="dxa"/>
          <w:jc w:val="center"/>
        </w:trPr>
        <w:tc>
          <w:tcPr>
            <w:tcW w:w="1079" w:type="dxa"/>
            <w:vMerge w:val="continue"/>
            <w:noWrap w:val="0"/>
            <w:vAlign w:val="center"/>
          </w:tcPr>
          <w:p w14:paraId="70F3267B">
            <w:pPr>
              <w:jc w:val="center"/>
              <w:rPr>
                <w:rFonts w:hint="eastAsia" w:ascii="仿宋_GB2312" w:hAnsi="仿宋_GB2312" w:eastAsia="仿宋_GB2312" w:cs="仿宋_GB2312"/>
                <w:sz w:val="18"/>
                <w:szCs w:val="18"/>
              </w:rPr>
            </w:pPr>
          </w:p>
        </w:tc>
        <w:tc>
          <w:tcPr>
            <w:tcW w:w="1179" w:type="dxa"/>
            <w:vMerge w:val="continue"/>
            <w:noWrap w:val="0"/>
            <w:vAlign w:val="center"/>
          </w:tcPr>
          <w:p w14:paraId="665F44A0">
            <w:pPr>
              <w:jc w:val="center"/>
              <w:rPr>
                <w:rFonts w:hint="eastAsia" w:ascii="仿宋_GB2312" w:hAnsi="仿宋_GB2312" w:eastAsia="仿宋_GB2312" w:cs="仿宋_GB2312"/>
                <w:sz w:val="18"/>
                <w:szCs w:val="18"/>
              </w:rPr>
            </w:pPr>
          </w:p>
        </w:tc>
        <w:tc>
          <w:tcPr>
            <w:tcW w:w="1226" w:type="dxa"/>
            <w:noWrap w:val="0"/>
            <w:vAlign w:val="center"/>
          </w:tcPr>
          <w:p w14:paraId="3A98DEE6">
            <w:pPr>
              <w:spacing w:line="300" w:lineRule="exact"/>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可持续性</w:t>
            </w:r>
          </w:p>
        </w:tc>
        <w:tc>
          <w:tcPr>
            <w:tcW w:w="701" w:type="dxa"/>
            <w:vMerge w:val="continue"/>
            <w:noWrap w:val="0"/>
            <w:vAlign w:val="center"/>
          </w:tcPr>
          <w:p w14:paraId="57BEA5B5">
            <w:pPr>
              <w:jc w:val="center"/>
              <w:rPr>
                <w:rFonts w:hint="eastAsia" w:ascii="仿宋_GB2312" w:hAnsi="仿宋_GB2312" w:eastAsia="仿宋_GB2312" w:cs="仿宋_GB2312"/>
                <w:sz w:val="18"/>
                <w:szCs w:val="18"/>
              </w:rPr>
            </w:pPr>
          </w:p>
        </w:tc>
        <w:tc>
          <w:tcPr>
            <w:tcW w:w="4750" w:type="dxa"/>
            <w:noWrap w:val="0"/>
            <w:tcMar>
              <w:top w:w="0" w:type="dxa"/>
              <w:left w:w="105" w:type="dxa"/>
              <w:bottom w:w="0" w:type="dxa"/>
              <w:right w:w="105" w:type="dxa"/>
            </w:tcMar>
            <w:vAlign w:val="center"/>
          </w:tcPr>
          <w:p w14:paraId="6C87B5D9">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对照整体绩效目标评价。未设置整体绩效目标，或整体绩效目标设置不完善的，根据部门年度履行职责主要工作和重点工作，标识可持续性</w:t>
            </w:r>
          </w:p>
        </w:tc>
        <w:tc>
          <w:tcPr>
            <w:tcW w:w="3123" w:type="dxa"/>
            <w:noWrap w:val="0"/>
            <w:tcMar>
              <w:top w:w="0" w:type="dxa"/>
              <w:left w:w="105" w:type="dxa"/>
              <w:bottom w:w="0" w:type="dxa"/>
              <w:right w:w="105" w:type="dxa"/>
            </w:tcMar>
            <w:vAlign w:val="center"/>
          </w:tcPr>
          <w:p w14:paraId="5E001D19">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对照绩效目标，按实际情况计算得分</w:t>
            </w:r>
          </w:p>
        </w:tc>
        <w:tc>
          <w:tcPr>
            <w:tcW w:w="1614" w:type="dxa"/>
            <w:noWrap w:val="0"/>
            <w:tcMar>
              <w:top w:w="0" w:type="dxa"/>
              <w:left w:w="105" w:type="dxa"/>
              <w:bottom w:w="0" w:type="dxa"/>
              <w:right w:w="105" w:type="dxa"/>
            </w:tcMar>
            <w:vAlign w:val="center"/>
          </w:tcPr>
          <w:p w14:paraId="45CCA61A">
            <w:pPr>
              <w:jc w:val="center"/>
              <w:rPr>
                <w:rFonts w:hint="eastAsia" w:ascii="仿宋_GB2312" w:hAnsi="仿宋_GB2312" w:eastAsia="仿宋_GB2312" w:cs="仿宋_GB2312"/>
                <w:sz w:val="18"/>
                <w:szCs w:val="18"/>
              </w:rPr>
            </w:pPr>
          </w:p>
        </w:tc>
        <w:tc>
          <w:tcPr>
            <w:tcW w:w="745" w:type="dxa"/>
            <w:noWrap w:val="0"/>
            <w:tcMar>
              <w:top w:w="0" w:type="dxa"/>
              <w:left w:w="105" w:type="dxa"/>
              <w:bottom w:w="0" w:type="dxa"/>
              <w:right w:w="105" w:type="dxa"/>
            </w:tcMar>
            <w:vAlign w:val="center"/>
          </w:tcPr>
          <w:p w14:paraId="2DFB05C1">
            <w:pPr>
              <w:jc w:val="center"/>
              <w:rPr>
                <w:rFonts w:hint="eastAsia" w:ascii="仿宋_GB2312" w:hAnsi="仿宋_GB2312" w:eastAsia="仿宋_GB2312" w:cs="仿宋_GB2312"/>
              </w:rPr>
            </w:pPr>
          </w:p>
        </w:tc>
      </w:tr>
      <w:tr w14:paraId="075D7D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51" w:hRule="atLeast"/>
          <w:tblCellSpacing w:w="0" w:type="dxa"/>
          <w:jc w:val="center"/>
        </w:trPr>
        <w:tc>
          <w:tcPr>
            <w:tcW w:w="1079" w:type="dxa"/>
            <w:vMerge w:val="continue"/>
            <w:noWrap w:val="0"/>
            <w:vAlign w:val="center"/>
          </w:tcPr>
          <w:p w14:paraId="74AA9ADD">
            <w:pPr>
              <w:jc w:val="center"/>
              <w:rPr>
                <w:rFonts w:hint="eastAsia" w:ascii="仿宋_GB2312" w:hAnsi="仿宋_GB2312" w:eastAsia="仿宋_GB2312" w:cs="仿宋_GB2312"/>
                <w:sz w:val="18"/>
                <w:szCs w:val="18"/>
              </w:rPr>
            </w:pPr>
          </w:p>
        </w:tc>
        <w:tc>
          <w:tcPr>
            <w:tcW w:w="1179" w:type="dxa"/>
            <w:vMerge w:val="continue"/>
            <w:noWrap w:val="0"/>
            <w:vAlign w:val="center"/>
          </w:tcPr>
          <w:p w14:paraId="7072E74A">
            <w:pPr>
              <w:jc w:val="center"/>
              <w:rPr>
                <w:rFonts w:hint="eastAsia" w:ascii="仿宋_GB2312" w:hAnsi="仿宋_GB2312" w:eastAsia="仿宋_GB2312" w:cs="仿宋_GB2312"/>
                <w:sz w:val="18"/>
                <w:szCs w:val="18"/>
              </w:rPr>
            </w:pPr>
          </w:p>
        </w:tc>
        <w:tc>
          <w:tcPr>
            <w:tcW w:w="1226" w:type="dxa"/>
            <w:noWrap w:val="0"/>
            <w:tcMar>
              <w:top w:w="0" w:type="dxa"/>
              <w:left w:w="105" w:type="dxa"/>
              <w:bottom w:w="0" w:type="dxa"/>
              <w:right w:w="105" w:type="dxa"/>
            </w:tcMar>
            <w:vAlign w:val="center"/>
          </w:tcPr>
          <w:p w14:paraId="1CFE2473">
            <w:pPr>
              <w:spacing w:line="260" w:lineRule="exact"/>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社会公众与服务对象满意度</w:t>
            </w:r>
          </w:p>
        </w:tc>
        <w:tc>
          <w:tcPr>
            <w:tcW w:w="701" w:type="dxa"/>
            <w:noWrap w:val="0"/>
            <w:tcMar>
              <w:top w:w="0" w:type="dxa"/>
              <w:left w:w="105" w:type="dxa"/>
              <w:bottom w:w="0" w:type="dxa"/>
              <w:right w:w="105" w:type="dxa"/>
            </w:tcMar>
            <w:vAlign w:val="center"/>
          </w:tcPr>
          <w:p w14:paraId="5FDFBD1A">
            <w:pPr>
              <w:spacing w:before="100" w:beforeAutospacing="1" w:after="100" w:afterAutospacing="1"/>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10</w:t>
            </w:r>
          </w:p>
        </w:tc>
        <w:tc>
          <w:tcPr>
            <w:tcW w:w="4750" w:type="dxa"/>
            <w:noWrap w:val="0"/>
            <w:tcMar>
              <w:top w:w="0" w:type="dxa"/>
              <w:left w:w="105" w:type="dxa"/>
              <w:bottom w:w="0" w:type="dxa"/>
              <w:right w:w="105" w:type="dxa"/>
            </w:tcMar>
            <w:vAlign w:val="center"/>
          </w:tcPr>
          <w:p w14:paraId="2EBFE058">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社会公众、服务对象对部门主要工作实施的满意程度</w:t>
            </w:r>
          </w:p>
        </w:tc>
        <w:tc>
          <w:tcPr>
            <w:tcW w:w="3123" w:type="dxa"/>
            <w:noWrap w:val="0"/>
            <w:tcMar>
              <w:top w:w="0" w:type="dxa"/>
              <w:left w:w="105" w:type="dxa"/>
              <w:bottom w:w="0" w:type="dxa"/>
              <w:right w:w="105" w:type="dxa"/>
            </w:tcMar>
            <w:vAlign w:val="center"/>
          </w:tcPr>
          <w:p w14:paraId="7B2B27F5">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90%≤满意度≤100%记10分，</w:t>
            </w:r>
          </w:p>
          <w:p w14:paraId="38326E35">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80%≤满意度&lt;90%记8分，</w:t>
            </w:r>
          </w:p>
          <w:p w14:paraId="09258C5F">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70%≤满意度&lt;80%  记6分，</w:t>
            </w:r>
          </w:p>
          <w:p w14:paraId="1F6A474C">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60%≤满意度&lt;70%记4分，</w:t>
            </w:r>
          </w:p>
          <w:p w14:paraId="1EAC2C72">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满意度&lt;60%记0分。</w:t>
            </w:r>
          </w:p>
        </w:tc>
        <w:tc>
          <w:tcPr>
            <w:tcW w:w="1614" w:type="dxa"/>
            <w:noWrap w:val="0"/>
            <w:tcMar>
              <w:top w:w="0" w:type="dxa"/>
              <w:left w:w="105" w:type="dxa"/>
              <w:bottom w:w="0" w:type="dxa"/>
              <w:right w:w="105" w:type="dxa"/>
            </w:tcMar>
            <w:vAlign w:val="center"/>
          </w:tcPr>
          <w:p w14:paraId="50B112DB">
            <w:pPr>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95%</w:t>
            </w:r>
          </w:p>
        </w:tc>
        <w:tc>
          <w:tcPr>
            <w:tcW w:w="745" w:type="dxa"/>
            <w:noWrap w:val="0"/>
            <w:tcMar>
              <w:top w:w="0" w:type="dxa"/>
              <w:left w:w="105" w:type="dxa"/>
              <w:bottom w:w="0" w:type="dxa"/>
              <w:right w:w="105" w:type="dxa"/>
            </w:tcMar>
            <w:vAlign w:val="center"/>
          </w:tcPr>
          <w:p w14:paraId="695D3FAC">
            <w:pPr>
              <w:jc w:val="center"/>
              <w:rPr>
                <w:rFonts w:hint="eastAsia" w:ascii="仿宋_GB2312" w:hAnsi="仿宋_GB2312" w:eastAsia="仿宋_GB2312" w:cs="仿宋_GB2312"/>
              </w:rPr>
            </w:pPr>
            <w:r>
              <w:rPr>
                <w:rFonts w:hint="eastAsia" w:ascii="仿宋_GB2312" w:hAnsi="仿宋_GB2312" w:eastAsia="仿宋_GB2312" w:cs="仿宋_GB2312"/>
              </w:rPr>
              <w:t>10</w:t>
            </w:r>
          </w:p>
        </w:tc>
      </w:tr>
      <w:tr w14:paraId="0A5F29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86" w:hRule="atLeast"/>
          <w:tblCellSpacing w:w="0" w:type="dxa"/>
          <w:jc w:val="center"/>
        </w:trPr>
        <w:tc>
          <w:tcPr>
            <w:tcW w:w="1079" w:type="dxa"/>
            <w:noWrap w:val="0"/>
            <w:tcMar>
              <w:top w:w="0" w:type="dxa"/>
              <w:left w:w="105" w:type="dxa"/>
              <w:bottom w:w="0" w:type="dxa"/>
              <w:right w:w="105" w:type="dxa"/>
            </w:tcMar>
            <w:vAlign w:val="center"/>
          </w:tcPr>
          <w:p w14:paraId="36264677">
            <w:pPr>
              <w:spacing w:before="100" w:beforeAutospacing="1" w:after="100" w:afterAutospacing="1"/>
              <w:jc w:val="center"/>
              <w:rPr>
                <w:rFonts w:hint="eastAsia" w:ascii="仿宋_GB2312" w:hAnsi="仿宋_GB2312" w:eastAsia="仿宋_GB2312" w:cs="仿宋_GB2312"/>
                <w:sz w:val="22"/>
                <w:szCs w:val="22"/>
              </w:rPr>
            </w:pPr>
            <w:r>
              <w:rPr>
                <w:rFonts w:hint="eastAsia" w:ascii="仿宋_GB2312" w:hAnsi="仿宋_GB2312" w:eastAsia="仿宋_GB2312" w:cs="仿宋_GB2312"/>
                <w:sz w:val="22"/>
                <w:szCs w:val="22"/>
              </w:rPr>
              <w:t>合计</w:t>
            </w:r>
          </w:p>
        </w:tc>
        <w:tc>
          <w:tcPr>
            <w:tcW w:w="1179" w:type="dxa"/>
            <w:noWrap w:val="0"/>
            <w:tcMar>
              <w:top w:w="0" w:type="dxa"/>
              <w:left w:w="105" w:type="dxa"/>
              <w:bottom w:w="0" w:type="dxa"/>
              <w:right w:w="105" w:type="dxa"/>
            </w:tcMar>
            <w:vAlign w:val="center"/>
          </w:tcPr>
          <w:p w14:paraId="4569FEEB">
            <w:pPr>
              <w:spacing w:before="100" w:beforeAutospacing="1" w:after="100" w:afterAutospacing="1"/>
              <w:rPr>
                <w:rFonts w:hint="eastAsia" w:ascii="仿宋_GB2312" w:hAnsi="仿宋_GB2312" w:eastAsia="仿宋_GB2312" w:cs="仿宋_GB2312"/>
                <w:sz w:val="22"/>
                <w:szCs w:val="22"/>
              </w:rPr>
            </w:pPr>
            <w:r>
              <w:rPr>
                <w:rFonts w:hint="eastAsia" w:ascii="仿宋_GB2312" w:hAnsi="仿宋_GB2312" w:eastAsia="仿宋_GB2312" w:cs="仿宋_GB2312"/>
                <w:sz w:val="22"/>
                <w:szCs w:val="22"/>
              </w:rPr>
              <w:t>—</w:t>
            </w:r>
          </w:p>
        </w:tc>
        <w:tc>
          <w:tcPr>
            <w:tcW w:w="1226" w:type="dxa"/>
            <w:noWrap w:val="0"/>
            <w:tcMar>
              <w:top w:w="0" w:type="dxa"/>
              <w:left w:w="105" w:type="dxa"/>
              <w:bottom w:w="0" w:type="dxa"/>
              <w:right w:w="105" w:type="dxa"/>
            </w:tcMar>
            <w:vAlign w:val="center"/>
          </w:tcPr>
          <w:p w14:paraId="7E31385A">
            <w:pPr>
              <w:spacing w:before="100" w:beforeAutospacing="1" w:after="100" w:afterAutospacing="1"/>
              <w:rPr>
                <w:rFonts w:hint="eastAsia" w:ascii="仿宋_GB2312" w:hAnsi="仿宋_GB2312" w:eastAsia="仿宋_GB2312" w:cs="仿宋_GB2312"/>
                <w:sz w:val="22"/>
                <w:szCs w:val="22"/>
              </w:rPr>
            </w:pPr>
            <w:r>
              <w:rPr>
                <w:rFonts w:hint="eastAsia" w:ascii="仿宋_GB2312" w:hAnsi="仿宋_GB2312" w:eastAsia="仿宋_GB2312" w:cs="仿宋_GB2312"/>
                <w:sz w:val="22"/>
                <w:szCs w:val="22"/>
              </w:rPr>
              <w:t>——</w:t>
            </w:r>
          </w:p>
        </w:tc>
        <w:tc>
          <w:tcPr>
            <w:tcW w:w="701" w:type="dxa"/>
            <w:noWrap w:val="0"/>
            <w:tcMar>
              <w:top w:w="0" w:type="dxa"/>
              <w:left w:w="105" w:type="dxa"/>
              <w:bottom w:w="0" w:type="dxa"/>
              <w:right w:w="105" w:type="dxa"/>
            </w:tcMar>
            <w:vAlign w:val="center"/>
          </w:tcPr>
          <w:p w14:paraId="2F454603">
            <w:pPr>
              <w:spacing w:before="100" w:beforeAutospacing="1" w:after="100" w:afterAutospacing="1"/>
              <w:jc w:val="center"/>
              <w:rPr>
                <w:rFonts w:hint="eastAsia" w:ascii="仿宋_GB2312" w:hAnsi="仿宋_GB2312" w:eastAsia="仿宋_GB2312" w:cs="仿宋_GB2312"/>
                <w:spacing w:val="-20"/>
                <w:sz w:val="22"/>
                <w:szCs w:val="22"/>
              </w:rPr>
            </w:pPr>
            <w:r>
              <w:rPr>
                <w:rFonts w:hint="eastAsia" w:ascii="仿宋_GB2312" w:hAnsi="仿宋_GB2312" w:eastAsia="仿宋_GB2312" w:cs="仿宋_GB2312"/>
                <w:spacing w:val="-20"/>
                <w:sz w:val="22"/>
                <w:szCs w:val="22"/>
              </w:rPr>
              <w:t>100</w:t>
            </w:r>
          </w:p>
        </w:tc>
        <w:tc>
          <w:tcPr>
            <w:tcW w:w="4750" w:type="dxa"/>
            <w:noWrap w:val="0"/>
            <w:tcMar>
              <w:top w:w="0" w:type="dxa"/>
              <w:left w:w="105" w:type="dxa"/>
              <w:bottom w:w="0" w:type="dxa"/>
              <w:right w:w="105" w:type="dxa"/>
            </w:tcMar>
            <w:vAlign w:val="center"/>
          </w:tcPr>
          <w:p w14:paraId="2BAED0A4">
            <w:pPr>
              <w:spacing w:line="300" w:lineRule="exact"/>
              <w:jc w:val="center"/>
              <w:rPr>
                <w:rFonts w:hint="eastAsia" w:ascii="仿宋_GB2312" w:hAnsi="仿宋_GB2312" w:eastAsia="仿宋_GB2312" w:cs="仿宋_GB2312"/>
              </w:rPr>
            </w:pPr>
            <w:r>
              <w:rPr>
                <w:rFonts w:hint="eastAsia" w:ascii="仿宋_GB2312" w:hAnsi="仿宋_GB2312" w:eastAsia="仿宋_GB2312" w:cs="仿宋_GB2312"/>
              </w:rPr>
              <w:t>——</w:t>
            </w:r>
          </w:p>
        </w:tc>
        <w:tc>
          <w:tcPr>
            <w:tcW w:w="3123" w:type="dxa"/>
            <w:noWrap w:val="0"/>
            <w:tcMar>
              <w:top w:w="0" w:type="dxa"/>
              <w:left w:w="105" w:type="dxa"/>
              <w:bottom w:w="0" w:type="dxa"/>
              <w:right w:w="105" w:type="dxa"/>
            </w:tcMar>
            <w:vAlign w:val="center"/>
          </w:tcPr>
          <w:p w14:paraId="446352B1">
            <w:pPr>
              <w:spacing w:line="300" w:lineRule="exact"/>
              <w:jc w:val="center"/>
              <w:rPr>
                <w:rFonts w:hint="eastAsia" w:ascii="仿宋_GB2312" w:hAnsi="仿宋_GB2312" w:eastAsia="仿宋_GB2312" w:cs="仿宋_GB2312"/>
              </w:rPr>
            </w:pPr>
            <w:r>
              <w:rPr>
                <w:rFonts w:hint="eastAsia" w:ascii="仿宋_GB2312" w:hAnsi="仿宋_GB2312" w:eastAsia="仿宋_GB2312" w:cs="仿宋_GB2312"/>
              </w:rPr>
              <w:t>——</w:t>
            </w:r>
          </w:p>
        </w:tc>
        <w:tc>
          <w:tcPr>
            <w:tcW w:w="1614" w:type="dxa"/>
            <w:noWrap w:val="0"/>
            <w:tcMar>
              <w:top w:w="0" w:type="dxa"/>
              <w:left w:w="105" w:type="dxa"/>
              <w:bottom w:w="0" w:type="dxa"/>
              <w:right w:w="105" w:type="dxa"/>
            </w:tcMar>
            <w:vAlign w:val="center"/>
          </w:tcPr>
          <w:p w14:paraId="42D7D46B">
            <w:pPr>
              <w:spacing w:before="100" w:beforeAutospacing="1" w:after="100" w:afterAutospacing="1"/>
              <w:jc w:val="center"/>
              <w:rPr>
                <w:rFonts w:hint="eastAsia" w:ascii="仿宋_GB2312" w:hAnsi="仿宋_GB2312" w:eastAsia="仿宋_GB2312" w:cs="仿宋_GB2312"/>
              </w:rPr>
            </w:pPr>
            <w:r>
              <w:rPr>
                <w:rFonts w:hint="eastAsia" w:ascii="仿宋_GB2312" w:hAnsi="仿宋_GB2312" w:eastAsia="仿宋_GB2312" w:cs="仿宋_GB2312"/>
              </w:rPr>
              <w:t>——</w:t>
            </w:r>
          </w:p>
        </w:tc>
        <w:tc>
          <w:tcPr>
            <w:tcW w:w="745" w:type="dxa"/>
            <w:noWrap w:val="0"/>
            <w:tcMar>
              <w:top w:w="0" w:type="dxa"/>
              <w:left w:w="105" w:type="dxa"/>
              <w:bottom w:w="0" w:type="dxa"/>
              <w:right w:w="105" w:type="dxa"/>
            </w:tcMar>
            <w:vAlign w:val="center"/>
          </w:tcPr>
          <w:p w14:paraId="0CDDC578">
            <w:pPr>
              <w:rPr>
                <w:rFonts w:hint="eastAsia" w:ascii="仿宋_GB2312" w:hAnsi="仿宋_GB2312" w:eastAsia="仿宋_GB2312" w:cs="仿宋_GB2312"/>
              </w:rPr>
            </w:pPr>
            <w:r>
              <w:rPr>
                <w:rFonts w:hint="eastAsia" w:ascii="仿宋_GB2312" w:hAnsi="仿宋_GB2312" w:eastAsia="仿宋_GB2312" w:cs="仿宋_GB2312"/>
              </w:rPr>
              <w:t>91</w:t>
            </w:r>
          </w:p>
        </w:tc>
      </w:tr>
      <w:tr w14:paraId="090A27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0" w:hRule="atLeast"/>
          <w:tblCellSpacing w:w="0" w:type="dxa"/>
          <w:jc w:val="center"/>
        </w:trPr>
        <w:tc>
          <w:tcPr>
            <w:tcW w:w="1079" w:type="dxa"/>
            <w:noWrap w:val="0"/>
            <w:tcMar>
              <w:top w:w="0" w:type="dxa"/>
              <w:left w:w="105" w:type="dxa"/>
              <w:bottom w:w="0" w:type="dxa"/>
              <w:right w:w="105" w:type="dxa"/>
            </w:tcMar>
            <w:vAlign w:val="center"/>
          </w:tcPr>
          <w:p w14:paraId="53929B38">
            <w:pPr>
              <w:spacing w:before="100" w:beforeAutospacing="1" w:after="100" w:afterAutospacing="1"/>
              <w:jc w:val="center"/>
              <w:rPr>
                <w:rFonts w:hint="eastAsia" w:ascii="仿宋_GB2312" w:hAnsi="仿宋_GB2312" w:eastAsia="仿宋_GB2312" w:cs="仿宋_GB2312"/>
                <w:sz w:val="21"/>
                <w:szCs w:val="16"/>
              </w:rPr>
            </w:pPr>
            <w:r>
              <w:rPr>
                <w:rFonts w:hint="eastAsia" w:ascii="仿宋_GB2312" w:hAnsi="仿宋_GB2312" w:eastAsia="仿宋_GB2312" w:cs="仿宋_GB2312"/>
                <w:sz w:val="21"/>
                <w:szCs w:val="16"/>
              </w:rPr>
              <w:t>评价</w:t>
            </w:r>
          </w:p>
          <w:p w14:paraId="072564A2">
            <w:pPr>
              <w:spacing w:before="100" w:beforeAutospacing="1" w:after="100" w:afterAutospacing="1"/>
              <w:jc w:val="center"/>
              <w:rPr>
                <w:rFonts w:hint="eastAsia" w:ascii="仿宋_GB2312" w:hAnsi="仿宋_GB2312" w:eastAsia="仿宋_GB2312" w:cs="仿宋_GB2312"/>
                <w:sz w:val="21"/>
                <w:szCs w:val="16"/>
              </w:rPr>
            </w:pPr>
            <w:r>
              <w:rPr>
                <w:rFonts w:hint="eastAsia" w:ascii="仿宋_GB2312" w:hAnsi="仿宋_GB2312" w:eastAsia="仿宋_GB2312" w:cs="仿宋_GB2312"/>
                <w:sz w:val="21"/>
                <w:szCs w:val="16"/>
              </w:rPr>
              <w:t>等级</w:t>
            </w:r>
          </w:p>
        </w:tc>
        <w:tc>
          <w:tcPr>
            <w:tcW w:w="13338" w:type="dxa"/>
            <w:gridSpan w:val="7"/>
            <w:noWrap w:val="0"/>
            <w:tcMar>
              <w:top w:w="0" w:type="dxa"/>
              <w:left w:w="105" w:type="dxa"/>
              <w:bottom w:w="0" w:type="dxa"/>
              <w:right w:w="105" w:type="dxa"/>
            </w:tcMar>
            <w:vAlign w:val="center"/>
          </w:tcPr>
          <w:p w14:paraId="11BE2D91">
            <w:pPr>
              <w:spacing w:line="400" w:lineRule="exact"/>
              <w:ind w:firstLine="210" w:firstLineChars="100"/>
              <w:rPr>
                <w:rFonts w:hint="eastAsia" w:ascii="仿宋_GB2312" w:hAnsi="仿宋_GB2312" w:eastAsia="仿宋_GB2312" w:cs="仿宋_GB2312"/>
                <w:sz w:val="21"/>
                <w:szCs w:val="16"/>
              </w:rPr>
            </w:pPr>
            <w:r>
              <w:rPr>
                <w:rFonts w:hint="eastAsia" w:ascii="仿宋_GB2312" w:hAnsi="仿宋_GB2312" w:eastAsia="仿宋_GB2312" w:cs="仿宋_GB2312"/>
                <w:sz w:val="21"/>
                <w:szCs w:val="16"/>
              </w:rPr>
              <w:t>□优秀  90分≤得分≤100分；   □良好  80分≤得分＜90分；   □较差  60分≤得分＜80分；   □差  得分＜60分</w:t>
            </w:r>
          </w:p>
        </w:tc>
      </w:tr>
    </w:tbl>
    <w:p w14:paraId="1AD08CC7">
      <w:pPr>
        <w:spacing w:line="320" w:lineRule="exact"/>
        <w:ind w:firstLine="6490" w:firstLineChars="2950"/>
        <w:jc w:val="center"/>
        <w:rPr>
          <w:rFonts w:hint="eastAsia" w:ascii="仿宋_GB2312" w:hAnsi="仿宋_GB2312" w:eastAsia="仿宋_GB2312" w:cs="仿宋_GB2312"/>
          <w:sz w:val="22"/>
          <w:szCs w:val="24"/>
        </w:rPr>
      </w:pPr>
    </w:p>
    <w:p w14:paraId="030F7A6D">
      <w:pPr>
        <w:spacing w:line="320" w:lineRule="exact"/>
        <w:ind w:firstLine="6490" w:firstLineChars="2950"/>
        <w:jc w:val="center"/>
        <w:rPr>
          <w:rFonts w:hint="eastAsia" w:ascii="仿宋_GB2312" w:hAnsi="仿宋_GB2312" w:eastAsia="仿宋_GB2312" w:cs="仿宋_GB2312"/>
          <w:sz w:val="22"/>
          <w:szCs w:val="24"/>
        </w:rPr>
      </w:pPr>
      <w:r>
        <w:rPr>
          <w:rFonts w:hint="eastAsia" w:ascii="仿宋_GB2312" w:hAnsi="仿宋_GB2312" w:eastAsia="仿宋_GB2312" w:cs="仿宋_GB2312"/>
          <w:sz w:val="22"/>
          <w:szCs w:val="24"/>
        </w:rPr>
        <w:t xml:space="preserve">    单位负责人（签字）：</w:t>
      </w:r>
    </w:p>
    <w:p w14:paraId="2A921B78">
      <w:pPr>
        <w:spacing w:line="320" w:lineRule="exact"/>
        <w:ind w:firstLine="6270" w:firstLineChars="2850"/>
        <w:jc w:val="center"/>
        <w:rPr>
          <w:rFonts w:hint="eastAsia" w:ascii="楷体" w:hAnsi="楷体" w:eastAsia="楷体" w:cs="楷体"/>
          <w:sz w:val="22"/>
          <w:szCs w:val="24"/>
        </w:rPr>
        <w:sectPr>
          <w:pgSz w:w="16838" w:h="11906" w:orient="landscape"/>
          <w:pgMar w:top="1800" w:right="1440" w:bottom="1800" w:left="1440" w:header="851" w:footer="992" w:gutter="0"/>
          <w:pgNumType w:fmt="numberInDash"/>
          <w:cols w:space="720" w:num="1"/>
          <w:docGrid w:type="lines" w:linePitch="312" w:charSpace="0"/>
        </w:sectPr>
      </w:pPr>
      <w:r>
        <w:rPr>
          <w:rFonts w:hint="eastAsia" w:ascii="仿宋_GB2312" w:hAnsi="仿宋_GB2312" w:eastAsia="仿宋_GB2312" w:cs="仿宋_GB2312"/>
          <w:sz w:val="22"/>
          <w:szCs w:val="24"/>
        </w:rPr>
        <w:t xml:space="preserve">    填表日期：  年  月  日</w:t>
      </w:r>
    </w:p>
    <w:p w14:paraId="2253B2B5">
      <w:pPr>
        <w:ind w:left="0" w:leftChars="0" w:firstLine="0" w:firstLineChars="0"/>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A3C00DB"/>
    <w:rsid w:val="4C8F33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5" w:lineRule="atLeast"/>
      <w:ind w:left="1"/>
      <w:jc w:val="both"/>
      <w:textAlignment w:val="bottom"/>
    </w:pPr>
    <w:rPr>
      <w:rFonts w:ascii="Times New Roman" w:hAnsi="Times New Roman" w:eastAsia="宋体" w:cs="Times New Roman"/>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spacing w:line="240" w:lineRule="atLeast"/>
      <w:jc w:val="left"/>
    </w:pPr>
    <w:rPr>
      <w:sz w:val="18"/>
      <w:szCs w:val="18"/>
    </w:rPr>
  </w:style>
  <w:style w:type="character" w:styleId="5">
    <w:name w:val="page number"/>
    <w:basedOn w:val="4"/>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2025-04-03T07:26:55Z</dcterms:created>
  <dc:creator>Administrator</dc:creator>
  <cp:lastModifiedBy>答案</cp:lastModifiedBy>
  <dcterms:modified xsi:type="dcterms:W3CDTF">2025-04-03T07:27:27Z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KSOTemplateDocerSaveRecord">
    <vt:lpwstr>eyJoZGlkIjoiM2IxZDM0YTU2YjhiOGJiNThmZTU5YTc1MmEzYjUzYmIiLCJ1c2VySWQiOiIzNTAwNjk0OTcifQ==</vt:lpwstr>
  </property>
  <property fmtid="{D5CDD505-2E9C-101B-9397-08002B2CF9AE}" pid="4" name="ICV">
    <vt:lpwstr>75D94E4387254CBEB8E7E8287022A5A5_12</vt:lpwstr>
  </property>
</Properties>
</file>