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72FC8">
      <w:pPr>
        <w:pStyle w:val="8"/>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eastAsia="zh-CN"/>
        </w:rPr>
        <w:t>新晃县财政局</w:t>
      </w:r>
      <w:r>
        <w:rPr>
          <w:rFonts w:hint="eastAsia" w:ascii="黑体" w:hAnsi="黑体" w:eastAsia="黑体" w:cs="黑体"/>
          <w:b w:val="0"/>
          <w:bCs/>
          <w:sz w:val="32"/>
          <w:szCs w:val="32"/>
        </w:rPr>
        <w:t>关于</w:t>
      </w:r>
      <w:r>
        <w:rPr>
          <w:rFonts w:hint="eastAsia" w:ascii="Times New Roman" w:hAnsi="Times New Roman" w:eastAsia="仿宋_GB2312"/>
          <w:sz w:val="32"/>
          <w:szCs w:val="32"/>
          <w:lang w:val="en-US" w:eastAsia="zh-CN"/>
        </w:rPr>
        <w:t>2024</w:t>
      </w:r>
      <w:r>
        <w:rPr>
          <w:rFonts w:hint="eastAsia" w:ascii="黑体" w:hAnsi="黑体" w:eastAsia="黑体" w:cs="黑体"/>
          <w:b w:val="0"/>
          <w:bCs/>
          <w:sz w:val="32"/>
          <w:szCs w:val="32"/>
        </w:rPr>
        <w:t>年度预算绩效情况的说明</w:t>
      </w:r>
    </w:p>
    <w:p w14:paraId="1C6F8B54">
      <w:pPr>
        <w:numPr>
          <w:ilvl w:val="0"/>
          <w:numId w:val="1"/>
        </w:numPr>
        <w:overflowPunct w:val="0"/>
        <w:spacing w:line="600" w:lineRule="exact"/>
        <w:ind w:firstLine="643"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绩效评价工作开展情况。</w:t>
      </w:r>
    </w:p>
    <w:p w14:paraId="2746D09B">
      <w:pPr>
        <w:numPr>
          <w:numId w:val="0"/>
        </w:numPr>
        <w:overflowPunct w:val="0"/>
        <w:spacing w:line="600" w:lineRule="exact"/>
        <w:ind w:firstLine="643" w:firstLineChars="200"/>
        <w:rPr>
          <w:rFonts w:ascii="Times New Roman" w:hAnsi="Times New Roman" w:eastAsia="仿宋_GB2312" w:cs="Times New Roman"/>
          <w:kern w:val="0"/>
          <w:sz w:val="32"/>
          <w:szCs w:val="32"/>
        </w:rPr>
      </w:pP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5</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395</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5</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395</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100</w:t>
      </w:r>
      <w:r>
        <w:rPr>
          <w:rFonts w:ascii="Times New Roman" w:hAnsi="Times New Roman" w:eastAsia="仿宋_GB2312" w:cs="Times New Roman"/>
          <w:kern w:val="0"/>
          <w:sz w:val="32"/>
          <w:szCs w:val="32"/>
        </w:rPr>
        <w:t>%。</w:t>
      </w:r>
    </w:p>
    <w:p w14:paraId="0FCACC1B">
      <w:pPr>
        <w:numPr>
          <w:ilvl w:val="0"/>
          <w:numId w:val="1"/>
        </w:numPr>
        <w:overflowPunct w:val="0"/>
        <w:spacing w:line="600" w:lineRule="exact"/>
        <w:ind w:left="0" w:leftChars="0" w:firstLine="643"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绩效评价结果。</w:t>
      </w:r>
    </w:p>
    <w:p w14:paraId="482EC567">
      <w:pPr>
        <w:numPr>
          <w:ilvl w:val="0"/>
          <w:numId w:val="0"/>
        </w:numPr>
        <w:overflowPunct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2024年度本部门（单位）整体支出全年预算数</w:t>
      </w:r>
      <w:r>
        <w:rPr>
          <w:rFonts w:hint="eastAsia" w:ascii="Times New Roman" w:hAnsi="Times New Roman" w:eastAsia="仿宋_GB2312" w:cs="Times New Roman"/>
          <w:kern w:val="0"/>
          <w:sz w:val="32"/>
          <w:szCs w:val="32"/>
          <w:lang w:val="en-US" w:eastAsia="zh-CN"/>
        </w:rPr>
        <w:t>395</w:t>
      </w:r>
      <w:r>
        <w:rPr>
          <w:rFonts w:ascii="Times New Roman" w:hAnsi="Times New Roman" w:eastAsia="仿宋_GB2312" w:cs="Times New Roman"/>
          <w:kern w:val="0"/>
          <w:sz w:val="32"/>
          <w:szCs w:val="32"/>
        </w:rPr>
        <w:t>万元，执行数</w:t>
      </w:r>
      <w:r>
        <w:rPr>
          <w:rFonts w:hint="eastAsia" w:ascii="Times New Roman" w:hAnsi="Times New Roman" w:eastAsia="仿宋_GB2312" w:cs="Times New Roman"/>
          <w:kern w:val="0"/>
          <w:sz w:val="32"/>
          <w:szCs w:val="32"/>
          <w:lang w:val="en-US" w:eastAsia="zh-CN"/>
        </w:rPr>
        <w:t>206.82</w:t>
      </w:r>
      <w:r>
        <w:rPr>
          <w:rFonts w:ascii="Times New Roman" w:hAnsi="Times New Roman" w:eastAsia="仿宋_GB2312" w:cs="Times New Roman"/>
          <w:kern w:val="0"/>
          <w:sz w:val="32"/>
          <w:szCs w:val="32"/>
        </w:rPr>
        <w:t>万元，完成预算的</w:t>
      </w:r>
      <w:r>
        <w:rPr>
          <w:rFonts w:hint="eastAsia" w:ascii="Times New Roman" w:hAnsi="Times New Roman" w:eastAsia="仿宋_GB2312" w:cs="Times New Roman"/>
          <w:kern w:val="0"/>
          <w:sz w:val="32"/>
          <w:szCs w:val="32"/>
          <w:lang w:val="en-US" w:eastAsia="zh-CN"/>
        </w:rPr>
        <w:t>52.35</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kern w:val="0"/>
          <w:sz w:val="32"/>
          <w:szCs w:val="32"/>
          <w:lang w:val="en-US" w:eastAsia="zh-CN"/>
        </w:rPr>
        <w:t>93</w:t>
      </w:r>
      <w:r>
        <w:rPr>
          <w:rFonts w:ascii="Times New Roman" w:hAnsi="Times New Roman" w:eastAsia="仿宋_GB2312" w:cs="Times New Roman"/>
          <w:kern w:val="0"/>
          <w:sz w:val="32"/>
          <w:szCs w:val="32"/>
        </w:rPr>
        <w:t>分</w:t>
      </w:r>
      <w:r>
        <w:rPr>
          <w:rFonts w:ascii="Times New Roman" w:hAnsi="Times New Roman" w:eastAsia="仿宋_GB2312" w:cs="Times New Roman"/>
          <w:kern w:val="0"/>
          <w:sz w:val="32"/>
          <w:szCs w:val="32"/>
        </w:rPr>
        <w:t>，评价等级为“</w:t>
      </w:r>
      <w:r>
        <w:rPr>
          <w:rFonts w:hint="eastAsia" w:ascii="Times New Roman" w:hAnsi="Times New Roman" w:eastAsia="仿宋_GB2312" w:cs="Times New Roman"/>
          <w:kern w:val="0"/>
          <w:sz w:val="32"/>
          <w:szCs w:val="32"/>
          <w:lang w:eastAsia="zh-CN"/>
        </w:rPr>
        <w:t>优秀</w:t>
      </w:r>
      <w:r>
        <w:rPr>
          <w:rFonts w:ascii="Times New Roman" w:hAnsi="Times New Roman" w:eastAsia="仿宋_GB2312" w:cs="Times New Roman"/>
          <w:kern w:val="0"/>
          <w:sz w:val="32"/>
          <w:szCs w:val="32"/>
        </w:rPr>
        <w:t>”。绩效目标完成情况：一是</w:t>
      </w:r>
      <w:r>
        <w:rPr>
          <w:rFonts w:hint="eastAsia" w:ascii="Times New Roman" w:hAnsi="Times New Roman" w:eastAsia="仿宋_GB2312" w:cs="Times New Roman"/>
          <w:kern w:val="0"/>
          <w:sz w:val="32"/>
          <w:szCs w:val="32"/>
        </w:rPr>
        <w:t>信贷担保工作</w:t>
      </w:r>
      <w:r>
        <w:rPr>
          <w:rFonts w:hint="eastAsia" w:ascii="Times New Roman" w:hAnsi="Times New Roman" w:eastAsia="仿宋_GB2312" w:cs="Times New Roman"/>
          <w:kern w:val="0"/>
          <w:sz w:val="32"/>
          <w:szCs w:val="32"/>
          <w:lang w:eastAsia="zh-CN"/>
        </w:rPr>
        <w:t>，预算数</w:t>
      </w:r>
      <w:r>
        <w:rPr>
          <w:rFonts w:hint="eastAsia" w:ascii="Times New Roman" w:hAnsi="Times New Roman" w:eastAsia="仿宋_GB2312" w:cs="Times New Roman"/>
          <w:kern w:val="0"/>
          <w:sz w:val="32"/>
          <w:szCs w:val="32"/>
          <w:lang w:val="en-US" w:eastAsia="zh-CN"/>
        </w:rPr>
        <w:t>45万元</w:t>
      </w:r>
      <w:r>
        <w:rPr>
          <w:rFonts w:hint="eastAsia" w:ascii="Times New Roman" w:hAnsi="Times New Roman" w:eastAsia="仿宋_GB2312" w:cs="Times New Roman"/>
          <w:kern w:val="0"/>
          <w:sz w:val="32"/>
          <w:szCs w:val="32"/>
          <w:lang w:eastAsia="zh-CN"/>
        </w:rPr>
        <w:t>，执行数</w:t>
      </w:r>
      <w:r>
        <w:rPr>
          <w:rFonts w:hint="eastAsia" w:ascii="Times New Roman" w:hAnsi="Times New Roman" w:eastAsia="仿宋_GB2312" w:cs="Times New Roman"/>
          <w:kern w:val="0"/>
          <w:sz w:val="32"/>
          <w:szCs w:val="32"/>
          <w:lang w:val="en-US" w:eastAsia="zh-CN"/>
        </w:rPr>
        <w:t>34.19万元，评分97分</w:t>
      </w:r>
      <w:r>
        <w:rPr>
          <w:rFonts w:ascii="Times New Roman" w:hAnsi="Times New Roman" w:eastAsia="仿宋_GB2312" w:cs="Times New Roman"/>
          <w:kern w:val="0"/>
          <w:sz w:val="32"/>
          <w:szCs w:val="32"/>
        </w:rPr>
        <w:t>；二是</w:t>
      </w:r>
      <w:r>
        <w:rPr>
          <w:rFonts w:hint="eastAsia" w:ascii="Times New Roman" w:hAnsi="Times New Roman" w:eastAsia="仿宋_GB2312" w:cs="Times New Roman"/>
          <w:kern w:val="0"/>
          <w:sz w:val="32"/>
          <w:szCs w:val="32"/>
        </w:rPr>
        <w:t>债务办工作</w:t>
      </w:r>
      <w:r>
        <w:rPr>
          <w:rFonts w:hint="eastAsia" w:ascii="Times New Roman" w:hAnsi="Times New Roman" w:eastAsia="仿宋_GB2312" w:cs="Times New Roman"/>
          <w:kern w:val="0"/>
          <w:sz w:val="32"/>
          <w:szCs w:val="32"/>
          <w:lang w:eastAsia="zh-CN"/>
        </w:rPr>
        <w:t>，预算数</w:t>
      </w:r>
      <w:r>
        <w:rPr>
          <w:rFonts w:hint="eastAsia" w:ascii="Times New Roman" w:hAnsi="Times New Roman" w:eastAsia="仿宋_GB2312" w:cs="Times New Roman"/>
          <w:kern w:val="0"/>
          <w:sz w:val="32"/>
          <w:szCs w:val="32"/>
          <w:lang w:val="en-US" w:eastAsia="zh-CN"/>
        </w:rPr>
        <w:t>30万元</w:t>
      </w:r>
      <w:r>
        <w:rPr>
          <w:rFonts w:hint="eastAsia" w:ascii="Times New Roman" w:hAnsi="Times New Roman" w:eastAsia="仿宋_GB2312" w:cs="Times New Roman"/>
          <w:kern w:val="0"/>
          <w:sz w:val="32"/>
          <w:szCs w:val="32"/>
          <w:lang w:eastAsia="zh-CN"/>
        </w:rPr>
        <w:t>，执行数</w:t>
      </w:r>
      <w:r>
        <w:rPr>
          <w:rFonts w:hint="eastAsia" w:ascii="Times New Roman" w:hAnsi="Times New Roman" w:eastAsia="仿宋_GB2312" w:cs="Times New Roman"/>
          <w:kern w:val="0"/>
          <w:sz w:val="32"/>
          <w:szCs w:val="32"/>
          <w:lang w:val="en-US" w:eastAsia="zh-CN"/>
        </w:rPr>
        <w:t>0万元，评分88分</w:t>
      </w:r>
      <w:r>
        <w:rPr>
          <w:rFonts w:hint="eastAsia" w:ascii="Times New Roman" w:hAnsi="Times New Roman" w:eastAsia="仿宋_GB2312" w:cs="Times New Roman"/>
          <w:kern w:val="0"/>
          <w:sz w:val="32"/>
          <w:szCs w:val="32"/>
          <w:lang w:eastAsia="zh-CN"/>
        </w:rPr>
        <w:t>；三是造价咨询委托业务，预算数</w:t>
      </w:r>
      <w:r>
        <w:rPr>
          <w:rFonts w:hint="eastAsia" w:ascii="Times New Roman" w:hAnsi="Times New Roman" w:eastAsia="仿宋_GB2312" w:cs="Times New Roman"/>
          <w:kern w:val="0"/>
          <w:sz w:val="32"/>
          <w:szCs w:val="32"/>
          <w:lang w:val="en-US" w:eastAsia="zh-CN"/>
        </w:rPr>
        <w:t>290万元</w:t>
      </w:r>
      <w:r>
        <w:rPr>
          <w:rFonts w:hint="eastAsia" w:ascii="Times New Roman" w:hAnsi="Times New Roman" w:eastAsia="仿宋_GB2312" w:cs="Times New Roman"/>
          <w:kern w:val="0"/>
          <w:sz w:val="32"/>
          <w:szCs w:val="32"/>
          <w:lang w:eastAsia="zh-CN"/>
        </w:rPr>
        <w:t>，执行数</w:t>
      </w:r>
      <w:r>
        <w:rPr>
          <w:rFonts w:hint="eastAsia" w:ascii="Times New Roman" w:hAnsi="Times New Roman" w:eastAsia="仿宋_GB2312" w:cs="Times New Roman"/>
          <w:kern w:val="0"/>
          <w:sz w:val="32"/>
          <w:szCs w:val="32"/>
          <w:lang w:val="en-US" w:eastAsia="zh-CN"/>
        </w:rPr>
        <w:t>159.43万元，评分95分</w:t>
      </w:r>
      <w:r>
        <w:rPr>
          <w:rFonts w:hint="eastAsia" w:ascii="Times New Roman" w:hAnsi="Times New Roman" w:eastAsia="仿宋_GB2312" w:cs="Times New Roman"/>
          <w:kern w:val="0"/>
          <w:sz w:val="32"/>
          <w:szCs w:val="32"/>
          <w:lang w:eastAsia="zh-CN"/>
        </w:rPr>
        <w:t>；四是国有资产动态管理系统维护费及办证用，预算数</w:t>
      </w:r>
      <w:r>
        <w:rPr>
          <w:rFonts w:hint="eastAsia" w:ascii="Times New Roman" w:hAnsi="Times New Roman" w:eastAsia="仿宋_GB2312" w:cs="Times New Roman"/>
          <w:kern w:val="0"/>
          <w:sz w:val="32"/>
          <w:szCs w:val="32"/>
          <w:lang w:val="en-US" w:eastAsia="zh-CN"/>
        </w:rPr>
        <w:t>10万元</w:t>
      </w:r>
      <w:r>
        <w:rPr>
          <w:rFonts w:hint="eastAsia" w:ascii="Times New Roman" w:hAnsi="Times New Roman" w:eastAsia="仿宋_GB2312" w:cs="Times New Roman"/>
          <w:kern w:val="0"/>
          <w:sz w:val="32"/>
          <w:szCs w:val="32"/>
          <w:lang w:eastAsia="zh-CN"/>
        </w:rPr>
        <w:t>，执行数</w:t>
      </w:r>
      <w:r>
        <w:rPr>
          <w:rFonts w:hint="eastAsia" w:ascii="Times New Roman" w:hAnsi="Times New Roman" w:eastAsia="仿宋_GB2312" w:cs="Times New Roman"/>
          <w:kern w:val="0"/>
          <w:sz w:val="32"/>
          <w:szCs w:val="32"/>
          <w:lang w:val="en-US" w:eastAsia="zh-CN"/>
        </w:rPr>
        <w:t>5万元，评分95分</w:t>
      </w:r>
      <w:r>
        <w:rPr>
          <w:rFonts w:hint="eastAsia" w:ascii="Times New Roman" w:hAnsi="Times New Roman" w:eastAsia="仿宋_GB2312" w:cs="Times New Roman"/>
          <w:kern w:val="0"/>
          <w:sz w:val="32"/>
          <w:szCs w:val="32"/>
          <w:lang w:eastAsia="zh-CN"/>
        </w:rPr>
        <w:t>；五是财政票据（非税）购买费，预算数</w:t>
      </w:r>
      <w:r>
        <w:rPr>
          <w:rFonts w:hint="eastAsia" w:ascii="Times New Roman" w:hAnsi="Times New Roman" w:eastAsia="仿宋_GB2312" w:cs="Times New Roman"/>
          <w:kern w:val="0"/>
          <w:sz w:val="32"/>
          <w:szCs w:val="32"/>
          <w:lang w:val="en-US" w:eastAsia="zh-CN"/>
        </w:rPr>
        <w:t>20万元</w:t>
      </w:r>
      <w:r>
        <w:rPr>
          <w:rFonts w:hint="eastAsia" w:ascii="Times New Roman" w:hAnsi="Times New Roman" w:eastAsia="仿宋_GB2312" w:cs="Times New Roman"/>
          <w:kern w:val="0"/>
          <w:sz w:val="32"/>
          <w:szCs w:val="32"/>
          <w:lang w:eastAsia="zh-CN"/>
        </w:rPr>
        <w:t>，执行数</w:t>
      </w:r>
      <w:r>
        <w:rPr>
          <w:rFonts w:hint="eastAsia" w:ascii="Times New Roman" w:hAnsi="Times New Roman" w:eastAsia="仿宋_GB2312" w:cs="Times New Roman"/>
          <w:kern w:val="0"/>
          <w:sz w:val="32"/>
          <w:szCs w:val="32"/>
          <w:lang w:val="en-US" w:eastAsia="zh-CN"/>
        </w:rPr>
        <w:t>8.2万元，评分96分</w:t>
      </w:r>
      <w:r>
        <w:rPr>
          <w:rFonts w:ascii="Times New Roman" w:hAnsi="Times New Roman" w:eastAsia="仿宋_GB2312" w:cs="Times New Roman"/>
          <w:kern w:val="0"/>
          <w:sz w:val="32"/>
          <w:szCs w:val="32"/>
        </w:rPr>
        <w:t>。</w:t>
      </w:r>
    </w:p>
    <w:p w14:paraId="3ABB2EC2">
      <w:pPr>
        <w:pStyle w:val="8"/>
        <w:keepNext w:val="0"/>
        <w:keepLines w:val="0"/>
        <w:pageBreakBefore w:val="0"/>
        <w:widowControl w:val="0"/>
        <w:kinsoku/>
        <w:wordWrap/>
        <w:overflowPunct/>
        <w:topLinePunct w:val="0"/>
        <w:bidi w:val="0"/>
        <w:snapToGrid/>
        <w:spacing w:line="600" w:lineRule="exact"/>
        <w:ind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lang w:eastAsia="zh-CN"/>
        </w:rPr>
        <w:t>（三）单位</w:t>
      </w:r>
      <w:r>
        <w:rPr>
          <w:rFonts w:hint="eastAsia" w:ascii="楷体" w:hAnsi="楷体" w:eastAsia="楷体" w:cs="楷体"/>
          <w:b/>
          <w:bCs/>
          <w:sz w:val="30"/>
          <w:szCs w:val="30"/>
        </w:rPr>
        <w:t>整体支出绩效情况</w:t>
      </w:r>
    </w:p>
    <w:p w14:paraId="71DFCF5B">
      <w:pPr>
        <w:widowControl/>
        <w:spacing w:line="240" w:lineRule="auto"/>
        <w:ind w:firstLine="300" w:firstLineChars="100"/>
        <w:rPr>
          <w:rFonts w:hint="eastAsia" w:ascii="Times New Roman" w:hAnsi="Times New Roman" w:eastAsia="仿宋_GB2312" w:cs="黑体"/>
          <w:color w:val="000000"/>
          <w:kern w:val="0"/>
          <w:sz w:val="30"/>
          <w:szCs w:val="30"/>
          <w:lang w:val="en-US" w:eastAsia="zh-CN" w:bidi="ar-SA"/>
        </w:rPr>
      </w:pPr>
      <w:r>
        <w:rPr>
          <w:rFonts w:hint="eastAsia" w:ascii="Times New Roman" w:hAnsi="Times New Roman" w:eastAsia="仿宋_GB2312" w:cs="黑体"/>
          <w:color w:val="000000"/>
          <w:kern w:val="0"/>
          <w:sz w:val="30"/>
          <w:szCs w:val="30"/>
          <w:lang w:val="en-US" w:eastAsia="zh-CN" w:bidi="ar-SA"/>
        </w:rPr>
        <w:t>1、收入支出决算总体情况:</w:t>
      </w:r>
    </w:p>
    <w:p w14:paraId="2A400955">
      <w:pPr>
        <w:widowControl/>
        <w:spacing w:line="240" w:lineRule="auto"/>
        <w:ind w:firstLine="600" w:firstLineChars="200"/>
        <w:rPr>
          <w:rFonts w:hint="eastAsia" w:ascii="Times New Roman" w:hAnsi="Times New Roman" w:eastAsia="仿宋_GB2312" w:cs="黑体"/>
          <w:color w:val="000000"/>
          <w:kern w:val="0"/>
          <w:sz w:val="30"/>
          <w:szCs w:val="30"/>
          <w:lang w:val="en-US" w:eastAsia="zh-CN" w:bidi="ar-SA"/>
        </w:rPr>
      </w:pPr>
      <w:r>
        <w:rPr>
          <w:rFonts w:hint="eastAsia" w:ascii="Times New Roman" w:hAnsi="Times New Roman" w:eastAsia="仿宋_GB2312" w:cs="黑体"/>
          <w:color w:val="000000"/>
          <w:kern w:val="0"/>
          <w:sz w:val="30"/>
          <w:szCs w:val="30"/>
          <w:lang w:val="en-US" w:eastAsia="zh-CN" w:bidi="ar-SA"/>
        </w:rPr>
        <w:t>202</w:t>
      </w:r>
      <w:r>
        <w:rPr>
          <w:rFonts w:hint="eastAsia" w:eastAsia="仿宋_GB2312" w:cs="黑体"/>
          <w:color w:val="000000"/>
          <w:kern w:val="0"/>
          <w:sz w:val="30"/>
          <w:szCs w:val="30"/>
          <w:lang w:val="en-US" w:eastAsia="zh-CN" w:bidi="ar-SA"/>
        </w:rPr>
        <w:t>4</w:t>
      </w:r>
      <w:r>
        <w:rPr>
          <w:rFonts w:hint="eastAsia" w:ascii="Times New Roman" w:hAnsi="Times New Roman" w:eastAsia="仿宋_GB2312" w:cs="黑体"/>
          <w:color w:val="000000"/>
          <w:kern w:val="0"/>
          <w:sz w:val="30"/>
          <w:szCs w:val="30"/>
          <w:lang w:val="en-US" w:eastAsia="zh-CN" w:bidi="ar-SA"/>
        </w:rPr>
        <w:t>年全年财政拨款收入</w:t>
      </w:r>
      <w:r>
        <w:rPr>
          <w:rFonts w:hint="eastAsia" w:eastAsia="仿宋_GB2312" w:cs="黑体"/>
          <w:color w:val="000000"/>
          <w:kern w:val="0"/>
          <w:sz w:val="30"/>
          <w:szCs w:val="30"/>
          <w:lang w:val="en-US" w:eastAsia="zh-CN" w:bidi="ar-SA"/>
        </w:rPr>
        <w:t>2537.74</w:t>
      </w:r>
      <w:r>
        <w:rPr>
          <w:rFonts w:hint="eastAsia" w:ascii="Times New Roman" w:hAnsi="Times New Roman" w:eastAsia="仿宋_GB2312" w:cs="黑体"/>
          <w:color w:val="000000"/>
          <w:kern w:val="0"/>
          <w:sz w:val="30"/>
          <w:szCs w:val="30"/>
          <w:lang w:val="en-US" w:eastAsia="zh-CN" w:bidi="ar-SA"/>
        </w:rPr>
        <w:t>万元，；202</w:t>
      </w:r>
      <w:r>
        <w:rPr>
          <w:rFonts w:hint="eastAsia" w:eastAsia="仿宋_GB2312" w:cs="黑体"/>
          <w:color w:val="000000"/>
          <w:kern w:val="0"/>
          <w:sz w:val="30"/>
          <w:szCs w:val="30"/>
          <w:lang w:val="en-US" w:eastAsia="zh-CN" w:bidi="ar-SA"/>
        </w:rPr>
        <w:t>4</w:t>
      </w:r>
      <w:r>
        <w:rPr>
          <w:rFonts w:hint="eastAsia" w:ascii="Times New Roman" w:hAnsi="Times New Roman" w:eastAsia="仿宋_GB2312" w:cs="黑体"/>
          <w:color w:val="000000"/>
          <w:kern w:val="0"/>
          <w:sz w:val="30"/>
          <w:szCs w:val="30"/>
          <w:lang w:val="en-US" w:eastAsia="zh-CN" w:bidi="ar-SA"/>
        </w:rPr>
        <w:t>年全年支出</w:t>
      </w:r>
      <w:r>
        <w:rPr>
          <w:rFonts w:hint="eastAsia" w:eastAsia="仿宋_GB2312" w:cs="黑体"/>
          <w:color w:val="000000"/>
          <w:kern w:val="0"/>
          <w:sz w:val="30"/>
          <w:szCs w:val="30"/>
          <w:lang w:val="en-US" w:eastAsia="zh-CN" w:bidi="ar-SA"/>
        </w:rPr>
        <w:t>2537.74</w:t>
      </w:r>
      <w:r>
        <w:rPr>
          <w:rFonts w:hint="eastAsia" w:ascii="Times New Roman" w:hAnsi="Times New Roman" w:eastAsia="仿宋_GB2312" w:cs="黑体"/>
          <w:color w:val="000000"/>
          <w:kern w:val="0"/>
          <w:sz w:val="30"/>
          <w:szCs w:val="30"/>
          <w:lang w:val="en-US" w:eastAsia="zh-CN" w:bidi="ar-SA"/>
        </w:rPr>
        <w:t>万元，其中基本支出</w:t>
      </w:r>
      <w:r>
        <w:rPr>
          <w:rFonts w:hint="eastAsia" w:eastAsia="仿宋_GB2312" w:cs="黑体"/>
          <w:color w:val="000000"/>
          <w:kern w:val="0"/>
          <w:sz w:val="30"/>
          <w:szCs w:val="30"/>
          <w:lang w:val="en-US" w:eastAsia="zh-CN" w:bidi="ar-SA"/>
        </w:rPr>
        <w:t>2468.25</w:t>
      </w:r>
      <w:r>
        <w:rPr>
          <w:rFonts w:hint="eastAsia" w:ascii="Times New Roman" w:hAnsi="Times New Roman" w:eastAsia="仿宋_GB2312" w:cs="黑体"/>
          <w:color w:val="000000"/>
          <w:kern w:val="0"/>
          <w:sz w:val="30"/>
          <w:szCs w:val="30"/>
          <w:lang w:val="en-US" w:eastAsia="zh-CN" w:bidi="ar-SA"/>
        </w:rPr>
        <w:t>万元，占9</w:t>
      </w:r>
      <w:r>
        <w:rPr>
          <w:rFonts w:hint="eastAsia" w:eastAsia="仿宋_GB2312" w:cs="黑体"/>
          <w:color w:val="000000"/>
          <w:kern w:val="0"/>
          <w:sz w:val="30"/>
          <w:szCs w:val="30"/>
          <w:lang w:val="en-US" w:eastAsia="zh-CN" w:bidi="ar-SA"/>
        </w:rPr>
        <w:t>7.26</w:t>
      </w:r>
      <w:r>
        <w:rPr>
          <w:rFonts w:hint="eastAsia" w:ascii="Times New Roman" w:hAnsi="Times New Roman" w:eastAsia="仿宋_GB2312" w:cs="黑体"/>
          <w:color w:val="000000"/>
          <w:kern w:val="0"/>
          <w:sz w:val="30"/>
          <w:szCs w:val="30"/>
          <w:lang w:val="en-US" w:eastAsia="zh-CN" w:bidi="ar-SA"/>
        </w:rPr>
        <w:t>%，项目支出</w:t>
      </w:r>
      <w:r>
        <w:rPr>
          <w:rFonts w:hint="eastAsia" w:eastAsia="仿宋_GB2312" w:cs="黑体"/>
          <w:color w:val="000000"/>
          <w:kern w:val="0"/>
          <w:sz w:val="30"/>
          <w:szCs w:val="30"/>
          <w:lang w:val="en-US" w:eastAsia="zh-CN" w:bidi="ar-SA"/>
        </w:rPr>
        <w:t>69.49</w:t>
      </w:r>
      <w:r>
        <w:rPr>
          <w:rFonts w:hint="eastAsia" w:ascii="Times New Roman" w:hAnsi="Times New Roman" w:eastAsia="仿宋_GB2312" w:cs="黑体"/>
          <w:color w:val="000000"/>
          <w:kern w:val="0"/>
          <w:sz w:val="30"/>
          <w:szCs w:val="30"/>
          <w:lang w:val="en-US" w:eastAsia="zh-CN" w:bidi="ar-SA"/>
        </w:rPr>
        <w:t>万元，占</w:t>
      </w:r>
      <w:r>
        <w:rPr>
          <w:rFonts w:hint="eastAsia" w:eastAsia="仿宋_GB2312" w:cs="黑体"/>
          <w:color w:val="000000"/>
          <w:kern w:val="0"/>
          <w:sz w:val="30"/>
          <w:szCs w:val="30"/>
          <w:lang w:val="en-US" w:eastAsia="zh-CN" w:bidi="ar-SA"/>
        </w:rPr>
        <w:t>2.74</w:t>
      </w:r>
      <w:r>
        <w:rPr>
          <w:rFonts w:hint="eastAsia" w:ascii="Times New Roman" w:hAnsi="Times New Roman" w:eastAsia="仿宋_GB2312" w:cs="黑体"/>
          <w:color w:val="000000"/>
          <w:kern w:val="0"/>
          <w:sz w:val="30"/>
          <w:szCs w:val="30"/>
          <w:lang w:val="en-US" w:eastAsia="zh-CN" w:bidi="ar-SA"/>
        </w:rPr>
        <w:t>%，本年无收支结转结余。</w:t>
      </w:r>
    </w:p>
    <w:p w14:paraId="0E8426B9">
      <w:pPr>
        <w:pStyle w:val="8"/>
        <w:numPr>
          <w:ilvl w:val="0"/>
          <w:numId w:val="0"/>
        </w:numPr>
        <w:spacing w:line="240" w:lineRule="auto"/>
        <w:ind w:firstLine="300" w:firstLineChars="100"/>
        <w:jc w:val="both"/>
        <w:rPr>
          <w:rFonts w:hint="eastAsia" w:ascii="Times New Roman" w:hAnsi="Times New Roman" w:eastAsia="仿宋_GB2312" w:cs="黑体"/>
          <w:color w:val="000000"/>
          <w:kern w:val="0"/>
          <w:sz w:val="30"/>
          <w:szCs w:val="30"/>
          <w:lang w:val="en-US" w:eastAsia="zh-CN" w:bidi="ar-SA"/>
        </w:rPr>
      </w:pPr>
      <w:r>
        <w:rPr>
          <w:rFonts w:hint="eastAsia" w:ascii="Times New Roman" w:hAnsi="Times New Roman" w:eastAsia="仿宋_GB2312" w:cs="黑体"/>
          <w:color w:val="000000"/>
          <w:kern w:val="0"/>
          <w:sz w:val="30"/>
          <w:szCs w:val="30"/>
          <w:lang w:val="en-US" w:eastAsia="zh-CN" w:bidi="ar-SA"/>
        </w:rPr>
        <w:t>2、支出具体情况分析：</w:t>
      </w:r>
    </w:p>
    <w:p w14:paraId="2CD8CE1A">
      <w:pPr>
        <w:pStyle w:val="8"/>
        <w:spacing w:line="240" w:lineRule="auto"/>
        <w:ind w:firstLine="600" w:firstLineChars="200"/>
        <w:jc w:val="both"/>
        <w:rPr>
          <w:rFonts w:hint="eastAsia" w:ascii="Times New Roman" w:hAnsi="Times New Roman" w:eastAsia="仿宋_GB2312" w:cs="黑体"/>
          <w:color w:val="000000"/>
          <w:kern w:val="0"/>
          <w:sz w:val="30"/>
          <w:szCs w:val="30"/>
          <w:lang w:val="en-US" w:eastAsia="zh-CN" w:bidi="ar-SA"/>
        </w:rPr>
      </w:pPr>
      <w:r>
        <w:rPr>
          <w:rFonts w:hint="eastAsia" w:ascii="Times New Roman" w:hAnsi="Times New Roman" w:eastAsia="仿宋_GB2312" w:cs="黑体"/>
          <w:color w:val="000000"/>
          <w:kern w:val="0"/>
          <w:sz w:val="30"/>
          <w:szCs w:val="30"/>
          <w:lang w:val="en-US" w:eastAsia="zh-CN" w:bidi="ar-SA"/>
        </w:rPr>
        <w:t>（1） 2024年度财政拨款支出2537.74元，主要用于以下方面：一般公共服务（类）支出2087.77万元，占82.27%；社会保障和就业支出279.82万元，占11.03%；卫生健康支出72.3万元，占2.85%；住房保障支出97.85万元，占3.85%。</w:t>
      </w:r>
    </w:p>
    <w:p w14:paraId="5E75D0FE">
      <w:pPr>
        <w:spacing w:line="240" w:lineRule="auto"/>
        <w:ind w:firstLine="600" w:firstLineChars="200"/>
        <w:rPr>
          <w:rFonts w:hint="eastAsia" w:ascii="Times New Roman" w:hAnsi="Times New Roman" w:eastAsia="仿宋_GB2312" w:cs="黑体"/>
          <w:color w:val="000000"/>
          <w:kern w:val="0"/>
          <w:sz w:val="30"/>
          <w:szCs w:val="30"/>
          <w:lang w:val="en-US" w:eastAsia="zh-CN" w:bidi="ar-SA"/>
        </w:rPr>
      </w:pPr>
      <w:r>
        <w:rPr>
          <w:rFonts w:hint="eastAsia" w:ascii="Times New Roman" w:hAnsi="Times New Roman" w:eastAsia="仿宋_GB2312" w:cs="黑体"/>
          <w:color w:val="000000"/>
          <w:kern w:val="0"/>
          <w:sz w:val="30"/>
          <w:szCs w:val="30"/>
          <w:lang w:val="en-US" w:eastAsia="zh-CN" w:bidi="ar-SA"/>
        </w:rPr>
        <w:t>（2）三公经费开支</w:t>
      </w:r>
      <w:r>
        <w:rPr>
          <w:rFonts w:hint="eastAsia" w:eastAsia="仿宋_GB2312" w:cs="黑体"/>
          <w:color w:val="000000"/>
          <w:kern w:val="0"/>
          <w:sz w:val="30"/>
          <w:szCs w:val="30"/>
          <w:lang w:val="en-US" w:eastAsia="zh-CN" w:bidi="ar-SA"/>
        </w:rPr>
        <w:t>0.35</w:t>
      </w:r>
      <w:r>
        <w:rPr>
          <w:rFonts w:hint="eastAsia" w:ascii="Times New Roman" w:hAnsi="Times New Roman" w:eastAsia="仿宋_GB2312" w:cs="黑体"/>
          <w:color w:val="000000"/>
          <w:kern w:val="0"/>
          <w:sz w:val="30"/>
          <w:szCs w:val="30"/>
          <w:lang w:val="en-US" w:eastAsia="zh-CN" w:bidi="ar-SA"/>
        </w:rPr>
        <w:t>万元，主要是公务接待费支出，厉行节约政策，减少不必要的接待。</w:t>
      </w:r>
    </w:p>
    <w:p w14:paraId="4D973ED3">
      <w:pPr>
        <w:pStyle w:val="9"/>
        <w:numPr>
          <w:ilvl w:val="0"/>
          <w:numId w:val="0"/>
        </w:numPr>
        <w:spacing w:line="360" w:lineRule="auto"/>
        <w:ind w:left="560" w:leftChars="0"/>
        <w:rPr>
          <w:b/>
          <w:bCs/>
          <w:sz w:val="28"/>
          <w:szCs w:val="28"/>
        </w:rPr>
      </w:pPr>
      <w:r>
        <w:rPr>
          <w:rFonts w:hint="eastAsia"/>
          <w:b/>
          <w:bCs/>
          <w:sz w:val="28"/>
          <w:szCs w:val="28"/>
          <w:lang w:eastAsia="zh-CN"/>
        </w:rPr>
        <w:t>三、</w:t>
      </w:r>
      <w:r>
        <w:rPr>
          <w:rFonts w:hint="eastAsia"/>
          <w:b/>
          <w:bCs/>
          <w:sz w:val="28"/>
          <w:szCs w:val="28"/>
        </w:rPr>
        <w:t>存在的问题及原因：</w:t>
      </w:r>
    </w:p>
    <w:p w14:paraId="375DE8F2">
      <w:pPr>
        <w:spacing w:line="240" w:lineRule="auto"/>
        <w:ind w:firstLine="600" w:firstLineChars="200"/>
        <w:rPr>
          <w:rFonts w:hint="eastAsia" w:ascii="Times New Roman" w:hAnsi="Times New Roman" w:eastAsia="仿宋_GB2312" w:cs="黑体"/>
          <w:color w:val="000000"/>
          <w:kern w:val="0"/>
          <w:sz w:val="30"/>
          <w:szCs w:val="30"/>
          <w:lang w:val="en-US" w:eastAsia="zh-CN" w:bidi="ar-SA"/>
        </w:rPr>
      </w:pPr>
      <w:r>
        <w:rPr>
          <w:rFonts w:hint="eastAsia" w:ascii="Times New Roman" w:hAnsi="Times New Roman" w:eastAsia="仿宋_GB2312" w:cs="黑体"/>
          <w:color w:val="000000"/>
          <w:kern w:val="0"/>
          <w:sz w:val="30"/>
          <w:szCs w:val="30"/>
          <w:lang w:val="en-US" w:eastAsia="zh-CN" w:bidi="ar-SA"/>
        </w:rPr>
        <w:t>1、从2024年账务支出结构分析，基本支出的75.07%为人员支出。由于财政下拨的年初预算只按平均每人每年1.5万元的标准安排单位人头经费，远远小于人员支出以及公用支出的刚性需求，必须使用财政的其他拨款弥补人员支出。</w:t>
      </w:r>
    </w:p>
    <w:p w14:paraId="0FF293E9">
      <w:pPr>
        <w:spacing w:line="240" w:lineRule="auto"/>
        <w:ind w:firstLine="600" w:firstLineChars="200"/>
        <w:rPr>
          <w:rFonts w:hint="eastAsia" w:ascii="Times New Roman" w:hAnsi="Times New Roman" w:eastAsia="仿宋_GB2312" w:cs="黑体"/>
          <w:color w:val="000000"/>
          <w:kern w:val="0"/>
          <w:sz w:val="30"/>
          <w:szCs w:val="30"/>
          <w:lang w:val="en-US" w:eastAsia="zh-CN" w:bidi="ar-SA"/>
        </w:rPr>
      </w:pPr>
      <w:r>
        <w:rPr>
          <w:rFonts w:hint="eastAsia" w:ascii="Times New Roman" w:hAnsi="Times New Roman" w:eastAsia="仿宋_GB2312" w:cs="黑体"/>
          <w:color w:val="000000"/>
          <w:kern w:val="0"/>
          <w:sz w:val="30"/>
          <w:szCs w:val="30"/>
          <w:lang w:val="en-US" w:eastAsia="zh-CN" w:bidi="ar-SA"/>
        </w:rPr>
        <w:t>2、由于单位人员变动较大，固定资产使用人交接程序存在不规范的情况，造成固定资产的登记、管理不便，资产管理需要加强。</w:t>
      </w:r>
      <w:bookmarkStart w:id="0" w:name="_GoBack"/>
      <w:bookmarkEnd w:id="0"/>
    </w:p>
    <w:p w14:paraId="09BFD21C">
      <w:pPr>
        <w:pStyle w:val="9"/>
        <w:numPr>
          <w:ilvl w:val="0"/>
          <w:numId w:val="0"/>
        </w:numPr>
        <w:spacing w:line="360" w:lineRule="auto"/>
        <w:ind w:left="560" w:leftChars="0"/>
        <w:rPr>
          <w:b/>
          <w:bCs/>
          <w:sz w:val="28"/>
          <w:szCs w:val="28"/>
        </w:rPr>
      </w:pPr>
      <w:r>
        <w:rPr>
          <w:rFonts w:hint="eastAsia"/>
          <w:b/>
          <w:bCs/>
          <w:sz w:val="28"/>
          <w:szCs w:val="28"/>
          <w:lang w:eastAsia="zh-CN"/>
        </w:rPr>
        <w:t>四、</w:t>
      </w:r>
      <w:r>
        <w:rPr>
          <w:rFonts w:hint="eastAsia"/>
          <w:b/>
          <w:bCs/>
          <w:sz w:val="28"/>
          <w:szCs w:val="28"/>
        </w:rPr>
        <w:t>提高财政资金绩效的措施与建议：</w:t>
      </w:r>
    </w:p>
    <w:p w14:paraId="3B6ED08E">
      <w:pPr>
        <w:spacing w:line="240" w:lineRule="auto"/>
        <w:ind w:firstLine="600" w:firstLineChars="200"/>
        <w:rPr>
          <w:rFonts w:hint="eastAsia" w:ascii="Times New Roman" w:hAnsi="Times New Roman" w:eastAsia="仿宋_GB2312" w:cs="黑体"/>
          <w:color w:val="000000"/>
          <w:kern w:val="0"/>
          <w:sz w:val="30"/>
          <w:szCs w:val="30"/>
          <w:lang w:val="en-US" w:eastAsia="zh-CN" w:bidi="ar-SA"/>
        </w:rPr>
      </w:pPr>
      <w:r>
        <w:rPr>
          <w:rFonts w:hint="eastAsia" w:ascii="Times New Roman" w:hAnsi="Times New Roman" w:eastAsia="仿宋_GB2312" w:cs="黑体"/>
          <w:color w:val="000000"/>
          <w:kern w:val="0"/>
          <w:sz w:val="30"/>
          <w:szCs w:val="30"/>
          <w:lang w:val="en-US" w:eastAsia="zh-CN" w:bidi="ar-SA"/>
        </w:rPr>
        <w:t>加强预算编制的前瞻性，按照新《预算法》及其实施条例的相关规定，按政策规定及本部门的发展规划，结合上一年度预算执行情况和本年度预算收支变化因素，科学、合理地编制本年预算草案，避免项目支出与基本支出划分不准或预算支出与实际执行出现较大偏差的情况，执行中确需调剂预算的，按规定程序报经批准。</w:t>
      </w:r>
    </w:p>
    <w:p w14:paraId="76614113">
      <w:pPr>
        <w:spacing w:line="240" w:lineRule="auto"/>
        <w:ind w:firstLine="600" w:firstLineChars="200"/>
        <w:rPr>
          <w:rFonts w:hint="eastAsia" w:ascii="Times New Roman" w:hAnsi="Times New Roman" w:eastAsia="仿宋_GB2312" w:cs="黑体"/>
          <w:color w:val="000000"/>
          <w:kern w:val="0"/>
          <w:sz w:val="30"/>
          <w:szCs w:val="30"/>
          <w:lang w:val="en-US" w:eastAsia="zh-CN" w:bidi="ar-SA"/>
        </w:rPr>
      </w:pPr>
      <w:r>
        <w:rPr>
          <w:rFonts w:hint="eastAsia" w:ascii="Times New Roman" w:hAnsi="Times New Roman" w:eastAsia="仿宋_GB2312" w:cs="黑体"/>
          <w:color w:val="000000"/>
          <w:kern w:val="0"/>
          <w:sz w:val="30"/>
          <w:szCs w:val="30"/>
          <w:lang w:val="en-US" w:eastAsia="zh-CN" w:bidi="ar-SA"/>
        </w:rPr>
        <w:t>进一步贯彻落实中央“八项规定”和湖南省委“九条规定”，建立本部门“三公经费”等公务支出管理制度及厉行节约制度，加强经费审批和控制，规范支出标准与范围，并严格执行。严格按照《固定资产管理办法》的规定加强固定资产管理，及时登记、更新台账，加强资产卡片管理，年终前对各类实物资产进行全面盘点，确保账账、账实相符。</w:t>
      </w:r>
    </w:p>
    <w:p w14:paraId="49941189">
      <w:pPr>
        <w:numPr>
          <w:ilvl w:val="0"/>
          <w:numId w:val="0"/>
        </w:numPr>
        <w:ind w:firstLine="640"/>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9BB67"/>
    <w:multiLevelType w:val="singleLevel"/>
    <w:tmpl w:val="58B9BB6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iZjM2MjQwZTcwNjYyYzc4NDQ2ZDkzYWM3NGZmNDAifQ=="/>
  </w:docVars>
  <w:rsids>
    <w:rsidRoot w:val="00000000"/>
    <w:rsid w:val="015C0E9D"/>
    <w:rsid w:val="04184D0C"/>
    <w:rsid w:val="0D2C40DA"/>
    <w:rsid w:val="0D991370"/>
    <w:rsid w:val="18B43502"/>
    <w:rsid w:val="19687E48"/>
    <w:rsid w:val="1BC7354C"/>
    <w:rsid w:val="1DF600AD"/>
    <w:rsid w:val="23CC6398"/>
    <w:rsid w:val="24A7441D"/>
    <w:rsid w:val="2B2204B4"/>
    <w:rsid w:val="2BAF7421"/>
    <w:rsid w:val="3AED7C8C"/>
    <w:rsid w:val="42004812"/>
    <w:rsid w:val="4207560F"/>
    <w:rsid w:val="46656A24"/>
    <w:rsid w:val="4B6724D4"/>
    <w:rsid w:val="4BE949BD"/>
    <w:rsid w:val="582F2864"/>
    <w:rsid w:val="5C2C64D8"/>
    <w:rsid w:val="6312740B"/>
    <w:rsid w:val="7114608B"/>
    <w:rsid w:val="727342FE"/>
    <w:rsid w:val="7BB7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customStyle="1" w:styleId="8">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416</Words>
  <Characters>510</Characters>
  <Lines>0</Lines>
  <Paragraphs>0</Paragraphs>
  <TotalTime>2</TotalTime>
  <ScaleCrop>false</ScaleCrop>
  <LinksUpToDate>false</LinksUpToDate>
  <CharactersWithSpaces>511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摇曳</cp:lastModifiedBy>
  <dcterms:modified xsi:type="dcterms:W3CDTF">2025-09-25T02:49:29Z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12A71744045445B687D66BD13FB312DC_12</vt:lpwstr>
  </property>
  <property fmtid="{D5CDD505-2E9C-101B-9397-08002B2CF9AE}" pid="4" name="KSOTemplateDocerSaveRecord">
    <vt:lpwstr>eyJoZGlkIjoiMGFiZjM2MjQwZTcwNjYyYzc4NDQ2ZDkzYWM3NGZmNDAiLCJ1c2VySWQiOiI5NzE1MzkyMDkifQ==</vt:lpwstr>
  </property>
</Properties>
</file>