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4ACC2">
      <w:pPr>
        <w:widowControl/>
        <w:shd w:val="clear" w:color="auto" w:fill="FFFFFF"/>
        <w:spacing w:line="560" w:lineRule="exact"/>
        <w:jc w:val="center"/>
        <w:rPr>
          <w:rFonts w:ascii="黑体" w:hAnsi="宋体" w:eastAsia="黑体" w:cs="宋体"/>
          <w:b/>
          <w:bCs/>
          <w:color w:val="000000"/>
          <w:kern w:val="0"/>
          <w:sz w:val="44"/>
          <w:szCs w:val="44"/>
          <w:shd w:val="clear" w:color="auto" w:fill="FFFFFF"/>
        </w:rPr>
      </w:pPr>
    </w:p>
    <w:p w14:paraId="796EDDF6">
      <w:pPr>
        <w:widowControl/>
        <w:shd w:val="clear" w:color="auto" w:fill="FFFFFF"/>
        <w:spacing w:line="560" w:lineRule="exact"/>
        <w:jc w:val="center"/>
        <w:rPr>
          <w:rFonts w:ascii="黑体" w:hAnsi="宋体" w:eastAsia="黑体" w:cs="宋体"/>
          <w:b/>
          <w:bCs/>
          <w:color w:val="000000"/>
          <w:kern w:val="0"/>
          <w:sz w:val="44"/>
          <w:szCs w:val="44"/>
          <w:shd w:val="clear" w:color="auto" w:fill="FFFFFF"/>
        </w:rPr>
      </w:pPr>
      <w:r>
        <w:rPr>
          <w:rFonts w:hint="eastAsia" w:ascii="黑体" w:hAnsi="宋体" w:eastAsia="黑体" w:cs="宋体"/>
          <w:b/>
          <w:bCs/>
          <w:color w:val="000000"/>
          <w:kern w:val="0"/>
          <w:sz w:val="44"/>
          <w:szCs w:val="44"/>
          <w:shd w:val="clear" w:color="auto" w:fill="FFFFFF"/>
        </w:rPr>
        <w:t>新晃县财政局</w:t>
      </w:r>
    </w:p>
    <w:p w14:paraId="16242AEA">
      <w:pPr>
        <w:widowControl/>
        <w:shd w:val="clear" w:color="auto" w:fill="FFFFFF"/>
        <w:spacing w:line="560" w:lineRule="exact"/>
        <w:jc w:val="center"/>
        <w:rPr>
          <w:rFonts w:ascii="黑体" w:hAnsi="宋体" w:eastAsia="黑体" w:cs="宋体"/>
          <w:b/>
          <w:bCs/>
          <w:color w:val="000000"/>
          <w:kern w:val="0"/>
          <w:sz w:val="44"/>
          <w:szCs w:val="44"/>
          <w:shd w:val="clear" w:color="auto" w:fill="FFFFFF"/>
        </w:rPr>
      </w:pPr>
      <w:r>
        <w:rPr>
          <w:rFonts w:hint="eastAsia" w:ascii="黑体" w:hAnsi="宋体" w:eastAsia="黑体" w:cs="宋体"/>
          <w:b/>
          <w:bCs/>
          <w:color w:val="000000"/>
          <w:kern w:val="0"/>
          <w:sz w:val="44"/>
          <w:szCs w:val="44"/>
          <w:shd w:val="clear" w:color="auto" w:fill="FFFFFF"/>
        </w:rPr>
        <w:t>20</w:t>
      </w:r>
      <w:r>
        <w:rPr>
          <w:rFonts w:hint="eastAsia" w:ascii="黑体" w:hAnsi="宋体" w:eastAsia="黑体" w:cs="宋体"/>
          <w:b/>
          <w:bCs/>
          <w:color w:val="000000"/>
          <w:kern w:val="0"/>
          <w:sz w:val="44"/>
          <w:szCs w:val="44"/>
          <w:shd w:val="clear" w:color="auto" w:fill="FFFFFF"/>
          <w:lang w:val="en-US" w:eastAsia="zh-CN"/>
        </w:rPr>
        <w:t>24</w:t>
      </w:r>
      <w:r>
        <w:rPr>
          <w:rFonts w:hint="eastAsia" w:ascii="黑体" w:hAnsi="宋体" w:eastAsia="黑体" w:cs="宋体"/>
          <w:b/>
          <w:bCs/>
          <w:color w:val="000000"/>
          <w:kern w:val="0"/>
          <w:sz w:val="44"/>
          <w:szCs w:val="44"/>
          <w:shd w:val="clear" w:color="auto" w:fill="FFFFFF"/>
        </w:rPr>
        <w:t>年度部门整体支出绩效</w:t>
      </w:r>
      <w:r>
        <w:rPr>
          <w:rFonts w:hint="eastAsia" w:ascii="黑体" w:hAnsi="宋体" w:eastAsia="黑体" w:cs="宋体"/>
          <w:b/>
          <w:bCs/>
          <w:color w:val="000000"/>
          <w:kern w:val="0"/>
          <w:sz w:val="44"/>
          <w:szCs w:val="44"/>
          <w:shd w:val="clear" w:color="auto" w:fill="FFFFFF"/>
          <w:lang w:eastAsia="zh-CN"/>
        </w:rPr>
        <w:t>自评</w:t>
      </w:r>
      <w:r>
        <w:rPr>
          <w:rFonts w:hint="eastAsia" w:ascii="黑体" w:hAnsi="宋体" w:eastAsia="黑体" w:cs="宋体"/>
          <w:b/>
          <w:bCs/>
          <w:color w:val="000000"/>
          <w:kern w:val="0"/>
          <w:sz w:val="44"/>
          <w:szCs w:val="44"/>
          <w:shd w:val="clear" w:color="auto" w:fill="FFFFFF"/>
        </w:rPr>
        <w:t>报告</w:t>
      </w:r>
    </w:p>
    <w:p w14:paraId="465809B7">
      <w:pPr>
        <w:widowControl/>
        <w:shd w:val="clear" w:color="auto" w:fill="FFFFFF"/>
        <w:spacing w:line="560" w:lineRule="exact"/>
        <w:jc w:val="center"/>
        <w:rPr>
          <w:rFonts w:ascii="宋体" w:hAnsi="宋体" w:cs="宋体"/>
          <w:color w:val="000000"/>
          <w:kern w:val="0"/>
          <w:sz w:val="44"/>
          <w:szCs w:val="44"/>
        </w:rPr>
      </w:pPr>
    </w:p>
    <w:p w14:paraId="40099A1D">
      <w:pPr>
        <w:pStyle w:val="8"/>
        <w:numPr>
          <w:ilvl w:val="0"/>
          <w:numId w:val="1"/>
        </w:numPr>
        <w:spacing w:line="360" w:lineRule="auto"/>
        <w:ind w:firstLineChars="0"/>
        <w:rPr>
          <w:b/>
          <w:bCs/>
          <w:sz w:val="28"/>
          <w:szCs w:val="28"/>
        </w:rPr>
      </w:pPr>
      <w:r>
        <w:rPr>
          <w:rFonts w:hint="eastAsia"/>
          <w:b/>
          <w:bCs/>
          <w:sz w:val="28"/>
          <w:szCs w:val="28"/>
        </w:rPr>
        <w:t>部门（单位）基本概况:</w:t>
      </w:r>
    </w:p>
    <w:p w14:paraId="15D5E8D2">
      <w:pPr>
        <w:autoSpaceDE w:val="0"/>
        <w:autoSpaceDN w:val="0"/>
        <w:adjustRightInd w:val="0"/>
        <w:spacing w:line="360" w:lineRule="auto"/>
        <w:ind w:firstLine="560" w:firstLineChars="200"/>
        <w:rPr>
          <w:rFonts w:hint="eastAsia" w:ascii="宋体" w:hAnsi="宋体" w:cs="仿宋"/>
          <w:sz w:val="28"/>
          <w:szCs w:val="28"/>
          <w:lang w:val="en-US" w:eastAsia="zh-CN"/>
        </w:rPr>
      </w:pPr>
      <w:r>
        <w:rPr>
          <w:rFonts w:hint="eastAsia" w:ascii="宋体" w:hAnsi="宋体" w:cs="仿宋"/>
          <w:sz w:val="28"/>
          <w:szCs w:val="28"/>
          <w:lang w:val="zh-CN" w:eastAsia="zh-CN"/>
        </w:rPr>
        <w:t>新晃县财政局内设行政股室15个，人员编制</w:t>
      </w:r>
      <w:r>
        <w:rPr>
          <w:rFonts w:hint="eastAsia" w:ascii="宋体" w:hAnsi="宋体" w:cs="仿宋"/>
          <w:sz w:val="28"/>
          <w:szCs w:val="28"/>
          <w:lang w:val="en-US" w:eastAsia="zh-CN"/>
        </w:rPr>
        <w:t>17个；</w:t>
      </w:r>
      <w:r>
        <w:rPr>
          <w:rFonts w:hint="eastAsia" w:ascii="宋体" w:hAnsi="宋体" w:cs="仿宋"/>
          <w:sz w:val="28"/>
          <w:szCs w:val="28"/>
          <w:lang w:val="zh-CN" w:eastAsia="zh-CN"/>
        </w:rPr>
        <w:t>事业机构</w:t>
      </w:r>
      <w:r>
        <w:rPr>
          <w:rFonts w:hint="eastAsia" w:ascii="宋体" w:hAnsi="宋体" w:cs="仿宋"/>
          <w:sz w:val="28"/>
          <w:szCs w:val="28"/>
          <w:lang w:val="en-US" w:eastAsia="zh-CN"/>
        </w:rPr>
        <w:t>14个,人员编制98个,实际在职人数115人。</w:t>
      </w:r>
    </w:p>
    <w:p w14:paraId="76D4082D">
      <w:pPr>
        <w:autoSpaceDE w:val="0"/>
        <w:autoSpaceDN w:val="0"/>
        <w:adjustRightInd w:val="0"/>
        <w:spacing w:line="360" w:lineRule="auto"/>
        <w:ind w:firstLine="560" w:firstLineChars="200"/>
        <w:rPr>
          <w:rFonts w:hint="eastAsia" w:ascii="宋体" w:hAnsi="宋体" w:cs="仿宋"/>
          <w:sz w:val="28"/>
          <w:szCs w:val="28"/>
          <w:lang w:val="zh-CN"/>
        </w:rPr>
      </w:pPr>
      <w:r>
        <w:rPr>
          <w:rFonts w:hint="eastAsia" w:ascii="宋体" w:hAnsi="宋体" w:cs="仿宋"/>
          <w:sz w:val="28"/>
          <w:szCs w:val="28"/>
          <w:lang w:val="zh-CN"/>
        </w:rPr>
        <w:t>单位主要职能：</w:t>
      </w:r>
    </w:p>
    <w:p w14:paraId="769E8CA9">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（一）组织贯彻执行国家财税方针政策，拟订和执行全县财政政策、改革方案，指导全县财政工作；分析预测宏观经济形势，参与制定各项宏观经济政策；提出运</w:t>
      </w:r>
      <w:bookmarkStart w:id="0" w:name="_GoBack"/>
      <w:bookmarkEnd w:id="0"/>
      <w:r>
        <w:rPr>
          <w:rFonts w:hint="eastAsia" w:ascii="宋体" w:hAnsi="宋体" w:cs="仿宋"/>
          <w:sz w:val="28"/>
          <w:szCs w:val="28"/>
          <w:lang w:val="zh-CN"/>
        </w:rPr>
        <w:t xml:space="preserve">用财税政策实施宏观调控和综合平衡社会财力的建议；拟订和执行县政府与企业的分配政策，完善鼓励公益事业发展的财税政策。             </w:t>
      </w:r>
    </w:p>
    <w:p w14:paraId="51F9026D">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（二）制定和执行财政、财务、会议管理的制度及办法。</w:t>
      </w:r>
    </w:p>
    <w:p w14:paraId="4F09D3FC">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三）承担县本级各项财政收支管理的责任。负责编制年度县本级预决算草案并组织执行。代编全县财政收支预算，汇总全县财政总决算；受县人民政府委托，向县人民代表大会报告县本级、全县预算及其执行情况，向县人大常委会报告决算。组织制订县本级经费开支标准、定额，负责审核批复部门（单位）的年度预决算。完善转移支付制度，推进省直管县财政体制改革。</w:t>
      </w:r>
    </w:p>
    <w:p w14:paraId="4C6D45CF">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（四）负责政府非税收入管理，负责政府性基金管理，按规定管理行政事业性收费。管理财政票据。制定彩票管理政策和有关办法，管理彩票市场，按规定管理彩票资金。</w:t>
      </w:r>
    </w:p>
    <w:p w14:paraId="41B1949E">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（五）组织制定国库管理制度、国库集中收付制度，指导和监督全县国库业务，按规定开展国库现金管理工作。负责制定政府采购制度并监督管理。</w:t>
      </w:r>
    </w:p>
    <w:p w14:paraId="33D55059">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（六）贯彻执行国家税收法律、行政法规和税收调整政策，反馈政策执行情况，提出调整建议。参与县管理权限内有关税收政策及税收政策调整方案的调查研究，提出对策建议。</w:t>
      </w:r>
    </w:p>
    <w:p w14:paraId="28EB7659">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（七）负责制定全县行政事业单位国有资产管理规章制度，按规定管理行政事业单位国有资产，制定全县统一规定的开支标准和支出政策。</w:t>
      </w:r>
    </w:p>
    <w:p w14:paraId="36949C92">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八）负责审核和汇总编制全县国有资本经营预决算草案，制定国有资本经营预算的制度和办法，收取县本级企业国有资本收益，组织实施企业财务制度，按规定管理地方金融类企业国有资产，参与拟订企业国有资产管理相关制度，负责未纳入国资委监管企业的国有资产管理，管理资产评估工作。</w:t>
      </w:r>
    </w:p>
    <w:p w14:paraId="2733F01B">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九）负责办理和监督县财政的经济发展支出、县级政府性投资项目的财政拨款，参与拟订县建设投资的有关政策，组织实施基本建设财务制度，负责有关政策性补贴和专项储备资金财政管理工作。负责农业综合开发管理工作。</w:t>
      </w:r>
    </w:p>
    <w:p w14:paraId="5F988950">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（十）会同有关部门管理县财政社会保障和就业及医疗卫生支出，组织实施社会保障资金（基金）的财务管理制度，编制县社会保障预决算草案。</w:t>
      </w:r>
    </w:p>
    <w:p w14:paraId="64F8DF1E">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（十一）贯彻执行政府内外债务管理的政策、制度和办法，防范财政风险。负责统一管理县政府外债，制定基本管理制度，按规定管理外国政府和国际金融组织贷（赠）款。承担财税领域交流与合作的具体工作。</w:t>
      </w:r>
    </w:p>
    <w:p w14:paraId="3C34F158">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（十二）负责管理全县的会计工作，监督和规范会计行为，组织实施国家统一的会计制度，组织实施会计行政法规规章，指导和监督注册会计师和会计师事务所的业务，指导和管理社会审计。</w:t>
      </w:r>
    </w:p>
    <w:p w14:paraId="158B97D4">
      <w:pPr>
        <w:autoSpaceDE w:val="0"/>
        <w:autoSpaceDN w:val="0"/>
        <w:adjustRightInd w:val="0"/>
        <w:spacing w:line="360" w:lineRule="auto"/>
        <w:ind w:firstLine="560" w:firstLineChars="200"/>
        <w:rPr>
          <w:rFonts w:ascii="宋体" w:hAnsi="宋体" w:cs="仿宋"/>
          <w:sz w:val="28"/>
          <w:szCs w:val="28"/>
          <w:lang w:val="zh-CN"/>
        </w:rPr>
      </w:pPr>
      <w:r>
        <w:rPr>
          <w:rFonts w:hint="eastAsia" w:ascii="宋体" w:hAnsi="宋体" w:cs="仿宋"/>
          <w:sz w:val="28"/>
          <w:szCs w:val="28"/>
          <w:lang w:val="zh-CN"/>
        </w:rPr>
        <w:t>（十三）监督检查财税法规、政策的执行情况，反映财政收支管理中的重大问题，提出加强财政管理的政策和建议。</w:t>
      </w:r>
    </w:p>
    <w:p w14:paraId="73C8A8DD">
      <w:pPr>
        <w:autoSpaceDE w:val="0"/>
        <w:autoSpaceDN w:val="0"/>
        <w:adjustRightInd w:val="0"/>
        <w:spacing w:line="360" w:lineRule="auto"/>
        <w:ind w:firstLine="560" w:firstLineChars="200"/>
        <w:rPr>
          <w:rFonts w:ascii="宋体" w:hAnsi="宋体" w:cs="仿宋"/>
          <w:kern w:val="0"/>
          <w:sz w:val="28"/>
          <w:szCs w:val="28"/>
        </w:rPr>
      </w:pPr>
      <w:r>
        <w:rPr>
          <w:rFonts w:hint="eastAsia" w:ascii="宋体" w:hAnsi="宋体" w:cs="仿宋"/>
          <w:sz w:val="28"/>
          <w:szCs w:val="28"/>
          <w:lang w:val="zh-CN"/>
        </w:rPr>
        <w:t>（十四）承办县人民政府交办的其他事项。</w:t>
      </w:r>
    </w:p>
    <w:p w14:paraId="5667F314">
      <w:pPr>
        <w:spacing w:line="360" w:lineRule="auto"/>
        <w:ind w:firstLine="560" w:firstLineChars="200"/>
        <w:rPr>
          <w:rFonts w:ascii="宋体" w:hAnsi="宋体"/>
          <w:sz w:val="28"/>
          <w:szCs w:val="28"/>
        </w:rPr>
      </w:pPr>
      <w:r>
        <w:rPr>
          <w:rFonts w:hint="eastAsia" w:ascii="宋体" w:hAnsi="宋体"/>
          <w:sz w:val="28"/>
          <w:szCs w:val="28"/>
        </w:rPr>
        <w:t>我局经费主要来源均是县本级财政预算安排。按照县要求，通过建立健全一系列内部管理办法和制度，一直坚持收支预算制度、民主理财制度、目标管理制度。在有限财力情况下，能保证机关正常运转，各项事业得到全面发展。</w:t>
      </w:r>
    </w:p>
    <w:p w14:paraId="04C536B3">
      <w:pPr>
        <w:spacing w:line="360" w:lineRule="auto"/>
        <w:ind w:firstLine="560" w:firstLineChars="200"/>
        <w:rPr>
          <w:rFonts w:ascii="宋体" w:hAnsi="宋体"/>
          <w:sz w:val="28"/>
          <w:szCs w:val="28"/>
        </w:rPr>
      </w:pPr>
      <w:r>
        <w:rPr>
          <w:rFonts w:hint="eastAsia" w:ascii="宋体" w:hAnsi="宋体"/>
          <w:sz w:val="28"/>
          <w:szCs w:val="28"/>
        </w:rPr>
        <w:t>财政财务管理：</w:t>
      </w:r>
    </w:p>
    <w:p w14:paraId="64DE937D">
      <w:pPr>
        <w:widowControl/>
        <w:shd w:val="clear" w:color="auto" w:fill="FFFFFF"/>
        <w:spacing w:line="360" w:lineRule="auto"/>
        <w:ind w:firstLine="562" w:firstLineChars="200"/>
        <w:rPr>
          <w:rFonts w:ascii="宋体" w:hAnsi="宋体" w:cs="宋体"/>
          <w:kern w:val="0"/>
          <w:sz w:val="28"/>
          <w:szCs w:val="28"/>
        </w:rPr>
      </w:pPr>
      <w:r>
        <w:rPr>
          <w:rFonts w:hint="eastAsia" w:ascii="宋体" w:hAnsi="宋体" w:cs="宋体"/>
          <w:b/>
          <w:kern w:val="0"/>
          <w:sz w:val="28"/>
          <w:szCs w:val="28"/>
        </w:rPr>
        <w:t>1、执行进度。</w:t>
      </w:r>
      <w:r>
        <w:rPr>
          <w:rFonts w:hint="eastAsia" w:ascii="宋体" w:hAnsi="宋体" w:cs="宋体"/>
          <w:kern w:val="0"/>
          <w:sz w:val="28"/>
          <w:szCs w:val="28"/>
        </w:rPr>
        <w:t>规章制度健全，会计核算规范，财务人员持证上岗。严格按照有关规定，加强对财政各项资金的监督管理，确保资金及时、足额到位，并做到专款专用，资金支付依据和开支标准合法合规，未出现截留和挤占挪用现象。按规定对财政拨付的专项资金进行自检自查，做好资金项目的使用效益管理工作，充分发挥各项资金的使用效益，财政各项专项工作按时高质量完成。</w:t>
      </w:r>
    </w:p>
    <w:p w14:paraId="41D42003">
      <w:pPr>
        <w:widowControl/>
        <w:shd w:val="clear" w:color="auto" w:fill="FFFFFF"/>
        <w:spacing w:line="360" w:lineRule="auto"/>
        <w:ind w:firstLine="562" w:firstLineChars="200"/>
        <w:rPr>
          <w:rFonts w:ascii="宋体" w:hAnsi="宋体" w:cs="宋体"/>
          <w:kern w:val="0"/>
          <w:sz w:val="28"/>
          <w:szCs w:val="28"/>
        </w:rPr>
      </w:pPr>
      <w:r>
        <w:rPr>
          <w:rFonts w:ascii="宋体" w:hAnsi="宋体" w:cs="宋体"/>
          <w:b/>
          <w:kern w:val="0"/>
          <w:sz w:val="28"/>
          <w:szCs w:val="28"/>
        </w:rPr>
        <w:t>2</w:t>
      </w:r>
      <w:r>
        <w:rPr>
          <w:rFonts w:hint="eastAsia" w:ascii="宋体" w:hAnsi="宋体" w:cs="宋体"/>
          <w:b/>
          <w:kern w:val="0"/>
          <w:sz w:val="28"/>
          <w:szCs w:val="28"/>
        </w:rPr>
        <w:t>、政府采购实施计划。</w:t>
      </w:r>
      <w:r>
        <w:rPr>
          <w:rFonts w:hint="eastAsia" w:ascii="宋体" w:hAnsi="宋体" w:cs="宋体"/>
          <w:kern w:val="0"/>
          <w:sz w:val="28"/>
          <w:szCs w:val="28"/>
        </w:rPr>
        <w:t>对需要经过政府采购的项目均进行了政府采购。</w:t>
      </w:r>
    </w:p>
    <w:p w14:paraId="7A4F4260">
      <w:pPr>
        <w:widowControl/>
        <w:shd w:val="clear" w:color="auto" w:fill="FFFFFF"/>
        <w:spacing w:line="360" w:lineRule="auto"/>
        <w:ind w:firstLine="562" w:firstLineChars="200"/>
        <w:rPr>
          <w:rFonts w:ascii="宋体" w:hAnsi="宋体" w:cs="宋体"/>
          <w:kern w:val="0"/>
          <w:sz w:val="28"/>
          <w:szCs w:val="28"/>
        </w:rPr>
      </w:pPr>
      <w:r>
        <w:rPr>
          <w:rFonts w:ascii="宋体" w:hAnsi="宋体" w:cs="宋体"/>
          <w:b/>
          <w:kern w:val="0"/>
          <w:sz w:val="28"/>
          <w:szCs w:val="28"/>
        </w:rPr>
        <w:t>3</w:t>
      </w:r>
      <w:r>
        <w:rPr>
          <w:rFonts w:hint="eastAsia" w:ascii="宋体" w:hAnsi="宋体" w:cs="宋体"/>
          <w:b/>
          <w:kern w:val="0"/>
          <w:sz w:val="28"/>
          <w:szCs w:val="28"/>
        </w:rPr>
        <w:t>、资产管理。</w:t>
      </w:r>
      <w:r>
        <w:rPr>
          <w:rFonts w:hint="eastAsia" w:ascii="宋体" w:hAnsi="宋体" w:cs="宋体"/>
          <w:kern w:val="0"/>
          <w:sz w:val="28"/>
          <w:szCs w:val="28"/>
        </w:rPr>
        <w:t>我局的国有资产均作了登记管理，建立资产登记台账，并落实专人负责，及时更新登记资产变动情况，定期对资产进行了盘点和清理，及时上报各类资产报表、数据，保障信息系统完整性。</w:t>
      </w:r>
    </w:p>
    <w:p w14:paraId="56741E4D">
      <w:pPr>
        <w:widowControl/>
        <w:shd w:val="clear" w:color="auto" w:fill="FFFFFF"/>
        <w:spacing w:line="360" w:lineRule="auto"/>
        <w:ind w:firstLine="562" w:firstLineChars="200"/>
        <w:rPr>
          <w:rFonts w:ascii="宋体" w:hAnsi="宋体" w:cs="宋体"/>
          <w:kern w:val="0"/>
          <w:sz w:val="28"/>
          <w:szCs w:val="28"/>
        </w:rPr>
      </w:pPr>
      <w:r>
        <w:rPr>
          <w:rFonts w:ascii="宋体" w:hAnsi="宋体" w:cs="宋体"/>
          <w:b/>
          <w:kern w:val="0"/>
          <w:sz w:val="28"/>
          <w:szCs w:val="28"/>
        </w:rPr>
        <w:t>4</w:t>
      </w:r>
      <w:r>
        <w:rPr>
          <w:rFonts w:hint="eastAsia" w:ascii="宋体" w:hAnsi="宋体" w:cs="宋体"/>
          <w:b/>
          <w:kern w:val="0"/>
          <w:sz w:val="28"/>
          <w:szCs w:val="28"/>
        </w:rPr>
        <w:t>、内控制度管理。</w:t>
      </w:r>
      <w:r>
        <w:rPr>
          <w:rFonts w:hint="eastAsia" w:ascii="宋体" w:hAnsi="宋体" w:cs="宋体"/>
          <w:kern w:val="0"/>
          <w:sz w:val="28"/>
          <w:szCs w:val="28"/>
        </w:rPr>
        <w:t>根据省、市、县财政部门有关财务规章的规定，我局制订了《新晃县财政局财务制度》、《新晃县财政局内部控制制度》，明确了经费审批权限及程序，经费预算、核算管理、资产购置与处置、财务监督等。针对“三公”经费的管理主要遵照省、市、县的要求，我局规范了公务用车、公务接待、公务出差的审批管理，严控“三公经费”支出。目前，上述制度规定基本得到执行。</w:t>
      </w:r>
    </w:p>
    <w:p w14:paraId="5BB56751">
      <w:pPr>
        <w:widowControl/>
        <w:shd w:val="clear" w:color="auto" w:fill="FFFFFF"/>
        <w:spacing w:line="360" w:lineRule="auto"/>
        <w:ind w:firstLine="562" w:firstLineChars="200"/>
        <w:rPr>
          <w:rFonts w:hint="eastAsia" w:ascii="宋体" w:hAnsi="宋体" w:cs="仿宋"/>
          <w:kern w:val="0"/>
          <w:sz w:val="28"/>
          <w:szCs w:val="28"/>
          <w:lang w:val="en-US" w:eastAsia="zh-CN"/>
        </w:rPr>
      </w:pPr>
      <w:r>
        <w:rPr>
          <w:rFonts w:ascii="宋体" w:hAnsi="宋体" w:cs="宋体"/>
          <w:b/>
          <w:kern w:val="0"/>
          <w:sz w:val="28"/>
          <w:szCs w:val="28"/>
        </w:rPr>
        <w:t>5</w:t>
      </w:r>
      <w:r>
        <w:rPr>
          <w:rFonts w:hint="eastAsia" w:ascii="宋体" w:hAnsi="宋体" w:cs="宋体"/>
          <w:b/>
          <w:kern w:val="0"/>
          <w:sz w:val="28"/>
          <w:szCs w:val="28"/>
        </w:rPr>
        <w:t>、信息公开。</w:t>
      </w:r>
      <w:r>
        <w:rPr>
          <w:rFonts w:hint="eastAsia" w:ascii="宋体" w:hAnsi="宋体" w:cs="仿宋"/>
          <w:kern w:val="0"/>
          <w:sz w:val="28"/>
          <w:szCs w:val="28"/>
          <w:lang w:val="en-US" w:eastAsia="zh-CN"/>
        </w:rPr>
        <w:t>2024</w:t>
      </w:r>
      <w:r>
        <w:rPr>
          <w:rFonts w:hint="eastAsia" w:ascii="宋体" w:hAnsi="宋体" w:cs="宋体"/>
          <w:kern w:val="0"/>
          <w:sz w:val="28"/>
          <w:szCs w:val="28"/>
        </w:rPr>
        <w:t>年预算编制情况，在各部门批复后都及时在新晃侗族自治县人民政府网对外公开，接受社会监督。部门整体支出绩效自评报告及其他按要求应公开的绩效信息均按要求对外公开，接受社会监督。</w:t>
      </w:r>
    </w:p>
    <w:p w14:paraId="204326BF">
      <w:pPr>
        <w:pStyle w:val="8"/>
        <w:numPr>
          <w:ilvl w:val="0"/>
          <w:numId w:val="0"/>
        </w:numPr>
        <w:spacing w:line="360" w:lineRule="auto"/>
        <w:ind w:left="560" w:leftChars="0"/>
        <w:rPr>
          <w:b/>
          <w:bCs/>
          <w:sz w:val="28"/>
          <w:szCs w:val="28"/>
        </w:rPr>
      </w:pPr>
      <w:r>
        <w:rPr>
          <w:rFonts w:hint="eastAsia"/>
          <w:b/>
          <w:bCs/>
          <w:sz w:val="28"/>
          <w:szCs w:val="28"/>
          <w:lang w:eastAsia="zh-CN"/>
        </w:rPr>
        <w:t>二、</w:t>
      </w:r>
      <w:r>
        <w:rPr>
          <w:rFonts w:hint="eastAsia"/>
          <w:b/>
          <w:bCs/>
          <w:sz w:val="28"/>
          <w:szCs w:val="28"/>
        </w:rPr>
        <w:t>部门（单位）整体支出绩效状况：</w:t>
      </w:r>
    </w:p>
    <w:p w14:paraId="3598FD3B">
      <w:pPr>
        <w:widowControl/>
        <w:spacing w:line="360" w:lineRule="auto"/>
        <w:ind w:firstLine="560" w:firstLineChars="200"/>
        <w:rPr>
          <w:rFonts w:ascii="宋体" w:hAnsi="宋体" w:cs="仿宋"/>
          <w:b/>
          <w:bCs/>
          <w:kern w:val="0"/>
          <w:sz w:val="28"/>
          <w:szCs w:val="28"/>
        </w:rPr>
      </w:pPr>
      <w:r>
        <w:rPr>
          <w:rFonts w:hint="eastAsia" w:ascii="宋体" w:hAnsi="宋体" w:cs="仿宋"/>
          <w:kern w:val="0"/>
          <w:sz w:val="28"/>
          <w:szCs w:val="28"/>
          <w:lang w:val="en-US" w:eastAsia="zh-CN"/>
        </w:rPr>
        <w:t>(</w:t>
      </w:r>
      <w:r>
        <w:rPr>
          <w:rFonts w:hint="eastAsia" w:ascii="宋体" w:hAnsi="宋体" w:cs="仿宋"/>
          <w:kern w:val="0"/>
          <w:sz w:val="28"/>
          <w:szCs w:val="28"/>
        </w:rPr>
        <w:t>一）、收入支出决算总体情况:</w:t>
      </w:r>
    </w:p>
    <w:p w14:paraId="08520609">
      <w:pPr>
        <w:widowControl/>
        <w:shd w:val="clear" w:color="auto" w:fill="FFFFFF"/>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2024年全年收入2537.74万元，其中财政拨款收入2537.74万元，占收入100%。</w:t>
      </w:r>
    </w:p>
    <w:p w14:paraId="18B800ED">
      <w:pPr>
        <w:widowControl/>
        <w:shd w:val="clear" w:color="auto" w:fill="FFFFFF"/>
        <w:spacing w:line="360" w:lineRule="auto"/>
        <w:ind w:firstLine="560" w:firstLineChars="200"/>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2024年全年支出22537.74万元，其中基本支出2468.25万元，项目支出69.49万元，本年无收支结转结余。</w:t>
      </w:r>
    </w:p>
    <w:p w14:paraId="5F140D2B">
      <w:pPr>
        <w:pStyle w:val="9"/>
        <w:numPr>
          <w:ilvl w:val="0"/>
          <w:numId w:val="2"/>
        </w:numPr>
        <w:spacing w:line="360" w:lineRule="auto"/>
        <w:ind w:firstLine="560" w:firstLineChars="200"/>
        <w:jc w:val="both"/>
        <w:rPr>
          <w:rFonts w:ascii="宋体" w:hAnsi="宋体" w:eastAsia="宋体" w:cs="仿宋"/>
          <w:sz w:val="28"/>
          <w:szCs w:val="28"/>
        </w:rPr>
      </w:pPr>
      <w:r>
        <w:rPr>
          <w:rFonts w:hint="eastAsia" w:ascii="宋体" w:hAnsi="宋体" w:eastAsia="宋体" w:cs="仿宋"/>
          <w:sz w:val="28"/>
          <w:szCs w:val="28"/>
        </w:rPr>
        <w:t>、支出具体情况：</w:t>
      </w:r>
    </w:p>
    <w:p w14:paraId="7F3886DA">
      <w:pPr>
        <w:pStyle w:val="9"/>
        <w:spacing w:line="360" w:lineRule="auto"/>
        <w:ind w:firstLine="560" w:firstLineChars="200"/>
        <w:jc w:val="both"/>
        <w:rPr>
          <w:rFonts w:hint="eastAsia" w:ascii="宋体" w:hAnsi="宋体" w:eastAsia="宋体"/>
          <w:sz w:val="28"/>
          <w:szCs w:val="28"/>
          <w:lang w:eastAsia="zh-CN"/>
        </w:rPr>
      </w:pPr>
      <w:r>
        <w:rPr>
          <w:rFonts w:hint="eastAsia" w:ascii="宋体" w:hAnsi="宋体" w:eastAsia="宋体"/>
          <w:sz w:val="28"/>
          <w:szCs w:val="28"/>
        </w:rPr>
        <w:t>1、</w:t>
      </w:r>
      <w:r>
        <w:rPr>
          <w:rFonts w:hint="eastAsia" w:ascii="宋体" w:hAnsi="宋体" w:cs="仿宋"/>
          <w:kern w:val="0"/>
          <w:sz w:val="28"/>
          <w:szCs w:val="28"/>
          <w:lang w:val="en-US" w:eastAsia="zh-CN"/>
        </w:rPr>
        <w:t>2024</w:t>
      </w:r>
      <w:r>
        <w:rPr>
          <w:rFonts w:hint="eastAsia" w:ascii="宋体" w:hAnsi="宋体" w:eastAsia="宋体"/>
          <w:sz w:val="28"/>
          <w:szCs w:val="28"/>
        </w:rPr>
        <w:t>年度财政拨款支出</w:t>
      </w:r>
      <w:r>
        <w:rPr>
          <w:rFonts w:hint="eastAsia" w:ascii="宋体" w:hAnsi="宋体" w:cs="仿宋"/>
          <w:kern w:val="0"/>
          <w:sz w:val="28"/>
          <w:szCs w:val="28"/>
          <w:lang w:val="en-US" w:eastAsia="zh-CN"/>
        </w:rPr>
        <w:t>2537.74万</w:t>
      </w:r>
      <w:r>
        <w:rPr>
          <w:rFonts w:hint="eastAsia" w:ascii="宋体" w:hAnsi="宋体" w:eastAsia="宋体"/>
          <w:sz w:val="28"/>
          <w:szCs w:val="28"/>
        </w:rPr>
        <w:t>元，主要用于以下方面：一般公共服务（类）支出</w:t>
      </w:r>
      <w:r>
        <w:rPr>
          <w:rFonts w:hint="eastAsia" w:ascii="宋体" w:hAnsi="宋体" w:eastAsia="宋体"/>
          <w:sz w:val="28"/>
          <w:szCs w:val="28"/>
          <w:lang w:val="en-US" w:eastAsia="zh-CN"/>
        </w:rPr>
        <w:t>2087.77万</w:t>
      </w:r>
      <w:r>
        <w:rPr>
          <w:rFonts w:hint="eastAsia" w:ascii="宋体" w:hAnsi="宋体" w:eastAsia="宋体"/>
          <w:sz w:val="28"/>
          <w:szCs w:val="28"/>
        </w:rPr>
        <w:t>元，占</w:t>
      </w:r>
      <w:r>
        <w:rPr>
          <w:rFonts w:hint="eastAsia" w:ascii="宋体" w:hAnsi="宋体" w:eastAsia="宋体"/>
          <w:sz w:val="28"/>
          <w:szCs w:val="28"/>
          <w:lang w:val="en-US" w:eastAsia="zh-CN"/>
        </w:rPr>
        <w:t>82.27</w:t>
      </w:r>
      <w:r>
        <w:rPr>
          <w:rFonts w:hint="eastAsia" w:ascii="宋体" w:hAnsi="宋体" w:eastAsia="宋体"/>
          <w:sz w:val="28"/>
          <w:szCs w:val="28"/>
        </w:rPr>
        <w:t>%；社会保障和就</w:t>
      </w:r>
      <w:r>
        <w:rPr>
          <w:rFonts w:hint="eastAsia" w:ascii="宋体" w:hAnsi="宋体" w:eastAsia="宋体"/>
          <w:sz w:val="28"/>
          <w:szCs w:val="28"/>
          <w:lang w:eastAsia="zh-CN"/>
        </w:rPr>
        <w:t>业</w:t>
      </w:r>
      <w:r>
        <w:rPr>
          <w:rFonts w:hint="eastAsia" w:ascii="宋体" w:hAnsi="宋体" w:eastAsia="宋体"/>
          <w:sz w:val="28"/>
          <w:szCs w:val="28"/>
        </w:rPr>
        <w:t>支出</w:t>
      </w:r>
      <w:r>
        <w:rPr>
          <w:rFonts w:hint="eastAsia" w:ascii="宋体" w:hAnsi="宋体" w:eastAsia="宋体"/>
          <w:sz w:val="28"/>
          <w:szCs w:val="28"/>
          <w:lang w:val="en-US" w:eastAsia="zh-CN"/>
        </w:rPr>
        <w:t>279.82万</w:t>
      </w:r>
      <w:r>
        <w:rPr>
          <w:rFonts w:hint="eastAsia" w:ascii="宋体" w:hAnsi="宋体" w:eastAsia="宋体"/>
          <w:sz w:val="28"/>
          <w:szCs w:val="28"/>
        </w:rPr>
        <w:t>元，占</w:t>
      </w:r>
      <w:r>
        <w:rPr>
          <w:rFonts w:hint="eastAsia" w:ascii="宋体" w:hAnsi="宋体" w:eastAsia="宋体"/>
          <w:sz w:val="28"/>
          <w:szCs w:val="28"/>
          <w:lang w:val="en-US" w:eastAsia="zh-CN"/>
        </w:rPr>
        <w:t>11.03</w:t>
      </w:r>
      <w:r>
        <w:rPr>
          <w:rFonts w:hint="eastAsia" w:ascii="宋体" w:hAnsi="宋体" w:eastAsia="宋体"/>
          <w:sz w:val="28"/>
          <w:szCs w:val="28"/>
        </w:rPr>
        <w:t>%；卫生健康支出</w:t>
      </w:r>
      <w:r>
        <w:rPr>
          <w:rFonts w:hint="eastAsia" w:ascii="宋体" w:hAnsi="宋体" w:eastAsia="宋体"/>
          <w:sz w:val="28"/>
          <w:szCs w:val="28"/>
          <w:lang w:val="en-US" w:eastAsia="zh-CN"/>
        </w:rPr>
        <w:t>72.3万</w:t>
      </w:r>
      <w:r>
        <w:rPr>
          <w:rFonts w:hint="eastAsia" w:ascii="宋体" w:hAnsi="宋体" w:eastAsia="宋体"/>
          <w:sz w:val="28"/>
          <w:szCs w:val="28"/>
        </w:rPr>
        <w:t>元，占</w:t>
      </w:r>
      <w:r>
        <w:rPr>
          <w:rFonts w:hint="eastAsia" w:ascii="宋体" w:hAnsi="宋体" w:eastAsia="宋体"/>
          <w:sz w:val="28"/>
          <w:szCs w:val="28"/>
          <w:lang w:val="en-US" w:eastAsia="zh-CN"/>
        </w:rPr>
        <w:t>2.85</w:t>
      </w:r>
      <w:r>
        <w:rPr>
          <w:rFonts w:hint="eastAsia" w:ascii="宋体" w:hAnsi="宋体" w:eastAsia="宋体"/>
          <w:sz w:val="28"/>
          <w:szCs w:val="28"/>
        </w:rPr>
        <w:t>%；</w:t>
      </w:r>
      <w:r>
        <w:rPr>
          <w:rFonts w:hint="eastAsia" w:ascii="宋体" w:hAnsi="宋体" w:eastAsia="宋体"/>
          <w:sz w:val="28"/>
          <w:szCs w:val="28"/>
          <w:lang w:eastAsia="zh-CN"/>
        </w:rPr>
        <w:t>住房保障</w:t>
      </w:r>
      <w:r>
        <w:rPr>
          <w:rFonts w:hint="eastAsia" w:ascii="宋体" w:hAnsi="宋体" w:eastAsia="宋体"/>
          <w:sz w:val="28"/>
          <w:szCs w:val="28"/>
        </w:rPr>
        <w:t>支出</w:t>
      </w:r>
      <w:r>
        <w:rPr>
          <w:rFonts w:hint="eastAsia" w:ascii="宋体" w:hAnsi="宋体" w:eastAsia="宋体"/>
          <w:sz w:val="28"/>
          <w:szCs w:val="28"/>
          <w:lang w:val="en-US" w:eastAsia="zh-CN"/>
        </w:rPr>
        <w:t>97.85万</w:t>
      </w:r>
      <w:r>
        <w:rPr>
          <w:rFonts w:hint="eastAsia" w:ascii="宋体" w:hAnsi="宋体" w:eastAsia="宋体"/>
          <w:sz w:val="28"/>
          <w:szCs w:val="28"/>
        </w:rPr>
        <w:t>元，占</w:t>
      </w:r>
      <w:r>
        <w:rPr>
          <w:rFonts w:hint="eastAsia" w:ascii="宋体" w:hAnsi="宋体" w:eastAsia="宋体"/>
          <w:sz w:val="28"/>
          <w:szCs w:val="28"/>
          <w:lang w:val="en-US" w:eastAsia="zh-CN"/>
        </w:rPr>
        <w:t>3.85</w:t>
      </w:r>
      <w:r>
        <w:rPr>
          <w:rFonts w:hint="eastAsia" w:ascii="宋体" w:hAnsi="宋体" w:eastAsia="宋体"/>
          <w:sz w:val="28"/>
          <w:szCs w:val="28"/>
        </w:rPr>
        <w:t>%</w:t>
      </w:r>
      <w:r>
        <w:rPr>
          <w:rFonts w:hint="eastAsia" w:ascii="宋体" w:hAnsi="宋体" w:eastAsia="宋体"/>
          <w:sz w:val="28"/>
          <w:szCs w:val="28"/>
          <w:lang w:eastAsia="zh-CN"/>
        </w:rPr>
        <w:t>。</w:t>
      </w:r>
    </w:p>
    <w:p w14:paraId="5976D59B">
      <w:pPr>
        <w:spacing w:line="360" w:lineRule="auto"/>
        <w:ind w:firstLine="560" w:firstLineChars="200"/>
        <w:rPr>
          <w:rFonts w:ascii="宋体" w:hAnsi="宋体" w:cs="宋体"/>
          <w:sz w:val="28"/>
          <w:szCs w:val="28"/>
        </w:rPr>
      </w:pPr>
      <w:r>
        <w:rPr>
          <w:rFonts w:hint="eastAsia" w:ascii="宋体" w:hAnsi="宋体" w:cs="宋体"/>
          <w:sz w:val="28"/>
          <w:szCs w:val="28"/>
        </w:rPr>
        <w:t>2、三公经费开支按厉行节约政策基本保持在控制数以内，没有超支。</w:t>
      </w:r>
    </w:p>
    <w:p w14:paraId="4D973ED3">
      <w:pPr>
        <w:pStyle w:val="8"/>
        <w:numPr>
          <w:ilvl w:val="0"/>
          <w:numId w:val="0"/>
        </w:numPr>
        <w:spacing w:line="360" w:lineRule="auto"/>
        <w:ind w:left="560" w:leftChars="0"/>
        <w:rPr>
          <w:b/>
          <w:bCs/>
          <w:sz w:val="28"/>
          <w:szCs w:val="28"/>
        </w:rPr>
      </w:pPr>
      <w:r>
        <w:rPr>
          <w:rFonts w:hint="eastAsia"/>
          <w:b/>
          <w:bCs/>
          <w:sz w:val="28"/>
          <w:szCs w:val="28"/>
          <w:lang w:eastAsia="zh-CN"/>
        </w:rPr>
        <w:t>三、</w:t>
      </w:r>
      <w:r>
        <w:rPr>
          <w:rFonts w:hint="eastAsia"/>
          <w:b/>
          <w:bCs/>
          <w:sz w:val="28"/>
          <w:szCs w:val="28"/>
        </w:rPr>
        <w:t>存在的问题及原因：</w:t>
      </w:r>
    </w:p>
    <w:p w14:paraId="375DE8F2">
      <w:pPr>
        <w:widowControl/>
        <w:shd w:val="clear" w:color="auto" w:fill="FFFFFF"/>
        <w:spacing w:line="360" w:lineRule="auto"/>
        <w:ind w:firstLine="560" w:firstLineChars="200"/>
        <w:rPr>
          <w:rFonts w:ascii="宋体" w:hAnsi="宋体" w:cs="宋体"/>
          <w:color w:val="auto"/>
          <w:kern w:val="0"/>
          <w:sz w:val="28"/>
          <w:szCs w:val="28"/>
          <w:shd w:val="clear" w:color="auto" w:fill="FFFFFF"/>
        </w:rPr>
      </w:pPr>
      <w:r>
        <w:rPr>
          <w:rFonts w:hint="eastAsia" w:ascii="宋体" w:hAnsi="宋体" w:cs="宋体"/>
          <w:color w:val="000000"/>
          <w:kern w:val="0"/>
          <w:sz w:val="28"/>
          <w:szCs w:val="28"/>
          <w:shd w:val="clear" w:color="auto" w:fill="FFFFFF"/>
        </w:rPr>
        <w:t>1、</w:t>
      </w:r>
      <w:r>
        <w:rPr>
          <w:rFonts w:hint="eastAsia" w:ascii="宋体" w:hAnsi="宋体" w:cs="宋体"/>
          <w:color w:val="auto"/>
          <w:kern w:val="0"/>
          <w:sz w:val="28"/>
          <w:szCs w:val="28"/>
          <w:shd w:val="clear" w:color="auto" w:fill="FFFFFF"/>
        </w:rPr>
        <w:t>从</w:t>
      </w:r>
      <w:r>
        <w:rPr>
          <w:rFonts w:hint="eastAsia" w:ascii="宋体" w:hAnsi="宋体" w:cs="仿宋"/>
          <w:color w:val="auto"/>
          <w:kern w:val="0"/>
          <w:sz w:val="28"/>
          <w:szCs w:val="28"/>
          <w:lang w:val="en-US" w:eastAsia="zh-CN"/>
        </w:rPr>
        <w:t>2024</w:t>
      </w:r>
      <w:r>
        <w:rPr>
          <w:rFonts w:hint="eastAsia" w:ascii="宋体" w:hAnsi="宋体" w:cs="宋体"/>
          <w:color w:val="auto"/>
          <w:kern w:val="0"/>
          <w:sz w:val="28"/>
          <w:szCs w:val="28"/>
          <w:shd w:val="clear" w:color="auto" w:fill="FFFFFF"/>
        </w:rPr>
        <w:t>年账务支出结构分析，基本支出的</w:t>
      </w:r>
      <w:r>
        <w:rPr>
          <w:rFonts w:hint="eastAsia" w:ascii="宋体" w:hAnsi="宋体" w:cs="宋体"/>
          <w:color w:val="auto"/>
          <w:kern w:val="0"/>
          <w:sz w:val="28"/>
          <w:szCs w:val="28"/>
          <w:shd w:val="clear" w:color="auto" w:fill="FFFFFF"/>
          <w:lang w:val="en-US" w:eastAsia="zh-CN"/>
        </w:rPr>
        <w:t>75.07</w:t>
      </w:r>
      <w:r>
        <w:rPr>
          <w:rFonts w:hint="eastAsia" w:ascii="宋体" w:hAnsi="宋体" w:cs="宋体"/>
          <w:color w:val="auto"/>
          <w:kern w:val="0"/>
          <w:sz w:val="28"/>
          <w:szCs w:val="28"/>
        </w:rPr>
        <w:t>%</w:t>
      </w:r>
      <w:r>
        <w:rPr>
          <w:rFonts w:hint="eastAsia" w:ascii="宋体" w:hAnsi="宋体" w:cs="宋体"/>
          <w:color w:val="auto"/>
          <w:kern w:val="0"/>
          <w:sz w:val="28"/>
          <w:szCs w:val="28"/>
          <w:shd w:val="clear" w:color="auto" w:fill="FFFFFF"/>
        </w:rPr>
        <w:t>为人员支出。由于财政下拨的年初预算只按平均每人每年1.5万元的标准安排单位人头经费，远远小于人员支出以及公用支出的刚性需求，必须使用财政的其他拨款弥补人员支出。</w:t>
      </w:r>
    </w:p>
    <w:p w14:paraId="0FF293E9">
      <w:pPr>
        <w:widowControl/>
        <w:shd w:val="clear" w:color="auto" w:fill="FFFFFF"/>
        <w:spacing w:line="360" w:lineRule="auto"/>
        <w:ind w:firstLine="560" w:firstLineChars="200"/>
        <w:rPr>
          <w:rFonts w:ascii="宋体" w:hAnsi="宋体" w:cs="宋体"/>
          <w:color w:val="000000"/>
          <w:kern w:val="0"/>
          <w:sz w:val="28"/>
          <w:szCs w:val="28"/>
        </w:rPr>
      </w:pPr>
      <w:r>
        <w:rPr>
          <w:rFonts w:hint="eastAsia" w:ascii="宋体" w:hAnsi="宋体" w:cs="宋体"/>
          <w:color w:val="000000"/>
          <w:kern w:val="0"/>
          <w:sz w:val="28"/>
          <w:szCs w:val="28"/>
          <w:shd w:val="clear" w:color="auto" w:fill="FFFFFF"/>
        </w:rPr>
        <w:t>2、由于单位人员变动较大，固定资产使用人交接程序存在不规范的情况，造成固定资产的登记、管理不便，资产管理需要加强。</w:t>
      </w:r>
    </w:p>
    <w:p w14:paraId="09BFD21C">
      <w:pPr>
        <w:pStyle w:val="8"/>
        <w:numPr>
          <w:ilvl w:val="0"/>
          <w:numId w:val="0"/>
        </w:numPr>
        <w:spacing w:line="360" w:lineRule="auto"/>
        <w:ind w:left="560" w:leftChars="0"/>
        <w:rPr>
          <w:b/>
          <w:bCs/>
          <w:sz w:val="28"/>
          <w:szCs w:val="28"/>
        </w:rPr>
      </w:pPr>
      <w:r>
        <w:rPr>
          <w:rFonts w:hint="eastAsia"/>
          <w:b/>
          <w:bCs/>
          <w:sz w:val="28"/>
          <w:szCs w:val="28"/>
          <w:lang w:eastAsia="zh-CN"/>
        </w:rPr>
        <w:t>四、</w:t>
      </w:r>
      <w:r>
        <w:rPr>
          <w:rFonts w:hint="eastAsia"/>
          <w:b/>
          <w:bCs/>
          <w:sz w:val="28"/>
          <w:szCs w:val="28"/>
        </w:rPr>
        <w:t>提高财政资金绩效的措施与建议：</w:t>
      </w:r>
    </w:p>
    <w:p w14:paraId="3B6ED08E">
      <w:pPr>
        <w:spacing w:line="360" w:lineRule="auto"/>
        <w:ind w:firstLine="560" w:firstLineChars="200"/>
        <w:rPr>
          <w:rFonts w:ascii="宋体" w:hAnsi="宋体"/>
          <w:kern w:val="0"/>
          <w:sz w:val="28"/>
          <w:szCs w:val="28"/>
        </w:rPr>
      </w:pPr>
      <w:r>
        <w:rPr>
          <w:rFonts w:hint="eastAsia" w:ascii="宋体" w:hAnsi="宋体"/>
          <w:kern w:val="0"/>
          <w:sz w:val="28"/>
          <w:szCs w:val="28"/>
        </w:rPr>
        <w:t>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14:paraId="76614113">
      <w:pPr>
        <w:spacing w:line="360" w:lineRule="auto"/>
        <w:ind w:firstLine="560" w:firstLineChars="200"/>
        <w:rPr>
          <w:rFonts w:ascii="宋体" w:hAnsi="宋体"/>
          <w:kern w:val="0"/>
          <w:sz w:val="28"/>
          <w:szCs w:val="28"/>
        </w:rPr>
      </w:pPr>
      <w:r>
        <w:rPr>
          <w:rFonts w:hint="eastAsia" w:ascii="宋体" w:hAnsi="宋体"/>
          <w:kern w:val="0"/>
          <w:sz w:val="28"/>
          <w:szCs w:val="28"/>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14:paraId="63593640">
      <w:pPr>
        <w:pStyle w:val="8"/>
        <w:numPr>
          <w:ilvl w:val="0"/>
          <w:numId w:val="0"/>
        </w:numPr>
        <w:spacing w:line="360" w:lineRule="auto"/>
        <w:ind w:left="560" w:leftChars="0"/>
        <w:rPr>
          <w:b/>
          <w:bCs/>
          <w:sz w:val="28"/>
          <w:szCs w:val="28"/>
        </w:rPr>
      </w:pPr>
      <w:r>
        <w:rPr>
          <w:rFonts w:hint="eastAsia"/>
          <w:b/>
          <w:bCs/>
          <w:sz w:val="28"/>
          <w:szCs w:val="28"/>
          <w:lang w:eastAsia="zh-CN"/>
        </w:rPr>
        <w:t>五、</w:t>
      </w:r>
      <w:r>
        <w:rPr>
          <w:rFonts w:hint="eastAsia"/>
          <w:b/>
          <w:bCs/>
          <w:sz w:val="28"/>
          <w:szCs w:val="28"/>
        </w:rPr>
        <w:t>附件（佐证依据）</w:t>
      </w:r>
    </w:p>
    <w:p w14:paraId="276E1007">
      <w:pPr>
        <w:pStyle w:val="8"/>
        <w:spacing w:line="360" w:lineRule="auto"/>
        <w:rPr>
          <w:rFonts w:ascii="宋体" w:hAnsi="宋体"/>
          <w:kern w:val="0"/>
          <w:sz w:val="28"/>
          <w:szCs w:val="28"/>
        </w:rPr>
      </w:pPr>
      <w:r>
        <w:rPr>
          <w:rFonts w:hint="eastAsia" w:ascii="宋体" w:hAnsi="宋体"/>
          <w:kern w:val="0"/>
          <w:sz w:val="28"/>
          <w:szCs w:val="28"/>
        </w:rPr>
        <w:t>无</w:t>
      </w:r>
    </w:p>
    <w:p w14:paraId="7141A0A4">
      <w:pPr>
        <w:spacing w:line="360" w:lineRule="auto"/>
        <w:ind w:right="840"/>
        <w:jc w:val="right"/>
        <w:rPr>
          <w:rFonts w:hint="eastAsia" w:eastAsia="宋体"/>
          <w:sz w:val="28"/>
          <w:szCs w:val="28"/>
          <w:lang w:eastAsia="zh-CN"/>
        </w:rPr>
      </w:pPr>
      <w:r>
        <w:rPr>
          <w:rFonts w:hint="eastAsia"/>
          <w:sz w:val="28"/>
          <w:szCs w:val="28"/>
          <w:lang w:val="en-US" w:eastAsia="zh-CN"/>
        </w:rPr>
        <w:t xml:space="preserve">   </w:t>
      </w:r>
      <w:r>
        <w:rPr>
          <w:rFonts w:hint="eastAsia"/>
          <w:sz w:val="28"/>
          <w:szCs w:val="28"/>
          <w:lang w:eastAsia="zh-CN"/>
        </w:rPr>
        <w:t>新晃侗族自治县财政局</w:t>
      </w:r>
    </w:p>
    <w:p w14:paraId="64E2B106">
      <w:pPr>
        <w:spacing w:line="360" w:lineRule="auto"/>
        <w:jc w:val="center"/>
        <w:rPr>
          <w:sz w:val="28"/>
          <w:szCs w:val="28"/>
        </w:rPr>
      </w:pPr>
      <w:r>
        <w:rPr>
          <w:rFonts w:hint="eastAsia"/>
          <w:sz w:val="28"/>
          <w:szCs w:val="28"/>
          <w:lang w:val="en-US" w:eastAsia="zh-CN"/>
        </w:rPr>
        <w:t xml:space="preserve">                           2025</w:t>
      </w:r>
      <w:r>
        <w:rPr>
          <w:rFonts w:hint="eastAsia"/>
          <w:sz w:val="28"/>
          <w:szCs w:val="28"/>
        </w:rPr>
        <w:t xml:space="preserve">年 </w:t>
      </w:r>
      <w:r>
        <w:rPr>
          <w:rFonts w:hint="eastAsia"/>
          <w:sz w:val="28"/>
          <w:szCs w:val="28"/>
          <w:lang w:val="en-US" w:eastAsia="zh-CN"/>
        </w:rPr>
        <w:t>4</w:t>
      </w:r>
      <w:r>
        <w:rPr>
          <w:rFonts w:hint="eastAsia"/>
          <w:sz w:val="28"/>
          <w:szCs w:val="28"/>
        </w:rPr>
        <w:t>月</w:t>
      </w:r>
      <w:r>
        <w:rPr>
          <w:sz w:val="28"/>
          <w:szCs w:val="28"/>
        </w:rPr>
        <w:t xml:space="preserve"> </w:t>
      </w:r>
      <w:r>
        <w:rPr>
          <w:rFonts w:hint="eastAsia"/>
          <w:sz w:val="28"/>
          <w:szCs w:val="28"/>
          <w:lang w:val="en-US" w:eastAsia="zh-CN"/>
        </w:rPr>
        <w:t>10</w:t>
      </w:r>
      <w:r>
        <w:rPr>
          <w:sz w:val="28"/>
          <w:szCs w:val="28"/>
        </w:rPr>
        <w:t xml:space="preserve"> </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B691EB"/>
    <w:multiLevelType w:val="singleLevel"/>
    <w:tmpl w:val="3FB691EB"/>
    <w:lvl w:ilvl="0" w:tentative="0">
      <w:start w:val="2"/>
      <w:numFmt w:val="chineseCounting"/>
      <w:suff w:val="nothing"/>
      <w:lvlText w:val="（%1）"/>
      <w:lvlJc w:val="left"/>
      <w:rPr>
        <w:rFonts w:hint="eastAsia"/>
      </w:rPr>
    </w:lvl>
  </w:abstractNum>
  <w:abstractNum w:abstractNumId="1">
    <w:nsid w:val="571D48B9"/>
    <w:multiLevelType w:val="multilevel"/>
    <w:tmpl w:val="571D48B9"/>
    <w:lvl w:ilvl="0" w:tentative="0">
      <w:start w:val="1"/>
      <w:numFmt w:val="japaneseCounting"/>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3ZTRmNjYyMzU0ZDEzNDYwOWI2YjM2OTAwMzBkMGIifQ=="/>
  </w:docVars>
  <w:rsids>
    <w:rsidRoot w:val="009440A8"/>
    <w:rsid w:val="00000115"/>
    <w:rsid w:val="00065C7C"/>
    <w:rsid w:val="000810AC"/>
    <w:rsid w:val="000A6AEC"/>
    <w:rsid w:val="0010728A"/>
    <w:rsid w:val="00142798"/>
    <w:rsid w:val="00143BE8"/>
    <w:rsid w:val="00176834"/>
    <w:rsid w:val="00196228"/>
    <w:rsid w:val="00197289"/>
    <w:rsid w:val="0021075E"/>
    <w:rsid w:val="002244E6"/>
    <w:rsid w:val="0023734B"/>
    <w:rsid w:val="002500B0"/>
    <w:rsid w:val="00250FBD"/>
    <w:rsid w:val="00251241"/>
    <w:rsid w:val="00266CB2"/>
    <w:rsid w:val="0027545D"/>
    <w:rsid w:val="002A4C23"/>
    <w:rsid w:val="002E31F4"/>
    <w:rsid w:val="002F0B75"/>
    <w:rsid w:val="003041A3"/>
    <w:rsid w:val="00351690"/>
    <w:rsid w:val="00365415"/>
    <w:rsid w:val="003E60B7"/>
    <w:rsid w:val="00423EC6"/>
    <w:rsid w:val="00474B2C"/>
    <w:rsid w:val="00474FD9"/>
    <w:rsid w:val="0047787B"/>
    <w:rsid w:val="004B61B4"/>
    <w:rsid w:val="004F5EA4"/>
    <w:rsid w:val="005245C5"/>
    <w:rsid w:val="0053543A"/>
    <w:rsid w:val="00537E34"/>
    <w:rsid w:val="00575CF6"/>
    <w:rsid w:val="00576870"/>
    <w:rsid w:val="005834CB"/>
    <w:rsid w:val="005D2CA8"/>
    <w:rsid w:val="005D5A67"/>
    <w:rsid w:val="005F569F"/>
    <w:rsid w:val="0060732D"/>
    <w:rsid w:val="006948A2"/>
    <w:rsid w:val="006C4B38"/>
    <w:rsid w:val="006F0650"/>
    <w:rsid w:val="006F6BBE"/>
    <w:rsid w:val="00740C19"/>
    <w:rsid w:val="0076168A"/>
    <w:rsid w:val="007D530D"/>
    <w:rsid w:val="007E4A61"/>
    <w:rsid w:val="007F73C2"/>
    <w:rsid w:val="008031E6"/>
    <w:rsid w:val="008472E6"/>
    <w:rsid w:val="00856BF4"/>
    <w:rsid w:val="008911B8"/>
    <w:rsid w:val="008A5789"/>
    <w:rsid w:val="008C1DB8"/>
    <w:rsid w:val="008C4807"/>
    <w:rsid w:val="008E0E7D"/>
    <w:rsid w:val="008F23B6"/>
    <w:rsid w:val="009014FD"/>
    <w:rsid w:val="0090359A"/>
    <w:rsid w:val="00911485"/>
    <w:rsid w:val="009440A8"/>
    <w:rsid w:val="0094648C"/>
    <w:rsid w:val="009575A4"/>
    <w:rsid w:val="00962CA5"/>
    <w:rsid w:val="009911FF"/>
    <w:rsid w:val="009B47A4"/>
    <w:rsid w:val="009D2FD3"/>
    <w:rsid w:val="009D797A"/>
    <w:rsid w:val="009E54BA"/>
    <w:rsid w:val="009F5CBB"/>
    <w:rsid w:val="00A22BD2"/>
    <w:rsid w:val="00A26712"/>
    <w:rsid w:val="00A26CDA"/>
    <w:rsid w:val="00A347C4"/>
    <w:rsid w:val="00A37A41"/>
    <w:rsid w:val="00AB6EB8"/>
    <w:rsid w:val="00AE045A"/>
    <w:rsid w:val="00AE1D44"/>
    <w:rsid w:val="00AE2296"/>
    <w:rsid w:val="00B15588"/>
    <w:rsid w:val="00B24523"/>
    <w:rsid w:val="00B73C3A"/>
    <w:rsid w:val="00B77C2B"/>
    <w:rsid w:val="00BA2886"/>
    <w:rsid w:val="00BA37B3"/>
    <w:rsid w:val="00BA495F"/>
    <w:rsid w:val="00BF4B97"/>
    <w:rsid w:val="00C815AC"/>
    <w:rsid w:val="00CB4555"/>
    <w:rsid w:val="00CC3969"/>
    <w:rsid w:val="00CE11FA"/>
    <w:rsid w:val="00D5262A"/>
    <w:rsid w:val="00D80BFD"/>
    <w:rsid w:val="00DB0DFA"/>
    <w:rsid w:val="00DE1564"/>
    <w:rsid w:val="00E148BF"/>
    <w:rsid w:val="00E6596B"/>
    <w:rsid w:val="00E81D8D"/>
    <w:rsid w:val="00EB7643"/>
    <w:rsid w:val="00EE4334"/>
    <w:rsid w:val="00EE6536"/>
    <w:rsid w:val="00F14634"/>
    <w:rsid w:val="00F26802"/>
    <w:rsid w:val="00F32716"/>
    <w:rsid w:val="00F811AF"/>
    <w:rsid w:val="00F91CC2"/>
    <w:rsid w:val="00F97EEC"/>
    <w:rsid w:val="00FC2568"/>
    <w:rsid w:val="07744195"/>
    <w:rsid w:val="1BA75662"/>
    <w:rsid w:val="36DB5515"/>
    <w:rsid w:val="3A9F26D4"/>
    <w:rsid w:val="3CCD3CFD"/>
    <w:rsid w:val="4A17294E"/>
    <w:rsid w:val="50DF781F"/>
    <w:rsid w:val="52362F3F"/>
    <w:rsid w:val="55661A6A"/>
    <w:rsid w:val="566D5ACE"/>
    <w:rsid w:val="566D7947"/>
    <w:rsid w:val="5C211809"/>
    <w:rsid w:val="63973532"/>
    <w:rsid w:val="6F465233"/>
    <w:rsid w:val="727D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2760</Words>
  <Characters>2892</Characters>
  <Lines>22</Lines>
  <Paragraphs>6</Paragraphs>
  <TotalTime>11</TotalTime>
  <ScaleCrop>false</ScaleCrop>
  <LinksUpToDate>false</LinksUpToDate>
  <CharactersWithSpaces>2939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2020-09-21T01:37:00Z</dcterms:created>
  <dc:creator>Administrator</dc:creator>
  <cp:lastModifiedBy>Administrator</cp:lastModifiedBy>
  <cp:lastPrinted>2022-05-16T03:14:00Z</cp:lastPrinted>
  <dcterms:modified xsi:type="dcterms:W3CDTF">2025-04-10T03:45:29Z</dcterms:modified>
  <cp:revision>445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40444611665B4B39AB9C8B76922BCBC9</vt:lpwstr>
  </property>
  <property fmtid="{D5CDD505-2E9C-101B-9397-08002B2CF9AE}" pid="4" name="KSOTemplateDocerSaveRecord">
    <vt:lpwstr>eyJoZGlkIjoiMjBlZmE5OWUzMDkzMjA4ZjQ5ODQxNjJkZWNhYzMyMTcifQ==</vt:lpwstr>
  </property>
</Properties>
</file>