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4E230">
      <w:pPr>
        <w:spacing w:line="600" w:lineRule="exact"/>
        <w:ind w:left="0"/>
        <w:jc w:val="left"/>
        <w:rPr>
          <w:rFonts w:hint="eastAsia" w:eastAsia="仿宋_GB2312"/>
          <w:b/>
          <w:sz w:val="28"/>
          <w:szCs w:val="28"/>
        </w:rPr>
      </w:pPr>
      <w:r>
        <w:rPr>
          <w:rFonts w:hint="eastAsia" w:ascii="仿宋_GB2312" w:hAnsi="仿宋_GB2312" w:eastAsia="仿宋_GB2312" w:cs="仿宋_GB2312"/>
          <w:b/>
          <w:sz w:val="28"/>
          <w:szCs w:val="28"/>
        </w:rPr>
        <w:t>附件1-2</w:t>
      </w:r>
    </w:p>
    <w:p w14:paraId="6CC8A945">
      <w:pPr>
        <w:spacing w:line="500" w:lineRule="exact"/>
        <w:jc w:val="center"/>
        <w:rPr>
          <w:rFonts w:hint="eastAsia"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u w:val="single"/>
          <w:lang w:eastAsia="zh-CN"/>
        </w:rPr>
        <w:t>鱼市镇晏家完全小学学校</w:t>
      </w:r>
      <w:r>
        <w:rPr>
          <w:rFonts w:ascii="宋体" w:hAnsi="宋体"/>
          <w:b/>
          <w:w w:val="85"/>
          <w:sz w:val="36"/>
          <w:szCs w:val="36"/>
        </w:rPr>
        <w:t>部门（单位）整体支出绩效</w:t>
      </w:r>
      <w:r>
        <w:rPr>
          <w:rFonts w:hint="eastAsia" w:ascii="宋体" w:hAnsi="宋体"/>
          <w:b/>
          <w:w w:val="85"/>
          <w:sz w:val="36"/>
          <w:szCs w:val="36"/>
        </w:rPr>
        <w:t>自评表</w:t>
      </w:r>
    </w:p>
    <w:tbl>
      <w:tblPr>
        <w:tblStyle w:val="6"/>
        <w:tblW w:w="1441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79"/>
        <w:gridCol w:w="1179"/>
        <w:gridCol w:w="1226"/>
        <w:gridCol w:w="701"/>
        <w:gridCol w:w="4750"/>
        <w:gridCol w:w="3123"/>
        <w:gridCol w:w="1693"/>
        <w:gridCol w:w="666"/>
      </w:tblGrid>
      <w:tr w14:paraId="720F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Header/>
          <w:tblCellSpacing w:w="0" w:type="dxa"/>
          <w:jc w:val="center"/>
        </w:trPr>
        <w:tc>
          <w:tcPr>
            <w:tcW w:w="1079" w:type="dxa"/>
            <w:noWrap w:val="0"/>
            <w:tcMar>
              <w:top w:w="0" w:type="dxa"/>
              <w:left w:w="105" w:type="dxa"/>
              <w:bottom w:w="0" w:type="dxa"/>
              <w:right w:w="105" w:type="dxa"/>
            </w:tcMar>
            <w:vAlign w:val="center"/>
          </w:tcPr>
          <w:p w14:paraId="39ED9D96">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一级指标</w:t>
            </w:r>
          </w:p>
        </w:tc>
        <w:tc>
          <w:tcPr>
            <w:tcW w:w="1179" w:type="dxa"/>
            <w:noWrap w:val="0"/>
            <w:tcMar>
              <w:top w:w="0" w:type="dxa"/>
              <w:left w:w="105" w:type="dxa"/>
              <w:bottom w:w="0" w:type="dxa"/>
              <w:right w:w="105" w:type="dxa"/>
            </w:tcMar>
            <w:vAlign w:val="center"/>
          </w:tcPr>
          <w:p w14:paraId="649CB8DD">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二级指标</w:t>
            </w:r>
          </w:p>
        </w:tc>
        <w:tc>
          <w:tcPr>
            <w:tcW w:w="1226" w:type="dxa"/>
            <w:noWrap w:val="0"/>
            <w:tcMar>
              <w:top w:w="0" w:type="dxa"/>
              <w:left w:w="105" w:type="dxa"/>
              <w:bottom w:w="0" w:type="dxa"/>
              <w:right w:w="105" w:type="dxa"/>
            </w:tcMar>
            <w:vAlign w:val="center"/>
          </w:tcPr>
          <w:p w14:paraId="1DC3C99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三级指标</w:t>
            </w:r>
          </w:p>
        </w:tc>
        <w:tc>
          <w:tcPr>
            <w:tcW w:w="701" w:type="dxa"/>
            <w:noWrap w:val="0"/>
            <w:tcMar>
              <w:top w:w="0" w:type="dxa"/>
              <w:left w:w="105" w:type="dxa"/>
              <w:bottom w:w="0" w:type="dxa"/>
              <w:right w:w="105" w:type="dxa"/>
            </w:tcMar>
            <w:vAlign w:val="center"/>
          </w:tcPr>
          <w:p w14:paraId="5B84AF5A">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分值</w:t>
            </w:r>
          </w:p>
        </w:tc>
        <w:tc>
          <w:tcPr>
            <w:tcW w:w="4750" w:type="dxa"/>
            <w:noWrap w:val="0"/>
            <w:tcMar>
              <w:top w:w="0" w:type="dxa"/>
              <w:left w:w="105" w:type="dxa"/>
              <w:bottom w:w="0" w:type="dxa"/>
              <w:right w:w="105" w:type="dxa"/>
            </w:tcMar>
            <w:vAlign w:val="center"/>
          </w:tcPr>
          <w:p w14:paraId="28332E4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指标内容</w:t>
            </w:r>
          </w:p>
        </w:tc>
        <w:tc>
          <w:tcPr>
            <w:tcW w:w="3123" w:type="dxa"/>
            <w:noWrap w:val="0"/>
            <w:tcMar>
              <w:top w:w="0" w:type="dxa"/>
              <w:left w:w="105" w:type="dxa"/>
              <w:bottom w:w="0" w:type="dxa"/>
              <w:right w:w="105" w:type="dxa"/>
            </w:tcMar>
            <w:vAlign w:val="center"/>
          </w:tcPr>
          <w:p w14:paraId="1A33FC6F">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指标评价标准及对应分值</w:t>
            </w:r>
          </w:p>
        </w:tc>
        <w:tc>
          <w:tcPr>
            <w:tcW w:w="1693" w:type="dxa"/>
            <w:noWrap w:val="0"/>
            <w:tcMar>
              <w:top w:w="0" w:type="dxa"/>
              <w:left w:w="105" w:type="dxa"/>
              <w:bottom w:w="0" w:type="dxa"/>
              <w:right w:w="105" w:type="dxa"/>
            </w:tcMar>
            <w:vAlign w:val="center"/>
          </w:tcPr>
          <w:p w14:paraId="72082AE9">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指标实际完成情况及依据</w:t>
            </w:r>
          </w:p>
        </w:tc>
        <w:tc>
          <w:tcPr>
            <w:tcW w:w="666" w:type="dxa"/>
            <w:noWrap w:val="0"/>
            <w:tcMar>
              <w:top w:w="0" w:type="dxa"/>
              <w:left w:w="105" w:type="dxa"/>
              <w:bottom w:w="0" w:type="dxa"/>
              <w:right w:w="105" w:type="dxa"/>
            </w:tcMar>
            <w:vAlign w:val="center"/>
          </w:tcPr>
          <w:p w14:paraId="08541D17">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得分</w:t>
            </w:r>
          </w:p>
        </w:tc>
      </w:tr>
      <w:tr w14:paraId="1F4D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restart"/>
            <w:noWrap w:val="0"/>
            <w:tcMar>
              <w:top w:w="0" w:type="dxa"/>
              <w:left w:w="105" w:type="dxa"/>
              <w:bottom w:w="0" w:type="dxa"/>
              <w:right w:w="105" w:type="dxa"/>
            </w:tcMar>
            <w:vAlign w:val="center"/>
          </w:tcPr>
          <w:p w14:paraId="4D9D348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投入</w:t>
            </w:r>
          </w:p>
          <w:p w14:paraId="02D1C14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(共14分)</w:t>
            </w:r>
          </w:p>
        </w:tc>
        <w:tc>
          <w:tcPr>
            <w:tcW w:w="1179" w:type="dxa"/>
            <w:vMerge w:val="restart"/>
            <w:noWrap w:val="0"/>
            <w:tcMar>
              <w:top w:w="0" w:type="dxa"/>
              <w:left w:w="105" w:type="dxa"/>
              <w:bottom w:w="0" w:type="dxa"/>
              <w:right w:w="105" w:type="dxa"/>
            </w:tcMar>
            <w:vAlign w:val="center"/>
          </w:tcPr>
          <w:p w14:paraId="3EDCC6C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预算编制(共5分)</w:t>
            </w:r>
          </w:p>
        </w:tc>
        <w:tc>
          <w:tcPr>
            <w:tcW w:w="1226" w:type="dxa"/>
            <w:noWrap w:val="0"/>
            <w:tcMar>
              <w:top w:w="0" w:type="dxa"/>
              <w:left w:w="105" w:type="dxa"/>
              <w:bottom w:w="0" w:type="dxa"/>
              <w:right w:w="105" w:type="dxa"/>
            </w:tcMar>
            <w:vAlign w:val="center"/>
          </w:tcPr>
          <w:p w14:paraId="710D3CE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整体绩效</w:t>
            </w:r>
          </w:p>
          <w:p w14:paraId="2F5B413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5F61450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388F349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部门（含所属二级预算单位，下同）或单位是否制定了年度预算整体绩效目标；整体绩效目标制定依据是否充分，是否与部门履职、年度工作任务相符；整体绩效目标是否清晰、细化、可衡量。</w:t>
            </w:r>
          </w:p>
        </w:tc>
        <w:tc>
          <w:tcPr>
            <w:tcW w:w="3123" w:type="dxa"/>
            <w:noWrap w:val="0"/>
            <w:tcMar>
              <w:top w:w="0" w:type="dxa"/>
              <w:left w:w="105" w:type="dxa"/>
              <w:bottom w:w="0" w:type="dxa"/>
              <w:right w:w="105" w:type="dxa"/>
            </w:tcMar>
            <w:vAlign w:val="center"/>
          </w:tcPr>
          <w:p w14:paraId="782CE8A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设有整体绩效目标1分；目标设定依据充分符合客观实际0.5分；目标清晰、细化0.5分；目标可衡量0.5分。</w:t>
            </w:r>
          </w:p>
        </w:tc>
        <w:tc>
          <w:tcPr>
            <w:tcW w:w="1693" w:type="dxa"/>
            <w:noWrap w:val="0"/>
            <w:tcMar>
              <w:top w:w="0" w:type="dxa"/>
              <w:left w:w="105" w:type="dxa"/>
              <w:bottom w:w="0" w:type="dxa"/>
              <w:right w:w="105" w:type="dxa"/>
            </w:tcMar>
            <w:vAlign w:val="center"/>
          </w:tcPr>
          <w:p w14:paraId="094707D7">
            <w:pPr>
              <w:jc w:val="center"/>
              <w:rPr>
                <w:rFonts w:hint="eastAsia" w:ascii="仿宋_GB2312" w:hAnsi="仿宋_GB2312" w:eastAsia="仿宋_GB2312" w:cs="仿宋_GB2312"/>
                <w:sz w:val="18"/>
                <w:szCs w:val="18"/>
              </w:rPr>
            </w:pPr>
            <w:r>
              <w:rPr>
                <w:rFonts w:hint="eastAsia" w:eastAsia="楷体_GB2312"/>
                <w:sz w:val="18"/>
                <w:szCs w:val="18"/>
              </w:rPr>
              <w:t>已</w:t>
            </w:r>
            <w:r>
              <w:rPr>
                <w:rFonts w:eastAsia="楷体_GB2312"/>
                <w:sz w:val="18"/>
                <w:szCs w:val="18"/>
              </w:rPr>
              <w:t>制定年度预算整体绩效目标；绩效目标制定依据充分，与部门履职、年度工作任务相符；绩效目标清晰、细化、可衡量</w:t>
            </w:r>
          </w:p>
        </w:tc>
        <w:tc>
          <w:tcPr>
            <w:tcW w:w="666" w:type="dxa"/>
            <w:noWrap w:val="0"/>
            <w:tcMar>
              <w:top w:w="0" w:type="dxa"/>
              <w:left w:w="105" w:type="dxa"/>
              <w:bottom w:w="0" w:type="dxa"/>
              <w:right w:w="105" w:type="dxa"/>
            </w:tcMar>
            <w:vAlign w:val="center"/>
          </w:tcPr>
          <w:p w14:paraId="342391F8">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2692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1" w:hRule="atLeast"/>
          <w:tblCellSpacing w:w="0" w:type="dxa"/>
          <w:jc w:val="center"/>
        </w:trPr>
        <w:tc>
          <w:tcPr>
            <w:tcW w:w="1079" w:type="dxa"/>
            <w:vMerge w:val="continue"/>
            <w:noWrap w:val="0"/>
            <w:vAlign w:val="center"/>
          </w:tcPr>
          <w:p w14:paraId="74F86F22">
            <w:pPr>
              <w:jc w:val="center"/>
              <w:rPr>
                <w:rFonts w:hint="eastAsia" w:ascii="仿宋_GB2312" w:hAnsi="仿宋_GB2312" w:eastAsia="仿宋_GB2312" w:cs="仿宋_GB2312"/>
                <w:sz w:val="18"/>
                <w:szCs w:val="18"/>
              </w:rPr>
            </w:pPr>
          </w:p>
        </w:tc>
        <w:tc>
          <w:tcPr>
            <w:tcW w:w="1179" w:type="dxa"/>
            <w:vMerge w:val="continue"/>
            <w:noWrap w:val="0"/>
            <w:vAlign w:val="center"/>
          </w:tcPr>
          <w:p w14:paraId="163A1A37">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BCEBA2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项目绩效</w:t>
            </w:r>
          </w:p>
          <w:p w14:paraId="710917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目标设定</w:t>
            </w:r>
          </w:p>
        </w:tc>
        <w:tc>
          <w:tcPr>
            <w:tcW w:w="701" w:type="dxa"/>
            <w:noWrap w:val="0"/>
            <w:tcMar>
              <w:top w:w="0" w:type="dxa"/>
              <w:left w:w="105" w:type="dxa"/>
              <w:bottom w:w="0" w:type="dxa"/>
              <w:right w:w="105" w:type="dxa"/>
            </w:tcMar>
            <w:vAlign w:val="center"/>
          </w:tcPr>
          <w:p w14:paraId="423A93D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2.5</w:t>
            </w:r>
          </w:p>
        </w:tc>
        <w:tc>
          <w:tcPr>
            <w:tcW w:w="4750" w:type="dxa"/>
            <w:noWrap w:val="0"/>
            <w:tcMar>
              <w:top w:w="0" w:type="dxa"/>
              <w:left w:w="105" w:type="dxa"/>
              <w:bottom w:w="0" w:type="dxa"/>
              <w:right w:w="105" w:type="dxa"/>
            </w:tcMar>
            <w:vAlign w:val="center"/>
          </w:tcPr>
          <w:p w14:paraId="75092ED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是否科学、合理设立了项目绩效目标；目标明确；目标细化；目标量化。</w:t>
            </w:r>
          </w:p>
        </w:tc>
        <w:tc>
          <w:tcPr>
            <w:tcW w:w="3123" w:type="dxa"/>
            <w:noWrap w:val="0"/>
            <w:tcMar>
              <w:top w:w="0" w:type="dxa"/>
              <w:left w:w="105" w:type="dxa"/>
              <w:bottom w:w="0" w:type="dxa"/>
              <w:right w:w="105" w:type="dxa"/>
            </w:tcMar>
            <w:vAlign w:val="center"/>
          </w:tcPr>
          <w:p w14:paraId="79AE7CF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项目均设有绩效目标0.5分；目标科学合理0.5分；目标明确0.5分；</w:t>
            </w:r>
          </w:p>
          <w:p w14:paraId="54AC45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目标细化0.5分；目标量化0.5分。</w:t>
            </w:r>
          </w:p>
        </w:tc>
        <w:tc>
          <w:tcPr>
            <w:tcW w:w="1693" w:type="dxa"/>
            <w:noWrap w:val="0"/>
            <w:tcMar>
              <w:top w:w="0" w:type="dxa"/>
              <w:left w:w="105" w:type="dxa"/>
              <w:bottom w:w="0" w:type="dxa"/>
              <w:right w:w="105" w:type="dxa"/>
            </w:tcMar>
            <w:vAlign w:val="center"/>
          </w:tcPr>
          <w:p w14:paraId="44BBA781">
            <w:pPr>
              <w:jc w:val="center"/>
              <w:rPr>
                <w:rFonts w:hint="eastAsia" w:ascii="仿宋_GB2312" w:hAnsi="仿宋_GB2312" w:eastAsia="仿宋_GB2312" w:cs="仿宋_GB2312"/>
                <w:sz w:val="18"/>
                <w:szCs w:val="18"/>
              </w:rPr>
            </w:pPr>
            <w:r>
              <w:rPr>
                <w:rFonts w:eastAsia="楷体_GB2312"/>
                <w:sz w:val="18"/>
                <w:szCs w:val="18"/>
              </w:rPr>
              <w:t>科学、合理设立了项目绩效目标；目标明确；细化；量化。</w:t>
            </w:r>
          </w:p>
        </w:tc>
        <w:tc>
          <w:tcPr>
            <w:tcW w:w="666" w:type="dxa"/>
            <w:noWrap w:val="0"/>
            <w:tcMar>
              <w:top w:w="0" w:type="dxa"/>
              <w:left w:w="105" w:type="dxa"/>
              <w:bottom w:w="0" w:type="dxa"/>
              <w:right w:w="105" w:type="dxa"/>
            </w:tcMar>
            <w:vAlign w:val="center"/>
          </w:tcPr>
          <w:p w14:paraId="3277F9CC">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2.5</w:t>
            </w:r>
          </w:p>
        </w:tc>
      </w:tr>
      <w:tr w14:paraId="1D45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27" w:hRule="atLeast"/>
          <w:tblCellSpacing w:w="0" w:type="dxa"/>
          <w:jc w:val="center"/>
        </w:trPr>
        <w:tc>
          <w:tcPr>
            <w:tcW w:w="1079" w:type="dxa"/>
            <w:vMerge w:val="continue"/>
            <w:noWrap w:val="0"/>
            <w:vAlign w:val="center"/>
          </w:tcPr>
          <w:p w14:paraId="056BFB85">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95B43CA">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预算配置(共9分)</w:t>
            </w:r>
          </w:p>
        </w:tc>
        <w:tc>
          <w:tcPr>
            <w:tcW w:w="1226" w:type="dxa"/>
            <w:noWrap w:val="0"/>
            <w:tcMar>
              <w:top w:w="0" w:type="dxa"/>
              <w:left w:w="105" w:type="dxa"/>
              <w:bottom w:w="0" w:type="dxa"/>
              <w:right w:w="105" w:type="dxa"/>
            </w:tcMar>
            <w:vAlign w:val="center"/>
          </w:tcPr>
          <w:p w14:paraId="16EDC9F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w:t>
            </w:r>
          </w:p>
          <w:p w14:paraId="40E176B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控制率</w:t>
            </w:r>
          </w:p>
        </w:tc>
        <w:tc>
          <w:tcPr>
            <w:tcW w:w="701" w:type="dxa"/>
            <w:noWrap w:val="0"/>
            <w:tcMar>
              <w:top w:w="0" w:type="dxa"/>
              <w:left w:w="105" w:type="dxa"/>
              <w:bottom w:w="0" w:type="dxa"/>
              <w:right w:w="105" w:type="dxa"/>
            </w:tcMar>
            <w:vAlign w:val="center"/>
          </w:tcPr>
          <w:p w14:paraId="5BE310E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2837892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在职人员控制率=[在职人员数/编制数]×100%</w:t>
            </w:r>
          </w:p>
          <w:p w14:paraId="3EC6232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在职人员数：部门实际在职人数，以财政确定的部门决算编制口径为准，结合工资发放表上的年平均人数。</w:t>
            </w:r>
          </w:p>
          <w:p w14:paraId="2887C92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编制数：机构编制部门核定批复的部门的人员编制数(含临时人员)。</w:t>
            </w:r>
          </w:p>
        </w:tc>
        <w:tc>
          <w:tcPr>
            <w:tcW w:w="3123" w:type="dxa"/>
            <w:noWrap w:val="0"/>
            <w:tcMar>
              <w:top w:w="0" w:type="dxa"/>
              <w:left w:w="105" w:type="dxa"/>
              <w:bottom w:w="0" w:type="dxa"/>
              <w:right w:w="105" w:type="dxa"/>
            </w:tcMar>
            <w:vAlign w:val="center"/>
          </w:tcPr>
          <w:p w14:paraId="3B69E6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4E71D77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7F881E2A">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16/16=100%</w:t>
            </w:r>
          </w:p>
        </w:tc>
        <w:tc>
          <w:tcPr>
            <w:tcW w:w="666" w:type="dxa"/>
            <w:noWrap w:val="0"/>
            <w:tcMar>
              <w:top w:w="0" w:type="dxa"/>
              <w:left w:w="105" w:type="dxa"/>
              <w:bottom w:w="0" w:type="dxa"/>
              <w:right w:w="105" w:type="dxa"/>
            </w:tcMar>
            <w:vAlign w:val="center"/>
          </w:tcPr>
          <w:p w14:paraId="374EEDD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30E09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CellSpacing w:w="0" w:type="dxa"/>
          <w:jc w:val="center"/>
        </w:trPr>
        <w:tc>
          <w:tcPr>
            <w:tcW w:w="1079" w:type="dxa"/>
            <w:vMerge w:val="continue"/>
            <w:noWrap w:val="0"/>
            <w:vAlign w:val="center"/>
          </w:tcPr>
          <w:p w14:paraId="3D784F46">
            <w:pPr>
              <w:jc w:val="center"/>
              <w:rPr>
                <w:rFonts w:hint="eastAsia" w:ascii="仿宋_GB2312" w:hAnsi="仿宋_GB2312" w:eastAsia="仿宋_GB2312" w:cs="仿宋_GB2312"/>
                <w:sz w:val="18"/>
                <w:szCs w:val="18"/>
              </w:rPr>
            </w:pPr>
          </w:p>
        </w:tc>
        <w:tc>
          <w:tcPr>
            <w:tcW w:w="1179" w:type="dxa"/>
            <w:vMerge w:val="continue"/>
            <w:noWrap w:val="0"/>
            <w:vAlign w:val="center"/>
          </w:tcPr>
          <w:p w14:paraId="384DC2D3">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56E195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w:t>
            </w:r>
          </w:p>
          <w:p w14:paraId="23B183DE">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变动率</w:t>
            </w:r>
          </w:p>
        </w:tc>
        <w:tc>
          <w:tcPr>
            <w:tcW w:w="701" w:type="dxa"/>
            <w:noWrap w:val="0"/>
            <w:tcMar>
              <w:top w:w="0" w:type="dxa"/>
              <w:left w:w="105" w:type="dxa"/>
              <w:bottom w:w="0" w:type="dxa"/>
              <w:right w:w="105" w:type="dxa"/>
            </w:tcMar>
            <w:vAlign w:val="center"/>
          </w:tcPr>
          <w:p w14:paraId="7E479E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8F3B9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“三公经费”变动率=[本年度“三公经费”预算总额/上年度“三公经费”预算总额] ×100%</w:t>
            </w:r>
          </w:p>
        </w:tc>
        <w:tc>
          <w:tcPr>
            <w:tcW w:w="3123" w:type="dxa"/>
            <w:noWrap w:val="0"/>
            <w:tcMar>
              <w:top w:w="0" w:type="dxa"/>
              <w:left w:w="105" w:type="dxa"/>
              <w:bottom w:w="0" w:type="dxa"/>
              <w:right w:w="105" w:type="dxa"/>
            </w:tcMar>
            <w:vAlign w:val="center"/>
          </w:tcPr>
          <w:p w14:paraId="1C84516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64DE67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6AF1AC51">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无三公经费</w:t>
            </w:r>
          </w:p>
        </w:tc>
        <w:tc>
          <w:tcPr>
            <w:tcW w:w="666" w:type="dxa"/>
            <w:noWrap w:val="0"/>
            <w:tcMar>
              <w:top w:w="0" w:type="dxa"/>
              <w:left w:w="105" w:type="dxa"/>
              <w:bottom w:w="0" w:type="dxa"/>
              <w:right w:w="105" w:type="dxa"/>
            </w:tcMar>
            <w:vAlign w:val="center"/>
          </w:tcPr>
          <w:p w14:paraId="3AFD71E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7616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8" w:hRule="atLeast"/>
          <w:tblCellSpacing w:w="0" w:type="dxa"/>
          <w:jc w:val="center"/>
        </w:trPr>
        <w:tc>
          <w:tcPr>
            <w:tcW w:w="1079" w:type="dxa"/>
            <w:vMerge w:val="continue"/>
            <w:noWrap w:val="0"/>
            <w:vAlign w:val="center"/>
          </w:tcPr>
          <w:p w14:paraId="0D458CC2">
            <w:pPr>
              <w:jc w:val="center"/>
              <w:rPr>
                <w:rFonts w:hint="eastAsia" w:ascii="仿宋_GB2312" w:hAnsi="仿宋_GB2312" w:eastAsia="仿宋_GB2312" w:cs="仿宋_GB2312"/>
                <w:sz w:val="18"/>
                <w:szCs w:val="18"/>
              </w:rPr>
            </w:pPr>
          </w:p>
        </w:tc>
        <w:tc>
          <w:tcPr>
            <w:tcW w:w="1179" w:type="dxa"/>
            <w:vMerge w:val="continue"/>
            <w:noWrap w:val="0"/>
            <w:vAlign w:val="center"/>
          </w:tcPr>
          <w:p w14:paraId="4A1C1FF4">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C3E821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w:t>
            </w:r>
          </w:p>
        </w:tc>
        <w:tc>
          <w:tcPr>
            <w:tcW w:w="701" w:type="dxa"/>
            <w:noWrap w:val="0"/>
            <w:tcMar>
              <w:top w:w="0" w:type="dxa"/>
              <w:left w:w="105" w:type="dxa"/>
              <w:bottom w:w="0" w:type="dxa"/>
              <w:right w:w="105" w:type="dxa"/>
            </w:tcMar>
            <w:vAlign w:val="center"/>
          </w:tcPr>
          <w:p w14:paraId="035E37F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3DE5F26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重点项目预算保障率=（重点项目预算/项目总预算）×100%。</w:t>
            </w:r>
          </w:p>
          <w:p w14:paraId="676DEA9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重点项目预算：部门年度预算安排的，与本部门履职和发展密切相关、具有明显社会和经济影响、党委政府关心或社会比较关注的，列入政府重点项目的预算总额。</w:t>
            </w:r>
          </w:p>
        </w:tc>
        <w:tc>
          <w:tcPr>
            <w:tcW w:w="3123" w:type="dxa"/>
            <w:noWrap w:val="0"/>
            <w:tcMar>
              <w:top w:w="0" w:type="dxa"/>
              <w:left w:w="105" w:type="dxa"/>
              <w:bottom w:w="0" w:type="dxa"/>
              <w:right w:w="105" w:type="dxa"/>
            </w:tcMar>
            <w:vAlign w:val="center"/>
          </w:tcPr>
          <w:p w14:paraId="38675CA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结果≥80%，得3分；</w:t>
            </w:r>
          </w:p>
          <w:p w14:paraId="38617B0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80%＞结果≥60%，得2分；</w:t>
            </w:r>
          </w:p>
          <w:p w14:paraId="0F476E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结果＜60%，得0分。</w:t>
            </w:r>
          </w:p>
        </w:tc>
        <w:tc>
          <w:tcPr>
            <w:tcW w:w="1693" w:type="dxa"/>
            <w:noWrap w:val="0"/>
            <w:tcMar>
              <w:top w:w="0" w:type="dxa"/>
              <w:left w:w="105" w:type="dxa"/>
              <w:bottom w:w="0" w:type="dxa"/>
              <w:right w:w="105" w:type="dxa"/>
            </w:tcMar>
            <w:vAlign w:val="center"/>
          </w:tcPr>
          <w:p w14:paraId="10906BF5">
            <w:pPr>
              <w:jc w:val="center"/>
              <w:rPr>
                <w:rFonts w:hint="eastAsia" w:ascii="仿宋_GB2312" w:hAnsi="仿宋_GB2312" w:eastAsia="仿宋_GB2312" w:cs="仿宋_GB2312"/>
                <w:sz w:val="18"/>
                <w:szCs w:val="18"/>
              </w:rPr>
            </w:pPr>
            <w:r>
              <w:rPr>
                <w:rFonts w:hint="eastAsia" w:eastAsia="楷体_GB2312"/>
                <w:sz w:val="18"/>
                <w:szCs w:val="18"/>
                <w:lang w:val="en-US" w:eastAsia="zh-CN"/>
              </w:rPr>
              <w:t>2024年没有政府采购项目</w:t>
            </w:r>
          </w:p>
        </w:tc>
        <w:tc>
          <w:tcPr>
            <w:tcW w:w="666" w:type="dxa"/>
            <w:noWrap w:val="0"/>
            <w:tcMar>
              <w:top w:w="0" w:type="dxa"/>
              <w:left w:w="105" w:type="dxa"/>
              <w:bottom w:w="0" w:type="dxa"/>
              <w:right w:w="105" w:type="dxa"/>
            </w:tcMar>
            <w:vAlign w:val="center"/>
          </w:tcPr>
          <w:p w14:paraId="695C1E3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0D68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9" w:hRule="atLeast"/>
          <w:tblCellSpacing w:w="0" w:type="dxa"/>
          <w:jc w:val="center"/>
        </w:trPr>
        <w:tc>
          <w:tcPr>
            <w:tcW w:w="1079" w:type="dxa"/>
            <w:vMerge w:val="restart"/>
            <w:noWrap w:val="0"/>
            <w:tcMar>
              <w:top w:w="0" w:type="dxa"/>
              <w:left w:w="105" w:type="dxa"/>
              <w:bottom w:w="0" w:type="dxa"/>
              <w:right w:w="105" w:type="dxa"/>
            </w:tcMar>
            <w:vAlign w:val="center"/>
          </w:tcPr>
          <w:p w14:paraId="7423CEE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过程</w:t>
            </w:r>
          </w:p>
          <w:p w14:paraId="33D661E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(共26分)</w:t>
            </w:r>
          </w:p>
        </w:tc>
        <w:tc>
          <w:tcPr>
            <w:tcW w:w="1179" w:type="dxa"/>
            <w:vMerge w:val="restart"/>
            <w:noWrap w:val="0"/>
            <w:tcMar>
              <w:top w:w="0" w:type="dxa"/>
              <w:left w:w="105" w:type="dxa"/>
              <w:bottom w:w="0" w:type="dxa"/>
              <w:right w:w="105" w:type="dxa"/>
            </w:tcMar>
            <w:vAlign w:val="center"/>
          </w:tcPr>
          <w:p w14:paraId="3F944D5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预算执行（12分）</w:t>
            </w:r>
          </w:p>
        </w:tc>
        <w:tc>
          <w:tcPr>
            <w:tcW w:w="1226" w:type="dxa"/>
            <w:noWrap w:val="0"/>
            <w:tcMar>
              <w:top w:w="0" w:type="dxa"/>
              <w:left w:w="105" w:type="dxa"/>
              <w:bottom w:w="0" w:type="dxa"/>
              <w:right w:w="105" w:type="dxa"/>
            </w:tcMar>
            <w:vAlign w:val="center"/>
          </w:tcPr>
          <w:p w14:paraId="494C4FC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w:t>
            </w:r>
          </w:p>
        </w:tc>
        <w:tc>
          <w:tcPr>
            <w:tcW w:w="701" w:type="dxa"/>
            <w:noWrap w:val="0"/>
            <w:tcMar>
              <w:top w:w="0" w:type="dxa"/>
              <w:left w:w="105" w:type="dxa"/>
              <w:bottom w:w="0" w:type="dxa"/>
              <w:right w:w="105" w:type="dxa"/>
            </w:tcMar>
            <w:vAlign w:val="center"/>
          </w:tcPr>
          <w:p w14:paraId="1CB65BD6">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1734F4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项目预算执行率=[项目预算执行数/项目预算]×100%。</w:t>
            </w:r>
          </w:p>
          <w:p w14:paraId="232FA42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项目预算执行数：部门本年度实际执行的项目预算。</w:t>
            </w:r>
          </w:p>
          <w:p w14:paraId="389BA01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项目预算数：财政部门批复的本年度部门项目预算。</w:t>
            </w:r>
          </w:p>
        </w:tc>
        <w:tc>
          <w:tcPr>
            <w:tcW w:w="3123" w:type="dxa"/>
            <w:noWrap w:val="0"/>
            <w:tcMar>
              <w:top w:w="0" w:type="dxa"/>
              <w:left w:w="105" w:type="dxa"/>
              <w:bottom w:w="0" w:type="dxa"/>
              <w:right w:w="105" w:type="dxa"/>
            </w:tcMar>
            <w:vAlign w:val="center"/>
          </w:tcPr>
          <w:p w14:paraId="3FB98B1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95%≤结果≤100%，得3分；</w:t>
            </w:r>
          </w:p>
          <w:p w14:paraId="7C06F7A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90%≤结果＜95%，得2分；</w:t>
            </w:r>
          </w:p>
          <w:p w14:paraId="2DAA0AF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80%≤结果＜90%，得1分；</w:t>
            </w:r>
          </w:p>
          <w:p w14:paraId="57B81FF5">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结果＜80%，得0分。</w:t>
            </w:r>
          </w:p>
        </w:tc>
        <w:tc>
          <w:tcPr>
            <w:tcW w:w="1693" w:type="dxa"/>
            <w:noWrap w:val="0"/>
            <w:tcMar>
              <w:top w:w="0" w:type="dxa"/>
              <w:left w:w="105" w:type="dxa"/>
              <w:bottom w:w="0" w:type="dxa"/>
              <w:right w:w="105" w:type="dxa"/>
            </w:tcMar>
            <w:vAlign w:val="center"/>
          </w:tcPr>
          <w:p w14:paraId="3FA31DE0">
            <w:pPr>
              <w:jc w:val="center"/>
              <w:rPr>
                <w:rFonts w:hint="default" w:ascii="仿宋_GB2312" w:hAnsi="仿宋_GB2312" w:eastAsia="仿宋_GB2312" w:cs="仿宋_GB2312"/>
                <w:sz w:val="18"/>
                <w:szCs w:val="18"/>
                <w:lang w:val="en-US" w:eastAsia="zh-CN"/>
              </w:rPr>
            </w:pPr>
            <w:r>
              <w:rPr>
                <w:rFonts w:hint="eastAsia" w:ascii="Arial" w:hAnsi="Arial" w:eastAsia="仿宋_GB2312" w:cs="Arial"/>
                <w:sz w:val="18"/>
                <w:szCs w:val="18"/>
                <w:lang w:val="en-US" w:eastAsia="zh-CN"/>
              </w:rPr>
              <w:t>59.24/67.73*100</w:t>
            </w:r>
            <w:r>
              <w:rPr>
                <w:rFonts w:hint="eastAsia" w:ascii="仿宋_GB2312" w:hAnsi="仿宋_GB2312" w:eastAsia="仿宋_GB2312" w:cs="仿宋_GB2312"/>
                <w:sz w:val="18"/>
                <w:szCs w:val="18"/>
                <w:lang w:val="en-US" w:eastAsia="zh-CN"/>
              </w:rPr>
              <w:t>=87.46%</w:t>
            </w:r>
          </w:p>
        </w:tc>
        <w:tc>
          <w:tcPr>
            <w:tcW w:w="666" w:type="dxa"/>
            <w:noWrap w:val="0"/>
            <w:tcMar>
              <w:top w:w="0" w:type="dxa"/>
              <w:left w:w="105" w:type="dxa"/>
              <w:bottom w:w="0" w:type="dxa"/>
              <w:right w:w="105" w:type="dxa"/>
            </w:tcMar>
            <w:vAlign w:val="center"/>
          </w:tcPr>
          <w:p w14:paraId="5C4DCA98">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r>
      <w:tr w14:paraId="5929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0" w:hRule="atLeast"/>
          <w:tblCellSpacing w:w="0" w:type="dxa"/>
          <w:jc w:val="center"/>
        </w:trPr>
        <w:tc>
          <w:tcPr>
            <w:tcW w:w="1079" w:type="dxa"/>
            <w:vMerge w:val="continue"/>
            <w:noWrap w:val="0"/>
            <w:vAlign w:val="center"/>
          </w:tcPr>
          <w:p w14:paraId="4E2799E5">
            <w:pPr>
              <w:jc w:val="center"/>
              <w:rPr>
                <w:rFonts w:hint="eastAsia" w:ascii="仿宋_GB2312" w:hAnsi="仿宋_GB2312" w:eastAsia="仿宋_GB2312" w:cs="仿宋_GB2312"/>
                <w:sz w:val="18"/>
                <w:szCs w:val="18"/>
              </w:rPr>
            </w:pPr>
          </w:p>
        </w:tc>
        <w:tc>
          <w:tcPr>
            <w:tcW w:w="1179" w:type="dxa"/>
            <w:vMerge w:val="continue"/>
            <w:noWrap w:val="0"/>
            <w:vAlign w:val="center"/>
          </w:tcPr>
          <w:p w14:paraId="1768670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BBC588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5E0453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调整率</w:t>
            </w:r>
          </w:p>
        </w:tc>
        <w:tc>
          <w:tcPr>
            <w:tcW w:w="701" w:type="dxa"/>
            <w:noWrap w:val="0"/>
            <w:tcMar>
              <w:top w:w="0" w:type="dxa"/>
              <w:left w:w="105" w:type="dxa"/>
              <w:bottom w:w="0" w:type="dxa"/>
              <w:right w:w="105" w:type="dxa"/>
            </w:tcMar>
            <w:vAlign w:val="center"/>
          </w:tcPr>
          <w:p w14:paraId="7281C372">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177BD35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预算调整率=[预算调整数/预算数]×100%</w:t>
            </w:r>
          </w:p>
          <w:p w14:paraId="0D2A805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预算调整数：部门在本年度内涉及预算的追加、追减或结构调整的资金总和（因落实国家政策、发生不可抗力、上级部门或党委政府临时交办而产生的调整除外）。</w:t>
            </w:r>
          </w:p>
        </w:tc>
        <w:tc>
          <w:tcPr>
            <w:tcW w:w="3123" w:type="dxa"/>
            <w:noWrap w:val="0"/>
            <w:tcMar>
              <w:top w:w="0" w:type="dxa"/>
              <w:left w:w="105" w:type="dxa"/>
              <w:bottom w:w="0" w:type="dxa"/>
              <w:right w:w="105" w:type="dxa"/>
            </w:tcMar>
            <w:vAlign w:val="center"/>
          </w:tcPr>
          <w:p w14:paraId="00AA74D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结果≤5%，得2分；</w:t>
            </w:r>
          </w:p>
          <w:p w14:paraId="57BA4BF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5%＜结果≤10%，得1分；</w:t>
            </w:r>
          </w:p>
          <w:p w14:paraId="2F69394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结果＞10%，得0分。</w:t>
            </w:r>
          </w:p>
        </w:tc>
        <w:tc>
          <w:tcPr>
            <w:tcW w:w="1693" w:type="dxa"/>
            <w:noWrap w:val="0"/>
            <w:tcMar>
              <w:top w:w="0" w:type="dxa"/>
              <w:left w:w="105" w:type="dxa"/>
              <w:bottom w:w="0" w:type="dxa"/>
              <w:right w:w="105" w:type="dxa"/>
            </w:tcMar>
            <w:vAlign w:val="center"/>
          </w:tcPr>
          <w:p w14:paraId="2EC5A787">
            <w:pPr>
              <w:ind w:right="238" w:rightChars="119"/>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无预算调整数</w:t>
            </w:r>
          </w:p>
        </w:tc>
        <w:tc>
          <w:tcPr>
            <w:tcW w:w="666" w:type="dxa"/>
            <w:noWrap w:val="0"/>
            <w:tcMar>
              <w:top w:w="0" w:type="dxa"/>
              <w:left w:w="105" w:type="dxa"/>
              <w:bottom w:w="0" w:type="dxa"/>
              <w:right w:w="105" w:type="dxa"/>
            </w:tcMar>
            <w:vAlign w:val="center"/>
          </w:tcPr>
          <w:p w14:paraId="66D381E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31AC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atLeast"/>
          <w:tblCellSpacing w:w="0" w:type="dxa"/>
          <w:jc w:val="center"/>
        </w:trPr>
        <w:tc>
          <w:tcPr>
            <w:tcW w:w="1079" w:type="dxa"/>
            <w:vMerge w:val="continue"/>
            <w:noWrap w:val="0"/>
            <w:vAlign w:val="center"/>
          </w:tcPr>
          <w:p w14:paraId="333245DE">
            <w:pPr>
              <w:jc w:val="center"/>
              <w:rPr>
                <w:rFonts w:hint="eastAsia" w:ascii="仿宋_GB2312" w:hAnsi="仿宋_GB2312" w:eastAsia="仿宋_GB2312" w:cs="仿宋_GB2312"/>
                <w:sz w:val="18"/>
                <w:szCs w:val="18"/>
              </w:rPr>
            </w:pPr>
          </w:p>
        </w:tc>
        <w:tc>
          <w:tcPr>
            <w:tcW w:w="1179" w:type="dxa"/>
            <w:vMerge w:val="continue"/>
            <w:noWrap w:val="0"/>
            <w:vAlign w:val="center"/>
          </w:tcPr>
          <w:p w14:paraId="6D0D0EC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806206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w:t>
            </w:r>
          </w:p>
        </w:tc>
        <w:tc>
          <w:tcPr>
            <w:tcW w:w="701" w:type="dxa"/>
            <w:noWrap w:val="0"/>
            <w:tcMar>
              <w:top w:w="0" w:type="dxa"/>
              <w:left w:w="105" w:type="dxa"/>
              <w:bottom w:w="0" w:type="dxa"/>
              <w:right w:w="105" w:type="dxa"/>
            </w:tcMar>
            <w:vAlign w:val="center"/>
          </w:tcPr>
          <w:p w14:paraId="508E43C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7A8BEB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公用经费控制率=[公用经费实际支出总额/公用经费预算安排总额]×100%</w:t>
            </w:r>
          </w:p>
        </w:tc>
        <w:tc>
          <w:tcPr>
            <w:tcW w:w="3123" w:type="dxa"/>
            <w:noWrap w:val="0"/>
            <w:tcMar>
              <w:top w:w="0" w:type="dxa"/>
              <w:left w:w="105" w:type="dxa"/>
              <w:bottom w:w="0" w:type="dxa"/>
              <w:right w:w="105" w:type="dxa"/>
            </w:tcMar>
            <w:vAlign w:val="center"/>
          </w:tcPr>
          <w:p w14:paraId="6D67EA7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结果≤100%，得3分；</w:t>
            </w:r>
          </w:p>
          <w:p w14:paraId="5028D55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4C178D86">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19.18/8.46=2.26</w:t>
            </w:r>
          </w:p>
        </w:tc>
        <w:tc>
          <w:tcPr>
            <w:tcW w:w="666" w:type="dxa"/>
            <w:noWrap w:val="0"/>
            <w:tcMar>
              <w:top w:w="0" w:type="dxa"/>
              <w:left w:w="105" w:type="dxa"/>
              <w:bottom w:w="0" w:type="dxa"/>
              <w:right w:w="105" w:type="dxa"/>
            </w:tcMar>
            <w:vAlign w:val="center"/>
          </w:tcPr>
          <w:p w14:paraId="7B5F912B">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0</w:t>
            </w:r>
            <w:bookmarkStart w:id="0" w:name="_GoBack"/>
            <w:bookmarkEnd w:id="0"/>
          </w:p>
        </w:tc>
      </w:tr>
      <w:tr w14:paraId="6502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2" w:hRule="atLeast"/>
          <w:tblCellSpacing w:w="0" w:type="dxa"/>
          <w:jc w:val="center"/>
        </w:trPr>
        <w:tc>
          <w:tcPr>
            <w:tcW w:w="1079" w:type="dxa"/>
            <w:vMerge w:val="continue"/>
            <w:noWrap w:val="0"/>
            <w:vAlign w:val="center"/>
          </w:tcPr>
          <w:p w14:paraId="3F688E63">
            <w:pPr>
              <w:jc w:val="center"/>
              <w:rPr>
                <w:rFonts w:hint="eastAsia" w:ascii="仿宋_GB2312" w:hAnsi="仿宋_GB2312" w:eastAsia="仿宋_GB2312" w:cs="仿宋_GB2312"/>
                <w:sz w:val="18"/>
                <w:szCs w:val="18"/>
              </w:rPr>
            </w:pPr>
          </w:p>
        </w:tc>
        <w:tc>
          <w:tcPr>
            <w:tcW w:w="1179" w:type="dxa"/>
            <w:vMerge w:val="continue"/>
            <w:noWrap w:val="0"/>
            <w:vAlign w:val="center"/>
          </w:tcPr>
          <w:p w14:paraId="6603FAAA">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99BCAC">
            <w:pPr>
              <w:spacing w:line="300" w:lineRule="exact"/>
              <w:jc w:val="center"/>
              <w:rPr>
                <w:rFonts w:hint="eastAsia" w:ascii="仿宋_GB2312" w:hAnsi="仿宋_GB2312" w:eastAsia="仿宋_GB2312" w:cs="仿宋_GB2312"/>
                <w:spacing w:val="-20"/>
                <w:sz w:val="18"/>
                <w:szCs w:val="18"/>
              </w:rPr>
            </w:pPr>
            <w:r>
              <w:rPr>
                <w:rFonts w:hint="eastAsia" w:ascii="仿宋_GB2312" w:hAnsi="仿宋_GB2312" w:eastAsia="仿宋_GB2312" w:cs="仿宋_GB2312"/>
                <w:spacing w:val="-20"/>
                <w:sz w:val="18"/>
                <w:szCs w:val="18"/>
              </w:rPr>
              <w:t>“</w:t>
            </w:r>
            <w:r>
              <w:rPr>
                <w:rFonts w:hint="eastAsia" w:ascii="仿宋_GB2312" w:hAnsi="仿宋_GB2312" w:eastAsia="仿宋_GB2312" w:cs="仿宋_GB2312"/>
                <w:sz w:val="18"/>
                <w:szCs w:val="18"/>
              </w:rPr>
              <w:t>三公经费”控制率</w:t>
            </w:r>
          </w:p>
        </w:tc>
        <w:tc>
          <w:tcPr>
            <w:tcW w:w="701" w:type="dxa"/>
            <w:noWrap w:val="0"/>
            <w:tcMar>
              <w:top w:w="0" w:type="dxa"/>
              <w:left w:w="105" w:type="dxa"/>
              <w:bottom w:w="0" w:type="dxa"/>
              <w:right w:w="105" w:type="dxa"/>
            </w:tcMar>
            <w:vAlign w:val="center"/>
          </w:tcPr>
          <w:p w14:paraId="7B3E9D6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D14E54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“三公经费”控制率=[“三公经费”实际支出总额/“三公经费”预算安排总额]×100%</w:t>
            </w:r>
          </w:p>
        </w:tc>
        <w:tc>
          <w:tcPr>
            <w:tcW w:w="3123" w:type="dxa"/>
            <w:noWrap w:val="0"/>
            <w:tcMar>
              <w:top w:w="0" w:type="dxa"/>
              <w:left w:w="105" w:type="dxa"/>
              <w:bottom w:w="0" w:type="dxa"/>
              <w:right w:w="105" w:type="dxa"/>
            </w:tcMar>
            <w:vAlign w:val="center"/>
          </w:tcPr>
          <w:p w14:paraId="4EBC867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结果≤100%，得2分；</w:t>
            </w:r>
          </w:p>
          <w:p w14:paraId="2D1668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结果＞100%，得0分。</w:t>
            </w:r>
          </w:p>
        </w:tc>
        <w:tc>
          <w:tcPr>
            <w:tcW w:w="1693" w:type="dxa"/>
            <w:noWrap w:val="0"/>
            <w:tcMar>
              <w:top w:w="0" w:type="dxa"/>
              <w:left w:w="105" w:type="dxa"/>
              <w:bottom w:w="0" w:type="dxa"/>
              <w:right w:w="105" w:type="dxa"/>
            </w:tcMar>
            <w:vAlign w:val="center"/>
          </w:tcPr>
          <w:p w14:paraId="3EECE69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无三公经费</w:t>
            </w:r>
          </w:p>
        </w:tc>
        <w:tc>
          <w:tcPr>
            <w:tcW w:w="666" w:type="dxa"/>
            <w:noWrap w:val="0"/>
            <w:tcMar>
              <w:top w:w="0" w:type="dxa"/>
              <w:left w:w="105" w:type="dxa"/>
              <w:bottom w:w="0" w:type="dxa"/>
              <w:right w:w="105" w:type="dxa"/>
            </w:tcMar>
            <w:vAlign w:val="center"/>
          </w:tcPr>
          <w:p w14:paraId="19CE0623">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262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2" w:hRule="atLeast"/>
          <w:tblCellSpacing w:w="0" w:type="dxa"/>
          <w:jc w:val="center"/>
        </w:trPr>
        <w:tc>
          <w:tcPr>
            <w:tcW w:w="1079" w:type="dxa"/>
            <w:vMerge w:val="continue"/>
            <w:noWrap w:val="0"/>
            <w:vAlign w:val="center"/>
          </w:tcPr>
          <w:p w14:paraId="6B391D63">
            <w:pPr>
              <w:jc w:val="center"/>
              <w:rPr>
                <w:rFonts w:hint="eastAsia" w:ascii="仿宋_GB2312" w:hAnsi="仿宋_GB2312" w:eastAsia="仿宋_GB2312" w:cs="仿宋_GB2312"/>
                <w:sz w:val="18"/>
                <w:szCs w:val="18"/>
              </w:rPr>
            </w:pPr>
          </w:p>
        </w:tc>
        <w:tc>
          <w:tcPr>
            <w:tcW w:w="1179" w:type="dxa"/>
            <w:vMerge w:val="continue"/>
            <w:noWrap w:val="0"/>
            <w:vAlign w:val="center"/>
          </w:tcPr>
          <w:p w14:paraId="23CF099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0DB469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w:t>
            </w:r>
          </w:p>
          <w:p w14:paraId="335D29B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w:t>
            </w:r>
          </w:p>
        </w:tc>
        <w:tc>
          <w:tcPr>
            <w:tcW w:w="701" w:type="dxa"/>
            <w:noWrap w:val="0"/>
            <w:tcMar>
              <w:top w:w="0" w:type="dxa"/>
              <w:left w:w="105" w:type="dxa"/>
              <w:bottom w:w="0" w:type="dxa"/>
              <w:right w:w="105" w:type="dxa"/>
            </w:tcMar>
            <w:vAlign w:val="center"/>
          </w:tcPr>
          <w:p w14:paraId="17459A6C">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DEC59B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政府采购完成率=（政府采购完成项目数/政府采购预算项目数）×100%；</w:t>
            </w:r>
          </w:p>
          <w:p w14:paraId="1FF8E2B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政府采购预算项目：采购机关根据事业发展计划和行政任务编制的、并经过规定程序批准的年度政府采购计划项目。</w:t>
            </w:r>
          </w:p>
        </w:tc>
        <w:tc>
          <w:tcPr>
            <w:tcW w:w="3123" w:type="dxa"/>
            <w:noWrap w:val="0"/>
            <w:tcMar>
              <w:top w:w="0" w:type="dxa"/>
              <w:left w:w="105" w:type="dxa"/>
              <w:bottom w:w="0" w:type="dxa"/>
              <w:right w:w="105" w:type="dxa"/>
            </w:tcMar>
            <w:vAlign w:val="center"/>
          </w:tcPr>
          <w:p w14:paraId="3CE09FD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完成率≧80%，得2分；</w:t>
            </w:r>
          </w:p>
          <w:p w14:paraId="5CA1011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80%&gt;完成率≧60%，得1分；</w:t>
            </w:r>
          </w:p>
          <w:p w14:paraId="636B98B4">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完成率＜60%，得0分。</w:t>
            </w:r>
          </w:p>
        </w:tc>
        <w:tc>
          <w:tcPr>
            <w:tcW w:w="1693" w:type="dxa"/>
            <w:shd w:val="clear" w:color="auto" w:fill="auto"/>
            <w:noWrap w:val="0"/>
            <w:tcMar>
              <w:top w:w="0" w:type="dxa"/>
              <w:left w:w="105" w:type="dxa"/>
              <w:bottom w:w="0" w:type="dxa"/>
              <w:right w:w="105" w:type="dxa"/>
            </w:tcMar>
            <w:vAlign w:val="center"/>
          </w:tcPr>
          <w:p w14:paraId="522FBA63">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val="en-US" w:eastAsia="zh-CN"/>
              </w:rPr>
              <w:t>2024年没有政府采购项目</w:t>
            </w:r>
          </w:p>
        </w:tc>
        <w:tc>
          <w:tcPr>
            <w:tcW w:w="666" w:type="dxa"/>
            <w:noWrap w:val="0"/>
            <w:tcMar>
              <w:top w:w="0" w:type="dxa"/>
              <w:left w:w="105" w:type="dxa"/>
              <w:bottom w:w="0" w:type="dxa"/>
              <w:right w:w="105" w:type="dxa"/>
            </w:tcMar>
            <w:vAlign w:val="center"/>
          </w:tcPr>
          <w:p w14:paraId="7F3EB66F">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0F5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blCellSpacing w:w="0" w:type="dxa"/>
          <w:jc w:val="center"/>
        </w:trPr>
        <w:tc>
          <w:tcPr>
            <w:tcW w:w="1079" w:type="dxa"/>
            <w:vMerge w:val="continue"/>
            <w:noWrap w:val="0"/>
            <w:vAlign w:val="center"/>
          </w:tcPr>
          <w:p w14:paraId="4B99D77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379E7C18">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预算</w:t>
            </w:r>
          </w:p>
          <w:p w14:paraId="5FF872FB">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管理（9分）</w:t>
            </w:r>
          </w:p>
        </w:tc>
        <w:tc>
          <w:tcPr>
            <w:tcW w:w="1226" w:type="dxa"/>
            <w:noWrap w:val="0"/>
            <w:tcMar>
              <w:top w:w="0" w:type="dxa"/>
              <w:left w:w="105" w:type="dxa"/>
              <w:bottom w:w="0" w:type="dxa"/>
              <w:right w:w="105" w:type="dxa"/>
            </w:tcMar>
            <w:vAlign w:val="center"/>
          </w:tcPr>
          <w:p w14:paraId="716A72CB">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资金管理</w:t>
            </w:r>
          </w:p>
          <w:p w14:paraId="0C167D0F">
            <w:pPr>
              <w:spacing w:line="28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制度健全性</w:t>
            </w:r>
          </w:p>
        </w:tc>
        <w:tc>
          <w:tcPr>
            <w:tcW w:w="701" w:type="dxa"/>
            <w:noWrap w:val="0"/>
            <w:tcMar>
              <w:top w:w="0" w:type="dxa"/>
              <w:left w:w="105" w:type="dxa"/>
              <w:bottom w:w="0" w:type="dxa"/>
              <w:right w:w="105" w:type="dxa"/>
            </w:tcMar>
            <w:vAlign w:val="center"/>
          </w:tcPr>
          <w:p w14:paraId="2A3969A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2E0C1C4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制定预算资金管理办法、内部财务管理制度、内控制度、会计核算制度等是否完整，是否执行到位。</w:t>
            </w:r>
          </w:p>
        </w:tc>
        <w:tc>
          <w:tcPr>
            <w:tcW w:w="3123" w:type="dxa"/>
            <w:noWrap w:val="0"/>
            <w:tcMar>
              <w:top w:w="0" w:type="dxa"/>
              <w:left w:w="105" w:type="dxa"/>
              <w:bottom w:w="0" w:type="dxa"/>
              <w:right w:w="105" w:type="dxa"/>
            </w:tcMar>
            <w:vAlign w:val="center"/>
          </w:tcPr>
          <w:p w14:paraId="3328711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每发现一项问题，扣1分，扣完为止。</w:t>
            </w:r>
          </w:p>
        </w:tc>
        <w:tc>
          <w:tcPr>
            <w:tcW w:w="1693" w:type="dxa"/>
            <w:shd w:val="clear" w:color="auto" w:fill="auto"/>
            <w:noWrap w:val="0"/>
            <w:tcMar>
              <w:top w:w="0" w:type="dxa"/>
              <w:left w:w="105" w:type="dxa"/>
              <w:bottom w:w="0" w:type="dxa"/>
              <w:right w:w="105" w:type="dxa"/>
            </w:tcMar>
            <w:vAlign w:val="center"/>
          </w:tcPr>
          <w:p w14:paraId="47E020C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资金管理制度健全</w:t>
            </w:r>
          </w:p>
        </w:tc>
        <w:tc>
          <w:tcPr>
            <w:tcW w:w="666" w:type="dxa"/>
            <w:vMerge w:val="restart"/>
            <w:noWrap w:val="0"/>
            <w:tcMar>
              <w:top w:w="0" w:type="dxa"/>
              <w:left w:w="105" w:type="dxa"/>
              <w:bottom w:w="0" w:type="dxa"/>
              <w:right w:w="105" w:type="dxa"/>
            </w:tcMar>
            <w:vAlign w:val="center"/>
          </w:tcPr>
          <w:p w14:paraId="14C47C7E">
            <w:pPr>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5</w:t>
            </w:r>
          </w:p>
        </w:tc>
      </w:tr>
      <w:tr w14:paraId="5B6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7" w:hRule="atLeast"/>
          <w:tblCellSpacing w:w="0" w:type="dxa"/>
          <w:jc w:val="center"/>
        </w:trPr>
        <w:tc>
          <w:tcPr>
            <w:tcW w:w="1079" w:type="dxa"/>
            <w:vMerge w:val="continue"/>
            <w:noWrap w:val="0"/>
            <w:vAlign w:val="center"/>
          </w:tcPr>
          <w:p w14:paraId="5DF65B67">
            <w:pPr>
              <w:jc w:val="center"/>
              <w:rPr>
                <w:rFonts w:hint="eastAsia" w:ascii="仿宋_GB2312" w:hAnsi="仿宋_GB2312" w:eastAsia="仿宋_GB2312" w:cs="仿宋_GB2312"/>
                <w:sz w:val="18"/>
                <w:szCs w:val="18"/>
              </w:rPr>
            </w:pPr>
          </w:p>
        </w:tc>
        <w:tc>
          <w:tcPr>
            <w:tcW w:w="1179" w:type="dxa"/>
            <w:vMerge w:val="continue"/>
            <w:noWrap w:val="0"/>
            <w:vAlign w:val="center"/>
          </w:tcPr>
          <w:p w14:paraId="0780A43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1617F600">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10CDB45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合规性</w:t>
            </w:r>
          </w:p>
        </w:tc>
        <w:tc>
          <w:tcPr>
            <w:tcW w:w="701" w:type="dxa"/>
            <w:noWrap w:val="0"/>
            <w:tcMar>
              <w:top w:w="0" w:type="dxa"/>
              <w:left w:w="105" w:type="dxa"/>
              <w:bottom w:w="0" w:type="dxa"/>
              <w:right w:w="105" w:type="dxa"/>
            </w:tcMar>
            <w:vAlign w:val="center"/>
          </w:tcPr>
          <w:p w14:paraId="2E1E4FE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4750" w:type="dxa"/>
            <w:noWrap w:val="0"/>
            <w:tcMar>
              <w:top w:w="0" w:type="dxa"/>
              <w:left w:w="105" w:type="dxa"/>
              <w:bottom w:w="0" w:type="dxa"/>
              <w:right w:w="105" w:type="dxa"/>
            </w:tcMar>
            <w:vAlign w:val="center"/>
          </w:tcPr>
          <w:p w14:paraId="7BD31BE9">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部门预算资金使用是否符合相关的预算财务管理制度的规定。如①是否符合国家财经法规和财务管理制度规定，以及有关专项资金管理办法的规定；②资金的拨付是否有完整的审批程序和手续；③项目的重大开支是否经过评估论证；④是否存在截留、挤占、挪用、虚列支出等情况。</w:t>
            </w:r>
          </w:p>
        </w:tc>
        <w:tc>
          <w:tcPr>
            <w:tcW w:w="3123" w:type="dxa"/>
            <w:noWrap w:val="0"/>
            <w:tcMar>
              <w:top w:w="0" w:type="dxa"/>
              <w:left w:w="105" w:type="dxa"/>
              <w:bottom w:w="0" w:type="dxa"/>
              <w:right w:w="105" w:type="dxa"/>
            </w:tcMar>
            <w:vAlign w:val="center"/>
          </w:tcPr>
          <w:p w14:paraId="130354E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合规率100%得3分；合规率每下降1%，扣0.5分，扣完为止。</w:t>
            </w:r>
          </w:p>
        </w:tc>
        <w:tc>
          <w:tcPr>
            <w:tcW w:w="1693" w:type="dxa"/>
            <w:noWrap w:val="0"/>
            <w:tcMar>
              <w:top w:w="0" w:type="dxa"/>
              <w:left w:w="105" w:type="dxa"/>
              <w:bottom w:w="0" w:type="dxa"/>
              <w:right w:w="105" w:type="dxa"/>
            </w:tcMar>
            <w:vAlign w:val="center"/>
          </w:tcPr>
          <w:p w14:paraId="4DEAEEB7">
            <w:pPr>
              <w:jc w:val="center"/>
              <w:rPr>
                <w:rFonts w:hint="eastAsia" w:ascii="仿宋_GB2312" w:hAnsi="仿宋_GB2312" w:eastAsia="仿宋_GB2312" w:cs="仿宋_GB2312"/>
                <w:sz w:val="18"/>
                <w:szCs w:val="18"/>
              </w:rPr>
            </w:pPr>
            <w:r>
              <w:rPr>
                <w:rFonts w:hint="eastAsia" w:eastAsia="楷体_GB2312"/>
                <w:sz w:val="18"/>
                <w:szCs w:val="18"/>
                <w:lang w:eastAsia="zh-CN"/>
              </w:rPr>
              <w:t>资金使用合规</w:t>
            </w:r>
          </w:p>
        </w:tc>
        <w:tc>
          <w:tcPr>
            <w:tcW w:w="666" w:type="dxa"/>
            <w:vMerge w:val="continue"/>
            <w:noWrap w:val="0"/>
            <w:vAlign w:val="center"/>
          </w:tcPr>
          <w:p w14:paraId="1449A157">
            <w:pPr>
              <w:jc w:val="center"/>
              <w:rPr>
                <w:rFonts w:hint="eastAsia" w:ascii="仿宋_GB2312" w:hAnsi="仿宋_GB2312" w:eastAsia="仿宋_GB2312" w:cs="仿宋_GB2312"/>
              </w:rPr>
            </w:pPr>
          </w:p>
        </w:tc>
      </w:tr>
      <w:tr w14:paraId="1F1E2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5" w:hRule="atLeast"/>
          <w:tblCellSpacing w:w="0" w:type="dxa"/>
          <w:jc w:val="center"/>
        </w:trPr>
        <w:tc>
          <w:tcPr>
            <w:tcW w:w="1079" w:type="dxa"/>
            <w:vMerge w:val="continue"/>
            <w:noWrap w:val="0"/>
            <w:vAlign w:val="center"/>
          </w:tcPr>
          <w:p w14:paraId="15330AD7">
            <w:pPr>
              <w:jc w:val="center"/>
              <w:rPr>
                <w:rFonts w:hint="eastAsia" w:ascii="仿宋_GB2312" w:hAnsi="仿宋_GB2312" w:eastAsia="仿宋_GB2312" w:cs="仿宋_GB2312"/>
                <w:sz w:val="18"/>
                <w:szCs w:val="18"/>
              </w:rPr>
            </w:pPr>
          </w:p>
        </w:tc>
        <w:tc>
          <w:tcPr>
            <w:tcW w:w="1179" w:type="dxa"/>
            <w:vMerge w:val="continue"/>
            <w:noWrap w:val="0"/>
            <w:vAlign w:val="center"/>
          </w:tcPr>
          <w:p w14:paraId="6BB0E7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3615F81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资金使用</w:t>
            </w:r>
          </w:p>
          <w:p w14:paraId="7E3FC02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合理性</w:t>
            </w:r>
          </w:p>
        </w:tc>
        <w:tc>
          <w:tcPr>
            <w:tcW w:w="701" w:type="dxa"/>
            <w:noWrap w:val="0"/>
            <w:tcMar>
              <w:top w:w="0" w:type="dxa"/>
              <w:left w:w="105" w:type="dxa"/>
              <w:bottom w:w="0" w:type="dxa"/>
              <w:right w:w="105" w:type="dxa"/>
            </w:tcMar>
            <w:vAlign w:val="center"/>
          </w:tcPr>
          <w:p w14:paraId="3433BF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543151A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部门预算资金使用是否与批准的预算及其预算内容相符合。</w:t>
            </w:r>
          </w:p>
        </w:tc>
        <w:tc>
          <w:tcPr>
            <w:tcW w:w="3123" w:type="dxa"/>
            <w:noWrap w:val="0"/>
            <w:tcMar>
              <w:top w:w="0" w:type="dxa"/>
              <w:left w:w="105" w:type="dxa"/>
              <w:bottom w:w="0" w:type="dxa"/>
              <w:right w:w="105" w:type="dxa"/>
            </w:tcMar>
            <w:vAlign w:val="center"/>
          </w:tcPr>
          <w:p w14:paraId="51BA232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相符率100%得2分；相符率每下降1%，扣0.5分，扣完为止。</w:t>
            </w:r>
          </w:p>
        </w:tc>
        <w:tc>
          <w:tcPr>
            <w:tcW w:w="1693" w:type="dxa"/>
            <w:shd w:val="clear" w:color="auto" w:fill="auto"/>
            <w:noWrap w:val="0"/>
            <w:tcMar>
              <w:top w:w="0" w:type="dxa"/>
              <w:left w:w="105" w:type="dxa"/>
              <w:bottom w:w="0" w:type="dxa"/>
              <w:right w:w="105" w:type="dxa"/>
            </w:tcMar>
            <w:vAlign w:val="center"/>
          </w:tcPr>
          <w:p w14:paraId="422AC3F6">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资金使用合理</w:t>
            </w:r>
          </w:p>
        </w:tc>
        <w:tc>
          <w:tcPr>
            <w:tcW w:w="666" w:type="dxa"/>
            <w:noWrap w:val="0"/>
            <w:tcMar>
              <w:top w:w="0" w:type="dxa"/>
              <w:left w:w="105" w:type="dxa"/>
              <w:bottom w:w="0" w:type="dxa"/>
              <w:right w:w="105" w:type="dxa"/>
            </w:tcMar>
            <w:vAlign w:val="center"/>
          </w:tcPr>
          <w:p w14:paraId="7170D63A">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1D2F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9" w:hRule="atLeast"/>
          <w:tblCellSpacing w:w="0" w:type="dxa"/>
          <w:jc w:val="center"/>
        </w:trPr>
        <w:tc>
          <w:tcPr>
            <w:tcW w:w="1079" w:type="dxa"/>
            <w:vMerge w:val="continue"/>
            <w:noWrap w:val="0"/>
            <w:vAlign w:val="center"/>
          </w:tcPr>
          <w:p w14:paraId="474E6945">
            <w:pPr>
              <w:jc w:val="center"/>
              <w:rPr>
                <w:rFonts w:hint="eastAsia" w:ascii="仿宋_GB2312" w:hAnsi="仿宋_GB2312" w:eastAsia="仿宋_GB2312" w:cs="仿宋_GB2312"/>
                <w:sz w:val="18"/>
                <w:szCs w:val="18"/>
              </w:rPr>
            </w:pPr>
          </w:p>
        </w:tc>
        <w:tc>
          <w:tcPr>
            <w:tcW w:w="1179" w:type="dxa"/>
            <w:vMerge w:val="continue"/>
            <w:noWrap w:val="0"/>
            <w:vAlign w:val="center"/>
          </w:tcPr>
          <w:p w14:paraId="73B172A9">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7615609">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整改</w:t>
            </w:r>
          </w:p>
          <w:p w14:paraId="41C92E5A">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落实</w:t>
            </w:r>
          </w:p>
        </w:tc>
        <w:tc>
          <w:tcPr>
            <w:tcW w:w="701" w:type="dxa"/>
            <w:noWrap w:val="0"/>
            <w:tcMar>
              <w:top w:w="0" w:type="dxa"/>
              <w:left w:w="105" w:type="dxa"/>
              <w:bottom w:w="0" w:type="dxa"/>
              <w:right w:w="105" w:type="dxa"/>
            </w:tcMar>
            <w:vAlign w:val="center"/>
          </w:tcPr>
          <w:p w14:paraId="45464A24">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F35A8A3">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是否对近三年内审计、财政等部门各项检查中、绩效评价发现违法违规问题已经进行有效整改。</w:t>
            </w:r>
          </w:p>
        </w:tc>
        <w:tc>
          <w:tcPr>
            <w:tcW w:w="3123" w:type="dxa"/>
            <w:noWrap w:val="0"/>
            <w:tcMar>
              <w:top w:w="0" w:type="dxa"/>
              <w:left w:w="105" w:type="dxa"/>
              <w:bottom w:w="0" w:type="dxa"/>
              <w:right w:w="105" w:type="dxa"/>
            </w:tcMar>
            <w:vAlign w:val="center"/>
          </w:tcPr>
          <w:p w14:paraId="1A693321">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没发现违法违规问题或发现违法违纪行为并积极制定措施全部整改的，得2分；部分整改的，视整改情况得0.5至1分；未整改的，得0分。</w:t>
            </w:r>
          </w:p>
        </w:tc>
        <w:tc>
          <w:tcPr>
            <w:tcW w:w="1693" w:type="dxa"/>
            <w:shd w:val="clear" w:color="auto" w:fill="auto"/>
            <w:noWrap w:val="0"/>
            <w:tcMar>
              <w:top w:w="0" w:type="dxa"/>
              <w:left w:w="105" w:type="dxa"/>
              <w:bottom w:w="0" w:type="dxa"/>
              <w:right w:w="105" w:type="dxa"/>
            </w:tcMar>
            <w:vAlign w:val="center"/>
          </w:tcPr>
          <w:p w14:paraId="734847D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全部整改</w:t>
            </w:r>
          </w:p>
        </w:tc>
        <w:tc>
          <w:tcPr>
            <w:tcW w:w="666" w:type="dxa"/>
            <w:noWrap w:val="0"/>
            <w:tcMar>
              <w:top w:w="0" w:type="dxa"/>
              <w:left w:w="105" w:type="dxa"/>
              <w:bottom w:w="0" w:type="dxa"/>
              <w:right w:w="105" w:type="dxa"/>
            </w:tcMar>
            <w:vAlign w:val="center"/>
          </w:tcPr>
          <w:p w14:paraId="4666736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4DAB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2" w:hRule="atLeast"/>
          <w:tblCellSpacing w:w="0" w:type="dxa"/>
          <w:jc w:val="center"/>
        </w:trPr>
        <w:tc>
          <w:tcPr>
            <w:tcW w:w="1079" w:type="dxa"/>
            <w:vMerge w:val="continue"/>
            <w:noWrap w:val="0"/>
            <w:vAlign w:val="center"/>
          </w:tcPr>
          <w:p w14:paraId="0AFEAB7C">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188A10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资产管理（5分）</w:t>
            </w:r>
          </w:p>
        </w:tc>
        <w:tc>
          <w:tcPr>
            <w:tcW w:w="1226" w:type="dxa"/>
            <w:noWrap w:val="0"/>
            <w:tcMar>
              <w:top w:w="0" w:type="dxa"/>
              <w:left w:w="105" w:type="dxa"/>
              <w:bottom w:w="0" w:type="dxa"/>
              <w:right w:w="105" w:type="dxa"/>
            </w:tcMar>
            <w:vAlign w:val="center"/>
          </w:tcPr>
          <w:p w14:paraId="3B0A152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资产管理制度健全性</w:t>
            </w:r>
          </w:p>
        </w:tc>
        <w:tc>
          <w:tcPr>
            <w:tcW w:w="701" w:type="dxa"/>
            <w:noWrap w:val="0"/>
            <w:tcMar>
              <w:top w:w="0" w:type="dxa"/>
              <w:left w:w="105" w:type="dxa"/>
              <w:bottom w:w="0" w:type="dxa"/>
              <w:right w:w="105" w:type="dxa"/>
            </w:tcMar>
            <w:vAlign w:val="center"/>
          </w:tcPr>
          <w:p w14:paraId="65E2D08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w:t>
            </w:r>
          </w:p>
        </w:tc>
        <w:tc>
          <w:tcPr>
            <w:tcW w:w="4750" w:type="dxa"/>
            <w:noWrap w:val="0"/>
            <w:tcMar>
              <w:top w:w="0" w:type="dxa"/>
              <w:left w:w="105" w:type="dxa"/>
              <w:bottom w:w="0" w:type="dxa"/>
              <w:right w:w="105" w:type="dxa"/>
            </w:tcMar>
            <w:vAlign w:val="center"/>
          </w:tcPr>
          <w:p w14:paraId="3D2FE6A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部门为加强资产管理、规范资产管理行为而制定的管理制度是否健全完整，是否合法合规，是否执行到位。</w:t>
            </w:r>
          </w:p>
        </w:tc>
        <w:tc>
          <w:tcPr>
            <w:tcW w:w="3123" w:type="dxa"/>
            <w:noWrap w:val="0"/>
            <w:tcMar>
              <w:top w:w="0" w:type="dxa"/>
              <w:left w:w="105" w:type="dxa"/>
              <w:bottom w:w="0" w:type="dxa"/>
              <w:right w:w="105" w:type="dxa"/>
            </w:tcMar>
            <w:vAlign w:val="center"/>
          </w:tcPr>
          <w:p w14:paraId="38A4BE4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93" w:type="dxa"/>
            <w:shd w:val="clear" w:color="auto" w:fill="auto"/>
            <w:noWrap w:val="0"/>
            <w:tcMar>
              <w:top w:w="0" w:type="dxa"/>
              <w:left w:w="105" w:type="dxa"/>
              <w:bottom w:w="0" w:type="dxa"/>
              <w:right w:w="105" w:type="dxa"/>
            </w:tcMar>
            <w:vAlign w:val="center"/>
          </w:tcPr>
          <w:p w14:paraId="2B82868F">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资产管理制度健全，合法合规，执行到位</w:t>
            </w:r>
          </w:p>
        </w:tc>
        <w:tc>
          <w:tcPr>
            <w:tcW w:w="666" w:type="dxa"/>
            <w:noWrap w:val="0"/>
            <w:tcMar>
              <w:top w:w="0" w:type="dxa"/>
              <w:left w:w="105" w:type="dxa"/>
              <w:bottom w:w="0" w:type="dxa"/>
              <w:right w:w="105" w:type="dxa"/>
            </w:tcMar>
            <w:vAlign w:val="center"/>
          </w:tcPr>
          <w:p w14:paraId="295DD51E">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w:t>
            </w:r>
          </w:p>
        </w:tc>
      </w:tr>
      <w:tr w14:paraId="2CCFD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6" w:hRule="atLeast"/>
          <w:tblCellSpacing w:w="0" w:type="dxa"/>
          <w:jc w:val="center"/>
        </w:trPr>
        <w:tc>
          <w:tcPr>
            <w:tcW w:w="1079" w:type="dxa"/>
            <w:vMerge w:val="continue"/>
            <w:noWrap w:val="0"/>
            <w:vAlign w:val="center"/>
          </w:tcPr>
          <w:p w14:paraId="1862B5CA">
            <w:pPr>
              <w:jc w:val="center"/>
              <w:rPr>
                <w:rFonts w:hint="eastAsia" w:ascii="仿宋_GB2312" w:hAnsi="仿宋_GB2312" w:eastAsia="仿宋_GB2312" w:cs="仿宋_GB2312"/>
                <w:sz w:val="18"/>
                <w:szCs w:val="18"/>
              </w:rPr>
            </w:pPr>
          </w:p>
        </w:tc>
        <w:tc>
          <w:tcPr>
            <w:tcW w:w="1179" w:type="dxa"/>
            <w:vMerge w:val="continue"/>
            <w:noWrap w:val="0"/>
            <w:vAlign w:val="center"/>
          </w:tcPr>
          <w:p w14:paraId="2E9866DC">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429B2245">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资产管理</w:t>
            </w:r>
          </w:p>
          <w:p w14:paraId="7264D0ED">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安全性</w:t>
            </w:r>
          </w:p>
        </w:tc>
        <w:tc>
          <w:tcPr>
            <w:tcW w:w="701" w:type="dxa"/>
            <w:noWrap w:val="0"/>
            <w:tcMar>
              <w:top w:w="0" w:type="dxa"/>
              <w:left w:w="105" w:type="dxa"/>
              <w:bottom w:w="0" w:type="dxa"/>
              <w:right w:w="105" w:type="dxa"/>
            </w:tcMar>
            <w:vAlign w:val="center"/>
          </w:tcPr>
          <w:p w14:paraId="18956489">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4D334B4B">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部门的资产是否保存完整、使用合规、配置合理、处置规范、收入及时足额上缴。</w:t>
            </w:r>
          </w:p>
        </w:tc>
        <w:tc>
          <w:tcPr>
            <w:tcW w:w="3123" w:type="dxa"/>
            <w:noWrap w:val="0"/>
            <w:tcMar>
              <w:top w:w="0" w:type="dxa"/>
              <w:left w:w="105" w:type="dxa"/>
              <w:bottom w:w="0" w:type="dxa"/>
              <w:right w:w="105" w:type="dxa"/>
            </w:tcMar>
            <w:vAlign w:val="center"/>
          </w:tcPr>
          <w:p w14:paraId="7A4779D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每发现一项问题，扣0.5分，扣完为止。</w:t>
            </w:r>
          </w:p>
        </w:tc>
        <w:tc>
          <w:tcPr>
            <w:tcW w:w="1693" w:type="dxa"/>
            <w:shd w:val="clear" w:color="auto" w:fill="auto"/>
            <w:noWrap w:val="0"/>
            <w:tcMar>
              <w:top w:w="0" w:type="dxa"/>
              <w:left w:w="105" w:type="dxa"/>
              <w:bottom w:w="0" w:type="dxa"/>
              <w:right w:w="105" w:type="dxa"/>
            </w:tcMar>
            <w:vAlign w:val="center"/>
          </w:tcPr>
          <w:p w14:paraId="15DA5199">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资产保存完整</w:t>
            </w:r>
          </w:p>
        </w:tc>
        <w:tc>
          <w:tcPr>
            <w:tcW w:w="666" w:type="dxa"/>
            <w:noWrap w:val="0"/>
            <w:tcMar>
              <w:top w:w="0" w:type="dxa"/>
              <w:left w:w="105" w:type="dxa"/>
              <w:bottom w:w="0" w:type="dxa"/>
              <w:right w:w="105" w:type="dxa"/>
            </w:tcMar>
            <w:vAlign w:val="center"/>
          </w:tcPr>
          <w:p w14:paraId="458CAEB0">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0527A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8014734">
            <w:pPr>
              <w:jc w:val="center"/>
              <w:rPr>
                <w:rFonts w:hint="eastAsia" w:ascii="仿宋_GB2312" w:hAnsi="仿宋_GB2312" w:eastAsia="仿宋_GB2312" w:cs="仿宋_GB2312"/>
                <w:sz w:val="18"/>
                <w:szCs w:val="18"/>
              </w:rPr>
            </w:pPr>
          </w:p>
        </w:tc>
        <w:tc>
          <w:tcPr>
            <w:tcW w:w="1179" w:type="dxa"/>
            <w:vMerge w:val="continue"/>
            <w:noWrap w:val="0"/>
            <w:vAlign w:val="center"/>
          </w:tcPr>
          <w:p w14:paraId="03CF359E">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61FC3E4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w:t>
            </w:r>
          </w:p>
          <w:p w14:paraId="7E0A9C76">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利用率</w:t>
            </w:r>
          </w:p>
        </w:tc>
        <w:tc>
          <w:tcPr>
            <w:tcW w:w="701" w:type="dxa"/>
            <w:noWrap w:val="0"/>
            <w:tcMar>
              <w:top w:w="0" w:type="dxa"/>
              <w:left w:w="105" w:type="dxa"/>
              <w:bottom w:w="0" w:type="dxa"/>
              <w:right w:w="105" w:type="dxa"/>
            </w:tcMar>
            <w:vAlign w:val="center"/>
          </w:tcPr>
          <w:p w14:paraId="1AB3C0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4750" w:type="dxa"/>
            <w:noWrap w:val="0"/>
            <w:tcMar>
              <w:top w:w="0" w:type="dxa"/>
              <w:left w:w="105" w:type="dxa"/>
              <w:bottom w:w="0" w:type="dxa"/>
              <w:right w:w="105" w:type="dxa"/>
            </w:tcMar>
            <w:vAlign w:val="center"/>
          </w:tcPr>
          <w:p w14:paraId="015833C5">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固定资产利用率=（实际在用固定资产总额/所有固定资产总额）×100%</w:t>
            </w:r>
          </w:p>
        </w:tc>
        <w:tc>
          <w:tcPr>
            <w:tcW w:w="3123" w:type="dxa"/>
            <w:noWrap w:val="0"/>
            <w:tcMar>
              <w:top w:w="0" w:type="dxa"/>
              <w:left w:w="105" w:type="dxa"/>
              <w:bottom w:w="0" w:type="dxa"/>
              <w:right w:w="105" w:type="dxa"/>
            </w:tcMar>
            <w:vAlign w:val="center"/>
          </w:tcPr>
          <w:p w14:paraId="41FAE39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99%≤结果≤100%，得2分；</w:t>
            </w:r>
          </w:p>
          <w:p w14:paraId="41B4B941">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90%≤结果＜99%，得1分；</w:t>
            </w:r>
          </w:p>
          <w:p w14:paraId="226518DB">
            <w:pPr>
              <w:spacing w:line="300" w:lineRule="exact"/>
              <w:jc w:val="left"/>
              <w:rPr>
                <w:rFonts w:hint="eastAsia" w:ascii="仿宋_GB2312" w:hAnsi="仿宋_GB2312" w:eastAsia="仿宋_GB2312" w:cs="仿宋_GB2312"/>
                <w:spacing w:val="-20"/>
                <w:sz w:val="18"/>
                <w:szCs w:val="18"/>
              </w:rPr>
            </w:pPr>
            <w:r>
              <w:rPr>
                <w:rFonts w:hint="eastAsia" w:ascii="仿宋_GB2312" w:hAnsi="仿宋_GB2312" w:eastAsia="仿宋_GB2312" w:cs="仿宋_GB2312"/>
                <w:sz w:val="18"/>
                <w:szCs w:val="18"/>
              </w:rPr>
              <w:t>结果＜90%，得0分。</w:t>
            </w:r>
          </w:p>
        </w:tc>
        <w:tc>
          <w:tcPr>
            <w:tcW w:w="1693" w:type="dxa"/>
            <w:noWrap w:val="0"/>
            <w:tcMar>
              <w:top w:w="0" w:type="dxa"/>
              <w:left w:w="105" w:type="dxa"/>
              <w:bottom w:w="0" w:type="dxa"/>
              <w:right w:w="105" w:type="dxa"/>
            </w:tcMar>
            <w:vAlign w:val="center"/>
          </w:tcPr>
          <w:p w14:paraId="51EE681F">
            <w:pPr>
              <w:jc w:val="center"/>
              <w:rPr>
                <w:rFonts w:hint="default" w:ascii="仿宋_GB2312" w:hAnsi="仿宋_GB2312" w:eastAsia="仿宋_GB2312" w:cs="仿宋_GB2312"/>
                <w:sz w:val="18"/>
                <w:szCs w:val="18"/>
                <w:lang w:val="en-US" w:eastAsia="zh-CN"/>
              </w:rPr>
            </w:pPr>
            <w:r>
              <w:rPr>
                <w:rFonts w:hint="eastAsia" w:ascii="Arial" w:hAnsi="Arial" w:eastAsia="仿宋_GB2312" w:cs="Arial"/>
                <w:sz w:val="18"/>
                <w:szCs w:val="18"/>
                <w:lang w:val="en-US" w:eastAsia="zh-CN"/>
              </w:rPr>
              <w:t>860.93/860.93=100%</w:t>
            </w:r>
          </w:p>
        </w:tc>
        <w:tc>
          <w:tcPr>
            <w:tcW w:w="666" w:type="dxa"/>
            <w:noWrap w:val="0"/>
            <w:tcMar>
              <w:top w:w="0" w:type="dxa"/>
              <w:left w:w="105" w:type="dxa"/>
              <w:bottom w:w="0" w:type="dxa"/>
              <w:right w:w="105" w:type="dxa"/>
            </w:tcMar>
            <w:vAlign w:val="center"/>
          </w:tcPr>
          <w:p w14:paraId="24DF57A5">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r>
      <w:tr w14:paraId="2E310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4" w:hRule="atLeast"/>
          <w:tblCellSpacing w:w="0" w:type="dxa"/>
          <w:jc w:val="center"/>
        </w:trPr>
        <w:tc>
          <w:tcPr>
            <w:tcW w:w="1079" w:type="dxa"/>
            <w:vMerge w:val="restart"/>
            <w:noWrap w:val="0"/>
            <w:tcMar>
              <w:top w:w="0" w:type="dxa"/>
              <w:left w:w="105" w:type="dxa"/>
              <w:bottom w:w="0" w:type="dxa"/>
              <w:right w:w="105" w:type="dxa"/>
            </w:tcMar>
            <w:vAlign w:val="center"/>
          </w:tcPr>
          <w:p w14:paraId="5FE8E4E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产出与效果(共60分)</w:t>
            </w:r>
          </w:p>
        </w:tc>
        <w:tc>
          <w:tcPr>
            <w:tcW w:w="1179" w:type="dxa"/>
            <w:vMerge w:val="restart"/>
            <w:noWrap w:val="0"/>
            <w:tcMar>
              <w:top w:w="0" w:type="dxa"/>
              <w:left w:w="105" w:type="dxa"/>
              <w:bottom w:w="0" w:type="dxa"/>
              <w:right w:w="105" w:type="dxa"/>
            </w:tcMar>
            <w:vAlign w:val="center"/>
          </w:tcPr>
          <w:p w14:paraId="7A68FC48">
            <w:pPr>
              <w:spacing w:before="100" w:beforeAutospacing="1" w:after="100" w:afterAutospacing="1"/>
              <w:jc w:val="center"/>
              <w:rPr>
                <w:rFonts w:hint="eastAsia" w:ascii="仿宋_GB2312" w:hAnsi="仿宋_GB2312" w:eastAsia="仿宋_GB2312" w:cs="仿宋_GB2312"/>
                <w:sz w:val="18"/>
                <w:szCs w:val="18"/>
              </w:rPr>
            </w:pPr>
          </w:p>
          <w:p w14:paraId="2E2D13A3">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产出指标（30分）</w:t>
            </w:r>
          </w:p>
        </w:tc>
        <w:tc>
          <w:tcPr>
            <w:tcW w:w="1226" w:type="dxa"/>
            <w:noWrap w:val="0"/>
            <w:tcMar>
              <w:top w:w="0" w:type="dxa"/>
              <w:left w:w="105" w:type="dxa"/>
              <w:bottom w:w="0" w:type="dxa"/>
              <w:right w:w="105" w:type="dxa"/>
            </w:tcMar>
            <w:vAlign w:val="center"/>
          </w:tcPr>
          <w:p w14:paraId="01F6969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数量</w:t>
            </w:r>
          </w:p>
        </w:tc>
        <w:tc>
          <w:tcPr>
            <w:tcW w:w="701" w:type="dxa"/>
            <w:noWrap w:val="0"/>
            <w:tcMar>
              <w:top w:w="0" w:type="dxa"/>
              <w:left w:w="105" w:type="dxa"/>
              <w:bottom w:w="0" w:type="dxa"/>
              <w:right w:w="105" w:type="dxa"/>
            </w:tcMar>
            <w:vAlign w:val="center"/>
          </w:tcPr>
          <w:p w14:paraId="06D03CC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E269B89">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对照整体绩效目标评价。未设置整体绩效目标，或整体绩效目标设置不完善的，根据部门年度履行职责主要工作和重点工作计划任务数与实际完成任务数的比率评价得分。</w:t>
            </w:r>
          </w:p>
        </w:tc>
        <w:tc>
          <w:tcPr>
            <w:tcW w:w="3123" w:type="dxa"/>
            <w:noWrap w:val="0"/>
            <w:tcMar>
              <w:top w:w="0" w:type="dxa"/>
              <w:left w:w="105" w:type="dxa"/>
              <w:bottom w:w="0" w:type="dxa"/>
              <w:right w:w="105" w:type="dxa"/>
            </w:tcMar>
            <w:vAlign w:val="center"/>
          </w:tcPr>
          <w:p w14:paraId="7454C372">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对照绩效目标，按实际产出数量率计算得分</w:t>
            </w:r>
          </w:p>
        </w:tc>
        <w:tc>
          <w:tcPr>
            <w:tcW w:w="1693" w:type="dxa"/>
            <w:noWrap w:val="0"/>
            <w:tcMar>
              <w:top w:w="0" w:type="dxa"/>
              <w:left w:w="105" w:type="dxa"/>
              <w:bottom w:w="0" w:type="dxa"/>
              <w:right w:w="105" w:type="dxa"/>
            </w:tcMar>
            <w:vAlign w:val="center"/>
          </w:tcPr>
          <w:p w14:paraId="695E4750">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根据师生心理发展规律，完成培养师生良好心理素质，上学期2次、下学期2次</w:t>
            </w:r>
          </w:p>
        </w:tc>
        <w:tc>
          <w:tcPr>
            <w:tcW w:w="666" w:type="dxa"/>
            <w:noWrap w:val="0"/>
            <w:tcMar>
              <w:top w:w="0" w:type="dxa"/>
              <w:left w:w="105" w:type="dxa"/>
              <w:bottom w:w="0" w:type="dxa"/>
              <w:right w:w="105" w:type="dxa"/>
            </w:tcMar>
            <w:vAlign w:val="center"/>
          </w:tcPr>
          <w:p w14:paraId="0AAFEE07">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9</w:t>
            </w:r>
          </w:p>
        </w:tc>
      </w:tr>
      <w:tr w14:paraId="44ED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9" w:hRule="atLeast"/>
          <w:tblCellSpacing w:w="0" w:type="dxa"/>
          <w:jc w:val="center"/>
        </w:trPr>
        <w:tc>
          <w:tcPr>
            <w:tcW w:w="1079" w:type="dxa"/>
            <w:vMerge w:val="continue"/>
            <w:noWrap w:val="0"/>
            <w:vAlign w:val="center"/>
          </w:tcPr>
          <w:p w14:paraId="107C8C6C">
            <w:pPr>
              <w:jc w:val="center"/>
              <w:rPr>
                <w:rFonts w:hint="eastAsia" w:ascii="仿宋_GB2312" w:hAnsi="仿宋_GB2312" w:eastAsia="仿宋_GB2312" w:cs="仿宋_GB2312"/>
                <w:sz w:val="18"/>
                <w:szCs w:val="18"/>
              </w:rPr>
            </w:pPr>
          </w:p>
        </w:tc>
        <w:tc>
          <w:tcPr>
            <w:tcW w:w="1179" w:type="dxa"/>
            <w:vMerge w:val="continue"/>
            <w:noWrap w:val="0"/>
            <w:vAlign w:val="center"/>
          </w:tcPr>
          <w:p w14:paraId="7DDA1F7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75D66DF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质量</w:t>
            </w:r>
          </w:p>
        </w:tc>
        <w:tc>
          <w:tcPr>
            <w:tcW w:w="701" w:type="dxa"/>
            <w:noWrap w:val="0"/>
            <w:tcMar>
              <w:top w:w="0" w:type="dxa"/>
              <w:left w:w="105" w:type="dxa"/>
              <w:bottom w:w="0" w:type="dxa"/>
              <w:right w:w="105" w:type="dxa"/>
            </w:tcMar>
            <w:vAlign w:val="center"/>
          </w:tcPr>
          <w:p w14:paraId="4F5F6A6D">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179850A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对照整体绩效目标评价。未设置整体绩效目标，或整体绩效目标设置不完善的，根据部门年度履行职责主要工作和重点工作，标识具体明确的产出质量。</w:t>
            </w:r>
          </w:p>
        </w:tc>
        <w:tc>
          <w:tcPr>
            <w:tcW w:w="3123" w:type="dxa"/>
            <w:noWrap w:val="0"/>
            <w:tcMar>
              <w:top w:w="0" w:type="dxa"/>
              <w:left w:w="105" w:type="dxa"/>
              <w:bottom w:w="0" w:type="dxa"/>
              <w:right w:w="105" w:type="dxa"/>
            </w:tcMar>
            <w:vAlign w:val="center"/>
          </w:tcPr>
          <w:p w14:paraId="4BACBE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对照绩效目标，按实际产出质量计算得分</w:t>
            </w:r>
          </w:p>
        </w:tc>
        <w:tc>
          <w:tcPr>
            <w:tcW w:w="1693" w:type="dxa"/>
            <w:noWrap w:val="0"/>
            <w:tcMar>
              <w:top w:w="0" w:type="dxa"/>
              <w:left w:w="105" w:type="dxa"/>
              <w:bottom w:w="0" w:type="dxa"/>
              <w:right w:w="105" w:type="dxa"/>
            </w:tcMar>
            <w:vAlign w:val="center"/>
          </w:tcPr>
          <w:p w14:paraId="46133EED">
            <w:pPr>
              <w:jc w:val="center"/>
              <w:rPr>
                <w:rFonts w:hint="eastAsia" w:ascii="仿宋_GB2312" w:hAnsi="仿宋_GB2312" w:eastAsia="仿宋_GB2312" w:cs="仿宋_GB2312"/>
                <w:sz w:val="18"/>
                <w:szCs w:val="18"/>
              </w:rPr>
            </w:pPr>
            <w:r>
              <w:rPr>
                <w:rFonts w:hint="eastAsia" w:eastAsia="楷体_GB2312"/>
                <w:color w:val="auto"/>
                <w:sz w:val="18"/>
                <w:szCs w:val="18"/>
                <w:lang w:eastAsia="zh-CN"/>
              </w:rPr>
              <w:t>心理健康室验收合格，</w:t>
            </w:r>
            <w:r>
              <w:rPr>
                <w:rFonts w:hint="eastAsia" w:eastAsia="楷体_GB2312"/>
                <w:color w:val="auto"/>
                <w:sz w:val="18"/>
                <w:szCs w:val="18"/>
              </w:rPr>
              <w:t>学生资助面达到100%</w:t>
            </w:r>
          </w:p>
        </w:tc>
        <w:tc>
          <w:tcPr>
            <w:tcW w:w="666" w:type="dxa"/>
            <w:noWrap w:val="0"/>
            <w:tcMar>
              <w:top w:w="0" w:type="dxa"/>
              <w:left w:w="105" w:type="dxa"/>
              <w:bottom w:w="0" w:type="dxa"/>
              <w:right w:w="105" w:type="dxa"/>
            </w:tcMar>
            <w:vAlign w:val="center"/>
          </w:tcPr>
          <w:p w14:paraId="0BF63DD5">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83D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4" w:hRule="atLeast"/>
          <w:tblCellSpacing w:w="0" w:type="dxa"/>
          <w:jc w:val="center"/>
        </w:trPr>
        <w:tc>
          <w:tcPr>
            <w:tcW w:w="1079" w:type="dxa"/>
            <w:vMerge w:val="continue"/>
            <w:noWrap w:val="0"/>
            <w:vAlign w:val="center"/>
          </w:tcPr>
          <w:p w14:paraId="1565378B">
            <w:pPr>
              <w:jc w:val="center"/>
              <w:rPr>
                <w:rFonts w:hint="eastAsia" w:ascii="仿宋_GB2312" w:hAnsi="仿宋_GB2312" w:eastAsia="仿宋_GB2312" w:cs="仿宋_GB2312"/>
                <w:sz w:val="18"/>
                <w:szCs w:val="18"/>
              </w:rPr>
            </w:pPr>
          </w:p>
        </w:tc>
        <w:tc>
          <w:tcPr>
            <w:tcW w:w="1179" w:type="dxa"/>
            <w:vMerge w:val="continue"/>
            <w:noWrap w:val="0"/>
            <w:vAlign w:val="center"/>
          </w:tcPr>
          <w:p w14:paraId="2178A612">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26E7012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时效</w:t>
            </w:r>
          </w:p>
        </w:tc>
        <w:tc>
          <w:tcPr>
            <w:tcW w:w="701" w:type="dxa"/>
            <w:noWrap w:val="0"/>
            <w:tcMar>
              <w:top w:w="0" w:type="dxa"/>
              <w:left w:w="105" w:type="dxa"/>
              <w:bottom w:w="0" w:type="dxa"/>
              <w:right w:w="105" w:type="dxa"/>
            </w:tcMar>
            <w:vAlign w:val="center"/>
          </w:tcPr>
          <w:p w14:paraId="26F16F95">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24B694DE">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对照整体绩效目标评价。未设置整体绩效目标，或整体绩效目标设置不完善的，根据部门年度履行职责主要工作和重点工作，标识具体明确的产出时效。</w:t>
            </w:r>
          </w:p>
        </w:tc>
        <w:tc>
          <w:tcPr>
            <w:tcW w:w="3123" w:type="dxa"/>
            <w:noWrap w:val="0"/>
            <w:tcMar>
              <w:top w:w="0" w:type="dxa"/>
              <w:left w:w="105" w:type="dxa"/>
              <w:bottom w:w="0" w:type="dxa"/>
              <w:right w:w="105" w:type="dxa"/>
            </w:tcMar>
            <w:vAlign w:val="center"/>
          </w:tcPr>
          <w:p w14:paraId="1B5ABF9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对照绩效目标，按实际产出时效计算得分</w:t>
            </w:r>
          </w:p>
        </w:tc>
        <w:tc>
          <w:tcPr>
            <w:tcW w:w="1693" w:type="dxa"/>
            <w:noWrap w:val="0"/>
            <w:tcMar>
              <w:top w:w="0" w:type="dxa"/>
              <w:left w:w="105" w:type="dxa"/>
              <w:bottom w:w="0" w:type="dxa"/>
              <w:right w:w="105" w:type="dxa"/>
            </w:tcMar>
            <w:vAlign w:val="center"/>
          </w:tcPr>
          <w:p w14:paraId="4A725CF4">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各级部门安排德育处工作，按时完成情况</w:t>
            </w:r>
          </w:p>
        </w:tc>
        <w:tc>
          <w:tcPr>
            <w:tcW w:w="666" w:type="dxa"/>
            <w:noWrap w:val="0"/>
            <w:tcMar>
              <w:top w:w="0" w:type="dxa"/>
              <w:left w:w="105" w:type="dxa"/>
              <w:bottom w:w="0" w:type="dxa"/>
              <w:right w:w="105" w:type="dxa"/>
            </w:tcMar>
            <w:vAlign w:val="center"/>
          </w:tcPr>
          <w:p w14:paraId="0C168BF3">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1AB9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tblCellSpacing w:w="0" w:type="dxa"/>
          <w:jc w:val="center"/>
        </w:trPr>
        <w:tc>
          <w:tcPr>
            <w:tcW w:w="1079" w:type="dxa"/>
            <w:vMerge w:val="continue"/>
            <w:noWrap w:val="0"/>
            <w:vAlign w:val="center"/>
          </w:tcPr>
          <w:p w14:paraId="0106008B">
            <w:pPr>
              <w:jc w:val="center"/>
              <w:rPr>
                <w:rFonts w:hint="eastAsia" w:ascii="仿宋_GB2312" w:hAnsi="仿宋_GB2312" w:eastAsia="仿宋_GB2312" w:cs="仿宋_GB2312"/>
                <w:sz w:val="18"/>
                <w:szCs w:val="18"/>
              </w:rPr>
            </w:pPr>
          </w:p>
        </w:tc>
        <w:tc>
          <w:tcPr>
            <w:tcW w:w="1179" w:type="dxa"/>
            <w:vMerge w:val="restart"/>
            <w:noWrap w:val="0"/>
            <w:tcMar>
              <w:top w:w="0" w:type="dxa"/>
              <w:left w:w="105" w:type="dxa"/>
              <w:bottom w:w="0" w:type="dxa"/>
              <w:right w:w="105" w:type="dxa"/>
            </w:tcMar>
            <w:vAlign w:val="center"/>
          </w:tcPr>
          <w:p w14:paraId="5FAF0B10">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效益指标（30分）</w:t>
            </w:r>
          </w:p>
        </w:tc>
        <w:tc>
          <w:tcPr>
            <w:tcW w:w="1226" w:type="dxa"/>
            <w:noWrap w:val="0"/>
            <w:tcMar>
              <w:top w:w="0" w:type="dxa"/>
              <w:left w:w="105" w:type="dxa"/>
              <w:bottom w:w="0" w:type="dxa"/>
              <w:right w:w="105" w:type="dxa"/>
            </w:tcMar>
            <w:vAlign w:val="center"/>
          </w:tcPr>
          <w:p w14:paraId="09105EAB">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经济</w:t>
            </w:r>
          </w:p>
          <w:p w14:paraId="4BE0359C">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restart"/>
            <w:noWrap w:val="0"/>
            <w:tcMar>
              <w:top w:w="0" w:type="dxa"/>
              <w:left w:w="105" w:type="dxa"/>
              <w:bottom w:w="0" w:type="dxa"/>
              <w:right w:w="105" w:type="dxa"/>
            </w:tcMar>
            <w:vAlign w:val="center"/>
          </w:tcPr>
          <w:p w14:paraId="68759F62">
            <w:pPr>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20</w:t>
            </w:r>
          </w:p>
        </w:tc>
        <w:tc>
          <w:tcPr>
            <w:tcW w:w="4750" w:type="dxa"/>
            <w:noWrap w:val="0"/>
            <w:tcMar>
              <w:top w:w="0" w:type="dxa"/>
              <w:left w:w="105" w:type="dxa"/>
              <w:bottom w:w="0" w:type="dxa"/>
              <w:right w:w="105" w:type="dxa"/>
            </w:tcMar>
            <w:vAlign w:val="center"/>
          </w:tcPr>
          <w:p w14:paraId="08D0A77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对照整体绩效目标评价。未设置整体绩效目标，或整体绩效目标设置不完善的，根据部门年度履行职责主要工作和重点工作，标识所产生的直接或间接的经济效益</w:t>
            </w:r>
          </w:p>
        </w:tc>
        <w:tc>
          <w:tcPr>
            <w:tcW w:w="3123" w:type="dxa"/>
            <w:noWrap w:val="0"/>
            <w:tcMar>
              <w:top w:w="0" w:type="dxa"/>
              <w:left w:w="105" w:type="dxa"/>
              <w:bottom w:w="0" w:type="dxa"/>
              <w:right w:w="105" w:type="dxa"/>
            </w:tcMar>
            <w:vAlign w:val="center"/>
          </w:tcPr>
          <w:p w14:paraId="717560C0">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对照绩效目标，按经济效益实现程度计算得分</w:t>
            </w:r>
          </w:p>
        </w:tc>
        <w:tc>
          <w:tcPr>
            <w:tcW w:w="1693" w:type="dxa"/>
            <w:shd w:val="clear" w:color="auto" w:fill="auto"/>
            <w:noWrap w:val="0"/>
            <w:tcMar>
              <w:top w:w="0" w:type="dxa"/>
              <w:left w:w="105" w:type="dxa"/>
              <w:bottom w:w="0" w:type="dxa"/>
              <w:right w:w="105" w:type="dxa"/>
            </w:tcMar>
            <w:vAlign w:val="center"/>
          </w:tcPr>
          <w:p w14:paraId="5597735C">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lang w:eastAsia="zh-CN"/>
              </w:rPr>
              <w:t>不适应</w:t>
            </w:r>
          </w:p>
        </w:tc>
        <w:tc>
          <w:tcPr>
            <w:tcW w:w="666" w:type="dxa"/>
            <w:noWrap w:val="0"/>
            <w:tcMar>
              <w:top w:w="0" w:type="dxa"/>
              <w:left w:w="105" w:type="dxa"/>
              <w:bottom w:w="0" w:type="dxa"/>
              <w:right w:w="105" w:type="dxa"/>
            </w:tcMar>
            <w:vAlign w:val="center"/>
          </w:tcPr>
          <w:p w14:paraId="613CA29B">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207F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jc w:val="center"/>
        </w:trPr>
        <w:tc>
          <w:tcPr>
            <w:tcW w:w="1079" w:type="dxa"/>
            <w:vMerge w:val="continue"/>
            <w:noWrap w:val="0"/>
            <w:vAlign w:val="center"/>
          </w:tcPr>
          <w:p w14:paraId="78C397C2">
            <w:pPr>
              <w:jc w:val="center"/>
              <w:rPr>
                <w:rFonts w:hint="eastAsia" w:ascii="仿宋_GB2312" w:hAnsi="仿宋_GB2312" w:eastAsia="仿宋_GB2312" w:cs="仿宋_GB2312"/>
                <w:sz w:val="18"/>
                <w:szCs w:val="18"/>
              </w:rPr>
            </w:pPr>
          </w:p>
        </w:tc>
        <w:tc>
          <w:tcPr>
            <w:tcW w:w="1179" w:type="dxa"/>
            <w:vMerge w:val="continue"/>
            <w:noWrap w:val="0"/>
            <w:vAlign w:val="center"/>
          </w:tcPr>
          <w:p w14:paraId="58A1BDCB">
            <w:pPr>
              <w:jc w:val="center"/>
              <w:rPr>
                <w:rFonts w:hint="eastAsia" w:ascii="仿宋_GB2312" w:hAnsi="仿宋_GB2312" w:eastAsia="仿宋_GB2312" w:cs="仿宋_GB2312"/>
                <w:sz w:val="18"/>
                <w:szCs w:val="18"/>
              </w:rPr>
            </w:pPr>
          </w:p>
        </w:tc>
        <w:tc>
          <w:tcPr>
            <w:tcW w:w="1226" w:type="dxa"/>
            <w:noWrap w:val="0"/>
            <w:vAlign w:val="center"/>
          </w:tcPr>
          <w:p w14:paraId="5A1130E7">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w:t>
            </w:r>
          </w:p>
          <w:p w14:paraId="4A8732F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A686F35">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4F645CC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对照整体绩效目标评价。未设置整体绩效目标，或整体绩效目标设置不完善的，根据部门年度履行职责主要工作和重点工作，标识所产生的社会效益</w:t>
            </w:r>
          </w:p>
        </w:tc>
        <w:tc>
          <w:tcPr>
            <w:tcW w:w="3123" w:type="dxa"/>
            <w:noWrap w:val="0"/>
            <w:tcMar>
              <w:top w:w="0" w:type="dxa"/>
              <w:left w:w="105" w:type="dxa"/>
              <w:bottom w:w="0" w:type="dxa"/>
              <w:right w:w="105" w:type="dxa"/>
            </w:tcMar>
            <w:vAlign w:val="center"/>
          </w:tcPr>
          <w:p w14:paraId="26FD21F6">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对照绩效目标，按社会效益实现程度计算得分</w:t>
            </w:r>
          </w:p>
        </w:tc>
        <w:tc>
          <w:tcPr>
            <w:tcW w:w="1693" w:type="dxa"/>
            <w:shd w:val="clear" w:color="auto" w:fill="auto"/>
            <w:noWrap w:val="0"/>
            <w:tcMar>
              <w:top w:w="0" w:type="dxa"/>
              <w:left w:w="105" w:type="dxa"/>
              <w:bottom w:w="0" w:type="dxa"/>
              <w:right w:w="105" w:type="dxa"/>
            </w:tcMar>
            <w:vAlign w:val="center"/>
          </w:tcPr>
          <w:p w14:paraId="5CBB63FA">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加强家校联系，学生辍学率控制在≦1.5%</w:t>
            </w:r>
          </w:p>
        </w:tc>
        <w:tc>
          <w:tcPr>
            <w:tcW w:w="666" w:type="dxa"/>
            <w:noWrap w:val="0"/>
            <w:tcMar>
              <w:top w:w="0" w:type="dxa"/>
              <w:left w:w="105" w:type="dxa"/>
              <w:bottom w:w="0" w:type="dxa"/>
              <w:right w:w="105" w:type="dxa"/>
            </w:tcMar>
            <w:vAlign w:val="center"/>
          </w:tcPr>
          <w:p w14:paraId="7F001140">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50861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0" w:hRule="atLeast"/>
          <w:tblCellSpacing w:w="0" w:type="dxa"/>
          <w:jc w:val="center"/>
        </w:trPr>
        <w:tc>
          <w:tcPr>
            <w:tcW w:w="1079" w:type="dxa"/>
            <w:vMerge w:val="continue"/>
            <w:noWrap w:val="0"/>
            <w:vAlign w:val="center"/>
          </w:tcPr>
          <w:p w14:paraId="313364CE">
            <w:pPr>
              <w:jc w:val="center"/>
              <w:rPr>
                <w:rFonts w:hint="eastAsia" w:ascii="仿宋_GB2312" w:hAnsi="仿宋_GB2312" w:eastAsia="仿宋_GB2312" w:cs="仿宋_GB2312"/>
                <w:sz w:val="18"/>
                <w:szCs w:val="18"/>
              </w:rPr>
            </w:pPr>
          </w:p>
        </w:tc>
        <w:tc>
          <w:tcPr>
            <w:tcW w:w="1179" w:type="dxa"/>
            <w:vMerge w:val="continue"/>
            <w:noWrap w:val="0"/>
            <w:vAlign w:val="center"/>
          </w:tcPr>
          <w:p w14:paraId="723829A0">
            <w:pPr>
              <w:jc w:val="center"/>
              <w:rPr>
                <w:rFonts w:hint="eastAsia" w:ascii="仿宋_GB2312" w:hAnsi="仿宋_GB2312" w:eastAsia="仿宋_GB2312" w:cs="仿宋_GB2312"/>
                <w:sz w:val="18"/>
                <w:szCs w:val="18"/>
              </w:rPr>
            </w:pPr>
          </w:p>
        </w:tc>
        <w:tc>
          <w:tcPr>
            <w:tcW w:w="1226" w:type="dxa"/>
            <w:noWrap w:val="0"/>
            <w:vAlign w:val="center"/>
          </w:tcPr>
          <w:p w14:paraId="2FCDC301">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环境</w:t>
            </w:r>
          </w:p>
          <w:p w14:paraId="6296D5D8">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效益</w:t>
            </w:r>
          </w:p>
        </w:tc>
        <w:tc>
          <w:tcPr>
            <w:tcW w:w="701" w:type="dxa"/>
            <w:vMerge w:val="continue"/>
            <w:noWrap w:val="0"/>
            <w:vAlign w:val="center"/>
          </w:tcPr>
          <w:p w14:paraId="286DE5B6">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5E0785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w:t>
            </w:r>
          </w:p>
          <w:p w14:paraId="748F6D1D">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置整体绩效目标，或整体绩效目标设置不完善的，根据部门年度履行职责主要工作和重点工作，标识对环境所产生的积极或消极影响</w:t>
            </w:r>
          </w:p>
        </w:tc>
        <w:tc>
          <w:tcPr>
            <w:tcW w:w="3123" w:type="dxa"/>
            <w:noWrap w:val="0"/>
            <w:tcMar>
              <w:top w:w="0" w:type="dxa"/>
              <w:left w:w="105" w:type="dxa"/>
              <w:bottom w:w="0" w:type="dxa"/>
              <w:right w:w="105" w:type="dxa"/>
            </w:tcMar>
            <w:vAlign w:val="center"/>
          </w:tcPr>
          <w:p w14:paraId="3D9A622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对照绩效目标，按对环境所产生的实际影响程度计算得分</w:t>
            </w:r>
          </w:p>
        </w:tc>
        <w:tc>
          <w:tcPr>
            <w:tcW w:w="1693" w:type="dxa"/>
            <w:shd w:val="clear" w:color="auto" w:fill="auto"/>
            <w:noWrap w:val="0"/>
            <w:tcMar>
              <w:top w:w="0" w:type="dxa"/>
              <w:left w:w="105" w:type="dxa"/>
              <w:bottom w:w="0" w:type="dxa"/>
              <w:right w:w="105" w:type="dxa"/>
            </w:tcMar>
            <w:vAlign w:val="center"/>
          </w:tcPr>
          <w:p w14:paraId="50FA7DE7">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sz w:val="18"/>
                <w:szCs w:val="18"/>
              </w:rPr>
              <w:t>不适应</w:t>
            </w:r>
          </w:p>
        </w:tc>
        <w:tc>
          <w:tcPr>
            <w:tcW w:w="666" w:type="dxa"/>
            <w:noWrap w:val="0"/>
            <w:tcMar>
              <w:top w:w="0" w:type="dxa"/>
              <w:left w:w="105" w:type="dxa"/>
              <w:bottom w:w="0" w:type="dxa"/>
              <w:right w:w="105" w:type="dxa"/>
            </w:tcMar>
            <w:vAlign w:val="center"/>
          </w:tcPr>
          <w:p w14:paraId="70A75CD1">
            <w:pPr>
              <w:jc w:val="center"/>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0</w:t>
            </w:r>
          </w:p>
        </w:tc>
      </w:tr>
      <w:tr w14:paraId="558E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3" w:hRule="atLeast"/>
          <w:tblCellSpacing w:w="0" w:type="dxa"/>
          <w:jc w:val="center"/>
        </w:trPr>
        <w:tc>
          <w:tcPr>
            <w:tcW w:w="1079" w:type="dxa"/>
            <w:vMerge w:val="continue"/>
            <w:noWrap w:val="0"/>
            <w:vAlign w:val="center"/>
          </w:tcPr>
          <w:p w14:paraId="5F1D0E16">
            <w:pPr>
              <w:jc w:val="center"/>
              <w:rPr>
                <w:rFonts w:hint="eastAsia" w:ascii="仿宋_GB2312" w:hAnsi="仿宋_GB2312" w:eastAsia="仿宋_GB2312" w:cs="仿宋_GB2312"/>
                <w:sz w:val="18"/>
                <w:szCs w:val="18"/>
              </w:rPr>
            </w:pPr>
          </w:p>
        </w:tc>
        <w:tc>
          <w:tcPr>
            <w:tcW w:w="1179" w:type="dxa"/>
            <w:vMerge w:val="continue"/>
            <w:noWrap w:val="0"/>
            <w:vAlign w:val="center"/>
          </w:tcPr>
          <w:p w14:paraId="79CB64BE">
            <w:pPr>
              <w:jc w:val="center"/>
              <w:rPr>
                <w:rFonts w:hint="eastAsia" w:ascii="仿宋_GB2312" w:hAnsi="仿宋_GB2312" w:eastAsia="仿宋_GB2312" w:cs="仿宋_GB2312"/>
                <w:sz w:val="18"/>
                <w:szCs w:val="18"/>
              </w:rPr>
            </w:pPr>
          </w:p>
        </w:tc>
        <w:tc>
          <w:tcPr>
            <w:tcW w:w="1226" w:type="dxa"/>
            <w:noWrap w:val="0"/>
            <w:vAlign w:val="center"/>
          </w:tcPr>
          <w:p w14:paraId="56133704">
            <w:pPr>
              <w:spacing w:line="30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可持续性</w:t>
            </w:r>
          </w:p>
        </w:tc>
        <w:tc>
          <w:tcPr>
            <w:tcW w:w="701" w:type="dxa"/>
            <w:vMerge w:val="continue"/>
            <w:noWrap w:val="0"/>
            <w:vAlign w:val="center"/>
          </w:tcPr>
          <w:p w14:paraId="276683D4">
            <w:pPr>
              <w:jc w:val="center"/>
              <w:rPr>
                <w:rFonts w:hint="eastAsia" w:ascii="仿宋_GB2312" w:hAnsi="仿宋_GB2312" w:eastAsia="仿宋_GB2312" w:cs="仿宋_GB2312"/>
                <w:sz w:val="18"/>
                <w:szCs w:val="18"/>
              </w:rPr>
            </w:pPr>
          </w:p>
        </w:tc>
        <w:tc>
          <w:tcPr>
            <w:tcW w:w="4750" w:type="dxa"/>
            <w:noWrap w:val="0"/>
            <w:tcMar>
              <w:top w:w="0" w:type="dxa"/>
              <w:left w:w="105" w:type="dxa"/>
              <w:bottom w:w="0" w:type="dxa"/>
              <w:right w:w="105" w:type="dxa"/>
            </w:tcMar>
            <w:vAlign w:val="center"/>
          </w:tcPr>
          <w:p w14:paraId="7FE99348">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对照整体绩效目标评价。未设置整体绩效目标，或整体绩效目标设置不完善的，根据部门年度履行职责主要工作和重点工作，标识可持续性</w:t>
            </w:r>
          </w:p>
        </w:tc>
        <w:tc>
          <w:tcPr>
            <w:tcW w:w="3123" w:type="dxa"/>
            <w:noWrap w:val="0"/>
            <w:tcMar>
              <w:top w:w="0" w:type="dxa"/>
              <w:left w:w="105" w:type="dxa"/>
              <w:bottom w:w="0" w:type="dxa"/>
              <w:right w:w="105" w:type="dxa"/>
            </w:tcMar>
            <w:vAlign w:val="center"/>
          </w:tcPr>
          <w:p w14:paraId="4AF0B5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对照绩效目标，按实际情况计算得分</w:t>
            </w:r>
          </w:p>
        </w:tc>
        <w:tc>
          <w:tcPr>
            <w:tcW w:w="1693" w:type="dxa"/>
            <w:shd w:val="clear" w:color="auto" w:fill="auto"/>
            <w:noWrap w:val="0"/>
            <w:tcMar>
              <w:top w:w="0" w:type="dxa"/>
              <w:left w:w="105" w:type="dxa"/>
              <w:bottom w:w="0" w:type="dxa"/>
              <w:right w:w="105" w:type="dxa"/>
            </w:tcMar>
            <w:vAlign w:val="center"/>
          </w:tcPr>
          <w:p w14:paraId="7D091258">
            <w:pPr>
              <w:ind w:left="1" w:leftChars="0"/>
              <w:jc w:val="center"/>
              <w:rPr>
                <w:rFonts w:hint="eastAsia" w:ascii="Times New Roman" w:hAnsi="Times New Roman" w:eastAsia="楷体_GB2312" w:cs="Times New Roman"/>
                <w:sz w:val="18"/>
                <w:szCs w:val="18"/>
                <w:lang w:val="en-US" w:eastAsia="zh-CN" w:bidi="ar-SA"/>
              </w:rPr>
            </w:pPr>
            <w:r>
              <w:rPr>
                <w:rFonts w:hint="eastAsia" w:eastAsia="楷体_GB2312" w:cs="Times New Roman"/>
                <w:sz w:val="18"/>
                <w:szCs w:val="18"/>
                <w:lang w:val="en-US" w:eastAsia="zh-CN" w:bidi="ar-SA"/>
              </w:rPr>
              <w:t>通过各种教研、培训，持续提升教师教学水平</w:t>
            </w:r>
          </w:p>
        </w:tc>
        <w:tc>
          <w:tcPr>
            <w:tcW w:w="666" w:type="dxa"/>
            <w:noWrap w:val="0"/>
            <w:tcMar>
              <w:top w:w="0" w:type="dxa"/>
              <w:left w:w="105" w:type="dxa"/>
              <w:bottom w:w="0" w:type="dxa"/>
              <w:right w:w="105" w:type="dxa"/>
            </w:tcMar>
            <w:vAlign w:val="center"/>
          </w:tcPr>
          <w:p w14:paraId="538AD919">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2CD0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1" w:hRule="atLeast"/>
          <w:tblCellSpacing w:w="0" w:type="dxa"/>
          <w:jc w:val="center"/>
        </w:trPr>
        <w:tc>
          <w:tcPr>
            <w:tcW w:w="1079" w:type="dxa"/>
            <w:vMerge w:val="continue"/>
            <w:noWrap w:val="0"/>
            <w:vAlign w:val="center"/>
          </w:tcPr>
          <w:p w14:paraId="77C572C1">
            <w:pPr>
              <w:jc w:val="center"/>
              <w:rPr>
                <w:rFonts w:hint="eastAsia" w:ascii="仿宋_GB2312" w:hAnsi="仿宋_GB2312" w:eastAsia="仿宋_GB2312" w:cs="仿宋_GB2312"/>
                <w:sz w:val="18"/>
                <w:szCs w:val="18"/>
              </w:rPr>
            </w:pPr>
          </w:p>
        </w:tc>
        <w:tc>
          <w:tcPr>
            <w:tcW w:w="1179" w:type="dxa"/>
            <w:vMerge w:val="continue"/>
            <w:noWrap w:val="0"/>
            <w:vAlign w:val="center"/>
          </w:tcPr>
          <w:p w14:paraId="7092084F">
            <w:pPr>
              <w:jc w:val="center"/>
              <w:rPr>
                <w:rFonts w:hint="eastAsia" w:ascii="仿宋_GB2312" w:hAnsi="仿宋_GB2312" w:eastAsia="仿宋_GB2312" w:cs="仿宋_GB2312"/>
                <w:sz w:val="18"/>
                <w:szCs w:val="18"/>
              </w:rPr>
            </w:pPr>
          </w:p>
        </w:tc>
        <w:tc>
          <w:tcPr>
            <w:tcW w:w="1226" w:type="dxa"/>
            <w:noWrap w:val="0"/>
            <w:tcMar>
              <w:top w:w="0" w:type="dxa"/>
              <w:left w:w="105" w:type="dxa"/>
              <w:bottom w:w="0" w:type="dxa"/>
              <w:right w:w="105" w:type="dxa"/>
            </w:tcMar>
            <w:vAlign w:val="center"/>
          </w:tcPr>
          <w:p w14:paraId="0A0B1755">
            <w:pPr>
              <w:spacing w:line="260" w:lineRule="exact"/>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社会公众与服务对象满意度</w:t>
            </w:r>
          </w:p>
        </w:tc>
        <w:tc>
          <w:tcPr>
            <w:tcW w:w="701" w:type="dxa"/>
            <w:noWrap w:val="0"/>
            <w:tcMar>
              <w:top w:w="0" w:type="dxa"/>
              <w:left w:w="105" w:type="dxa"/>
              <w:bottom w:w="0" w:type="dxa"/>
              <w:right w:w="105" w:type="dxa"/>
            </w:tcMar>
            <w:vAlign w:val="center"/>
          </w:tcPr>
          <w:p w14:paraId="2E95FB4E">
            <w:pPr>
              <w:spacing w:before="100" w:beforeAutospacing="1" w:after="100" w:afterAutospacing="1"/>
              <w:jc w:val="center"/>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10</w:t>
            </w:r>
          </w:p>
        </w:tc>
        <w:tc>
          <w:tcPr>
            <w:tcW w:w="4750" w:type="dxa"/>
            <w:noWrap w:val="0"/>
            <w:tcMar>
              <w:top w:w="0" w:type="dxa"/>
              <w:left w:w="105" w:type="dxa"/>
              <w:bottom w:w="0" w:type="dxa"/>
              <w:right w:w="105" w:type="dxa"/>
            </w:tcMar>
            <w:vAlign w:val="center"/>
          </w:tcPr>
          <w:p w14:paraId="0F6A0CF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社会公众、服务对象对部门主要工作实施的满意程度</w:t>
            </w:r>
          </w:p>
        </w:tc>
        <w:tc>
          <w:tcPr>
            <w:tcW w:w="3123" w:type="dxa"/>
            <w:noWrap w:val="0"/>
            <w:tcMar>
              <w:top w:w="0" w:type="dxa"/>
              <w:left w:w="105" w:type="dxa"/>
              <w:bottom w:w="0" w:type="dxa"/>
              <w:right w:w="105" w:type="dxa"/>
            </w:tcMar>
            <w:vAlign w:val="center"/>
          </w:tcPr>
          <w:p w14:paraId="4343058F">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90%≤满意度≤100%记10分，</w:t>
            </w:r>
          </w:p>
          <w:p w14:paraId="308E073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80%≤满意度&lt;90%记8分，</w:t>
            </w:r>
          </w:p>
          <w:p w14:paraId="620BB79A">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70%≤满意度&lt;80%  记6分，</w:t>
            </w:r>
          </w:p>
          <w:p w14:paraId="641A878C">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60%≤满意度&lt;70%记4分，</w:t>
            </w:r>
          </w:p>
          <w:p w14:paraId="17455047">
            <w:pPr>
              <w:spacing w:line="300" w:lineRule="exact"/>
              <w:jc w:val="left"/>
              <w:rPr>
                <w:rFonts w:hint="eastAsia" w:ascii="仿宋_GB2312" w:hAnsi="仿宋_GB2312" w:eastAsia="仿宋_GB2312" w:cs="仿宋_GB2312"/>
                <w:sz w:val="18"/>
                <w:szCs w:val="18"/>
              </w:rPr>
            </w:pPr>
            <w:r>
              <w:rPr>
                <w:rFonts w:hint="eastAsia" w:ascii="仿宋_GB2312" w:hAnsi="仿宋_GB2312" w:eastAsia="仿宋_GB2312" w:cs="仿宋_GB2312"/>
                <w:sz w:val="18"/>
                <w:szCs w:val="18"/>
              </w:rPr>
              <w:t>满意度&lt;60%记0分。</w:t>
            </w:r>
          </w:p>
        </w:tc>
        <w:tc>
          <w:tcPr>
            <w:tcW w:w="1693" w:type="dxa"/>
            <w:noWrap w:val="0"/>
            <w:tcMar>
              <w:top w:w="0" w:type="dxa"/>
              <w:left w:w="105" w:type="dxa"/>
              <w:bottom w:w="0" w:type="dxa"/>
              <w:right w:w="105" w:type="dxa"/>
            </w:tcMar>
            <w:vAlign w:val="center"/>
          </w:tcPr>
          <w:p w14:paraId="1528CC4D">
            <w:pPr>
              <w:jc w:val="center"/>
              <w:rPr>
                <w:rFonts w:hint="default" w:ascii="仿宋_GB2312" w:hAnsi="仿宋_GB2312" w:eastAsia="仿宋_GB2312" w:cs="仿宋_GB2312"/>
                <w:sz w:val="18"/>
                <w:szCs w:val="18"/>
                <w:lang w:val="en-US" w:eastAsia="zh-CN"/>
              </w:rPr>
            </w:pPr>
            <w:r>
              <w:rPr>
                <w:rFonts w:hint="eastAsia" w:ascii="仿宋_GB2312" w:hAnsi="仿宋_GB2312" w:eastAsia="仿宋_GB2312" w:cs="仿宋_GB2312"/>
                <w:sz w:val="18"/>
                <w:szCs w:val="18"/>
                <w:lang w:val="en-US" w:eastAsia="zh-CN"/>
              </w:rPr>
              <w:t>95%</w:t>
            </w:r>
          </w:p>
        </w:tc>
        <w:tc>
          <w:tcPr>
            <w:tcW w:w="666" w:type="dxa"/>
            <w:noWrap w:val="0"/>
            <w:tcMar>
              <w:top w:w="0" w:type="dxa"/>
              <w:left w:w="105" w:type="dxa"/>
              <w:bottom w:w="0" w:type="dxa"/>
              <w:right w:w="105" w:type="dxa"/>
            </w:tcMar>
            <w:vAlign w:val="center"/>
          </w:tcPr>
          <w:p w14:paraId="41A0251F">
            <w:pPr>
              <w:jc w:val="cente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10</w:t>
            </w:r>
          </w:p>
        </w:tc>
      </w:tr>
      <w:tr w14:paraId="7D5E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6" w:hRule="atLeast"/>
          <w:tblCellSpacing w:w="0" w:type="dxa"/>
          <w:jc w:val="center"/>
        </w:trPr>
        <w:tc>
          <w:tcPr>
            <w:tcW w:w="1079" w:type="dxa"/>
            <w:noWrap w:val="0"/>
            <w:tcMar>
              <w:top w:w="0" w:type="dxa"/>
              <w:left w:w="105" w:type="dxa"/>
              <w:bottom w:w="0" w:type="dxa"/>
              <w:right w:w="105" w:type="dxa"/>
            </w:tcMar>
            <w:vAlign w:val="center"/>
          </w:tcPr>
          <w:p w14:paraId="61E390EC">
            <w:pPr>
              <w:spacing w:before="100" w:beforeAutospacing="1" w:after="100" w:afterAutospacing="1"/>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合计</w:t>
            </w:r>
          </w:p>
        </w:tc>
        <w:tc>
          <w:tcPr>
            <w:tcW w:w="1179" w:type="dxa"/>
            <w:noWrap w:val="0"/>
            <w:tcMar>
              <w:top w:w="0" w:type="dxa"/>
              <w:left w:w="105" w:type="dxa"/>
              <w:bottom w:w="0" w:type="dxa"/>
              <w:right w:w="105" w:type="dxa"/>
            </w:tcMar>
            <w:vAlign w:val="center"/>
          </w:tcPr>
          <w:p w14:paraId="00B1A469">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1226" w:type="dxa"/>
            <w:noWrap w:val="0"/>
            <w:tcMar>
              <w:top w:w="0" w:type="dxa"/>
              <w:left w:w="105" w:type="dxa"/>
              <w:bottom w:w="0" w:type="dxa"/>
              <w:right w:w="105" w:type="dxa"/>
            </w:tcMar>
            <w:vAlign w:val="center"/>
          </w:tcPr>
          <w:p w14:paraId="509ECD9D">
            <w:pPr>
              <w:spacing w:before="100" w:beforeAutospacing="1" w:after="100" w:afterAutospacing="1"/>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w:t>
            </w:r>
          </w:p>
        </w:tc>
        <w:tc>
          <w:tcPr>
            <w:tcW w:w="701" w:type="dxa"/>
            <w:noWrap w:val="0"/>
            <w:tcMar>
              <w:top w:w="0" w:type="dxa"/>
              <w:left w:w="105" w:type="dxa"/>
              <w:bottom w:w="0" w:type="dxa"/>
              <w:right w:w="105" w:type="dxa"/>
            </w:tcMar>
            <w:vAlign w:val="center"/>
          </w:tcPr>
          <w:p w14:paraId="4722CF62">
            <w:pPr>
              <w:spacing w:before="100" w:beforeAutospacing="1" w:after="100" w:afterAutospacing="1"/>
              <w:jc w:val="center"/>
              <w:rPr>
                <w:rFonts w:hint="eastAsia" w:ascii="仿宋_GB2312" w:hAnsi="仿宋_GB2312" w:eastAsia="仿宋_GB2312" w:cs="仿宋_GB2312"/>
                <w:spacing w:val="-20"/>
                <w:sz w:val="22"/>
                <w:szCs w:val="22"/>
              </w:rPr>
            </w:pPr>
            <w:r>
              <w:rPr>
                <w:rFonts w:hint="eastAsia" w:ascii="仿宋_GB2312" w:hAnsi="仿宋_GB2312" w:eastAsia="仿宋_GB2312" w:cs="仿宋_GB2312"/>
                <w:spacing w:val="-20"/>
                <w:sz w:val="22"/>
                <w:szCs w:val="22"/>
              </w:rPr>
              <w:t>100</w:t>
            </w:r>
          </w:p>
        </w:tc>
        <w:tc>
          <w:tcPr>
            <w:tcW w:w="4750" w:type="dxa"/>
            <w:noWrap w:val="0"/>
            <w:tcMar>
              <w:top w:w="0" w:type="dxa"/>
              <w:left w:w="105" w:type="dxa"/>
              <w:bottom w:w="0" w:type="dxa"/>
              <w:right w:w="105" w:type="dxa"/>
            </w:tcMar>
            <w:vAlign w:val="center"/>
          </w:tcPr>
          <w:p w14:paraId="545877C0">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3123" w:type="dxa"/>
            <w:noWrap w:val="0"/>
            <w:tcMar>
              <w:top w:w="0" w:type="dxa"/>
              <w:left w:w="105" w:type="dxa"/>
              <w:bottom w:w="0" w:type="dxa"/>
              <w:right w:w="105" w:type="dxa"/>
            </w:tcMar>
            <w:vAlign w:val="center"/>
          </w:tcPr>
          <w:p w14:paraId="4D50838C">
            <w:pPr>
              <w:spacing w:line="300" w:lineRule="exact"/>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1693" w:type="dxa"/>
            <w:noWrap w:val="0"/>
            <w:tcMar>
              <w:top w:w="0" w:type="dxa"/>
              <w:left w:w="105" w:type="dxa"/>
              <w:bottom w:w="0" w:type="dxa"/>
              <w:right w:w="105" w:type="dxa"/>
            </w:tcMar>
            <w:vAlign w:val="center"/>
          </w:tcPr>
          <w:p w14:paraId="2389178E">
            <w:pPr>
              <w:spacing w:before="100" w:beforeAutospacing="1" w:after="100" w:afterAutospacing="1"/>
              <w:jc w:val="center"/>
              <w:rPr>
                <w:rFonts w:hint="eastAsia" w:ascii="仿宋_GB2312" w:hAnsi="仿宋_GB2312" w:eastAsia="仿宋_GB2312" w:cs="仿宋_GB2312"/>
              </w:rPr>
            </w:pPr>
            <w:r>
              <w:rPr>
                <w:rFonts w:hint="eastAsia" w:ascii="仿宋_GB2312" w:hAnsi="仿宋_GB2312" w:eastAsia="仿宋_GB2312" w:cs="仿宋_GB2312"/>
              </w:rPr>
              <w:t>——</w:t>
            </w:r>
          </w:p>
        </w:tc>
        <w:tc>
          <w:tcPr>
            <w:tcW w:w="666" w:type="dxa"/>
            <w:noWrap w:val="0"/>
            <w:tcMar>
              <w:top w:w="0" w:type="dxa"/>
              <w:left w:w="105" w:type="dxa"/>
              <w:bottom w:w="0" w:type="dxa"/>
              <w:right w:w="105" w:type="dxa"/>
            </w:tcMar>
            <w:vAlign w:val="center"/>
          </w:tcPr>
          <w:p w14:paraId="159FE67E">
            <w:pPr>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96</w:t>
            </w:r>
          </w:p>
        </w:tc>
      </w:tr>
      <w:tr w14:paraId="2BEA9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0" w:hRule="atLeast"/>
          <w:tblCellSpacing w:w="0" w:type="dxa"/>
          <w:jc w:val="center"/>
        </w:trPr>
        <w:tc>
          <w:tcPr>
            <w:tcW w:w="1079" w:type="dxa"/>
            <w:noWrap w:val="0"/>
            <w:tcMar>
              <w:top w:w="0" w:type="dxa"/>
              <w:left w:w="105" w:type="dxa"/>
              <w:bottom w:w="0" w:type="dxa"/>
              <w:right w:w="105" w:type="dxa"/>
            </w:tcMar>
            <w:vAlign w:val="center"/>
          </w:tcPr>
          <w:p w14:paraId="202CFDE9">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评价</w:t>
            </w:r>
          </w:p>
          <w:p w14:paraId="1B4CD8F8">
            <w:pPr>
              <w:spacing w:before="100" w:beforeAutospacing="1" w:after="100" w:afterAutospacing="1"/>
              <w:jc w:val="center"/>
              <w:rPr>
                <w:rFonts w:hint="eastAsia" w:ascii="仿宋_GB2312" w:hAnsi="仿宋_GB2312" w:eastAsia="仿宋_GB2312" w:cs="仿宋_GB2312"/>
                <w:sz w:val="21"/>
                <w:szCs w:val="16"/>
              </w:rPr>
            </w:pPr>
            <w:r>
              <w:rPr>
                <w:rFonts w:hint="eastAsia" w:ascii="仿宋_GB2312" w:hAnsi="仿宋_GB2312" w:eastAsia="仿宋_GB2312" w:cs="仿宋_GB2312"/>
                <w:sz w:val="21"/>
                <w:szCs w:val="16"/>
              </w:rPr>
              <w:t>等级</w:t>
            </w:r>
          </w:p>
        </w:tc>
        <w:tc>
          <w:tcPr>
            <w:tcW w:w="13338" w:type="dxa"/>
            <w:gridSpan w:val="7"/>
            <w:noWrap w:val="0"/>
            <w:tcMar>
              <w:top w:w="0" w:type="dxa"/>
              <w:left w:w="105" w:type="dxa"/>
              <w:bottom w:w="0" w:type="dxa"/>
              <w:right w:w="105" w:type="dxa"/>
            </w:tcMar>
            <w:vAlign w:val="center"/>
          </w:tcPr>
          <w:p w14:paraId="458617D9">
            <w:pPr>
              <w:spacing w:line="400" w:lineRule="exact"/>
              <w:ind w:firstLine="210" w:firstLineChars="100"/>
              <w:rPr>
                <w:rFonts w:hint="eastAsia" w:ascii="仿宋_GB2312" w:hAnsi="仿宋_GB2312" w:eastAsia="仿宋_GB2312" w:cs="仿宋_GB2312"/>
                <w:sz w:val="21"/>
                <w:szCs w:val="16"/>
              </w:rPr>
            </w:pPr>
            <w:r>
              <w:rPr>
                <w:rFonts w:hint="eastAsia" w:ascii="仿宋_GB2312" w:hAnsi="仿宋_GB2312" w:eastAsia="仿宋_GB2312" w:cs="仿宋_GB2312"/>
                <w:sz w:val="21"/>
                <w:szCs w:val="16"/>
                <w:lang w:eastAsia="zh-CN"/>
              </w:rPr>
              <w:t>☑</w:t>
            </w:r>
            <w:r>
              <w:rPr>
                <w:rFonts w:hint="eastAsia" w:ascii="仿宋_GB2312" w:hAnsi="仿宋_GB2312" w:eastAsia="仿宋_GB2312" w:cs="仿宋_GB2312"/>
                <w:sz w:val="21"/>
                <w:szCs w:val="16"/>
              </w:rPr>
              <w:t>优秀  90分≤得分≤100分；   □良好  80分≤得分＜90分；   □较差  60分≤得分＜80分；   □差  得分＜60分</w:t>
            </w:r>
          </w:p>
        </w:tc>
      </w:tr>
    </w:tbl>
    <w:p w14:paraId="79701C35">
      <w:pPr>
        <w:spacing w:line="320" w:lineRule="exact"/>
        <w:ind w:firstLine="6490" w:firstLineChars="2950"/>
        <w:jc w:val="center"/>
        <w:rPr>
          <w:rFonts w:hint="eastAsia" w:ascii="仿宋_GB2312" w:hAnsi="仿宋_GB2312" w:eastAsia="仿宋_GB2312" w:cs="仿宋_GB2312"/>
          <w:sz w:val="22"/>
          <w:szCs w:val="24"/>
        </w:rPr>
      </w:pPr>
    </w:p>
    <w:p w14:paraId="03897A1E">
      <w:pPr>
        <w:spacing w:line="320" w:lineRule="exact"/>
        <w:ind w:firstLine="6490" w:firstLineChars="2950"/>
        <w:jc w:val="center"/>
        <w:rPr>
          <w:rFonts w:hint="eastAsia" w:ascii="仿宋_GB2312" w:hAnsi="仿宋_GB2312" w:eastAsia="仿宋_GB2312" w:cs="仿宋_GB2312"/>
          <w:sz w:val="22"/>
          <w:szCs w:val="24"/>
          <w:lang w:eastAsia="zh-CN"/>
        </w:rPr>
      </w:pPr>
      <w:r>
        <w:rPr>
          <w:rFonts w:hint="eastAsia" w:ascii="仿宋_GB2312" w:hAnsi="仿宋_GB2312" w:eastAsia="仿宋_GB2312" w:cs="仿宋_GB2312"/>
          <w:sz w:val="22"/>
          <w:szCs w:val="24"/>
        </w:rPr>
        <w:t xml:space="preserve">    单位负责人（签字）：</w:t>
      </w:r>
      <w:r>
        <w:rPr>
          <w:rFonts w:hint="eastAsia" w:ascii="仿宋_GB2312" w:hAnsi="仿宋_GB2312" w:eastAsia="仿宋_GB2312" w:cs="仿宋_GB2312"/>
          <w:sz w:val="24"/>
          <w:lang w:eastAsia="zh-CN"/>
        </w:rPr>
        <w:t>申惠文</w:t>
      </w:r>
    </w:p>
    <w:p w14:paraId="2184CDEC">
      <w:pPr>
        <w:spacing w:line="320" w:lineRule="exact"/>
        <w:ind w:firstLine="6270" w:firstLineChars="2850"/>
        <w:jc w:val="center"/>
        <w:rPr>
          <w:rFonts w:hint="eastAsia" w:ascii="楷体" w:hAnsi="楷体" w:eastAsia="楷体" w:cs="楷体"/>
          <w:sz w:val="22"/>
          <w:szCs w:val="24"/>
        </w:rPr>
        <w:sectPr>
          <w:footerReference r:id="rId5" w:type="default"/>
          <w:pgSz w:w="16838" w:h="11906" w:orient="landscape"/>
          <w:pgMar w:top="1800" w:right="1440" w:bottom="1800" w:left="1440" w:header="851" w:footer="992" w:gutter="0"/>
          <w:pgNumType w:fmt="numberInDash"/>
          <w:cols w:space="720" w:num="1"/>
          <w:docGrid w:type="lines" w:linePitch="312" w:charSpace="0"/>
        </w:sectPr>
      </w:pPr>
      <w:r>
        <w:rPr>
          <w:rFonts w:hint="eastAsia" w:ascii="仿宋_GB2312" w:hAnsi="仿宋_GB2312" w:eastAsia="仿宋_GB2312" w:cs="仿宋_GB2312"/>
          <w:sz w:val="22"/>
          <w:szCs w:val="24"/>
        </w:rPr>
        <w:t xml:space="preserve">    填表日期：</w:t>
      </w:r>
      <w:r>
        <w:rPr>
          <w:rFonts w:hint="eastAsia" w:ascii="仿宋_GB2312" w:hAnsi="仿宋_GB2312" w:eastAsia="仿宋_GB2312" w:cs="仿宋_GB2312"/>
          <w:sz w:val="22"/>
          <w:szCs w:val="24"/>
          <w:lang w:val="en-US" w:eastAsia="zh-CN"/>
        </w:rPr>
        <w:t>2024</w:t>
      </w:r>
      <w:r>
        <w:rPr>
          <w:rFonts w:hint="eastAsia" w:ascii="仿宋_GB2312" w:hAnsi="仿宋_GB2312" w:eastAsia="仿宋_GB2312" w:cs="仿宋_GB2312"/>
          <w:sz w:val="22"/>
          <w:szCs w:val="24"/>
        </w:rPr>
        <w:t xml:space="preserve">年 </w:t>
      </w:r>
      <w:r>
        <w:rPr>
          <w:rFonts w:hint="eastAsia" w:ascii="仿宋_GB2312" w:hAnsi="仿宋_GB2312" w:eastAsia="仿宋_GB2312" w:cs="仿宋_GB2312"/>
          <w:sz w:val="22"/>
          <w:szCs w:val="24"/>
          <w:lang w:val="en-US" w:eastAsia="zh-CN"/>
        </w:rPr>
        <w:t>4</w:t>
      </w:r>
      <w:r>
        <w:rPr>
          <w:rFonts w:hint="eastAsia" w:ascii="仿宋_GB2312" w:hAnsi="仿宋_GB2312" w:eastAsia="仿宋_GB2312" w:cs="仿宋_GB2312"/>
          <w:sz w:val="22"/>
          <w:szCs w:val="24"/>
        </w:rPr>
        <w:t>月</w:t>
      </w:r>
      <w:r>
        <w:rPr>
          <w:rFonts w:hint="eastAsia" w:ascii="仿宋_GB2312" w:hAnsi="仿宋_GB2312" w:eastAsia="仿宋_GB2312" w:cs="仿宋_GB2312"/>
          <w:sz w:val="22"/>
          <w:szCs w:val="24"/>
          <w:lang w:val="en-US" w:eastAsia="zh-CN"/>
        </w:rPr>
        <w:t>8</w:t>
      </w:r>
      <w:r>
        <w:rPr>
          <w:rFonts w:hint="eastAsia" w:ascii="仿宋_GB2312" w:hAnsi="仿宋_GB2312" w:eastAsia="仿宋_GB2312" w:cs="仿宋_GB2312"/>
          <w:sz w:val="22"/>
          <w:szCs w:val="24"/>
        </w:rPr>
        <w:t>日</w:t>
      </w:r>
    </w:p>
    <w:p w14:paraId="7D8BD65E">
      <w:pPr>
        <w:spacing w:line="600" w:lineRule="exact"/>
        <w:ind w:left="0"/>
        <w:jc w:val="lef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附件1-3</w:t>
      </w:r>
    </w:p>
    <w:p w14:paraId="5412D96C">
      <w:pPr>
        <w:pStyle w:val="4"/>
        <w:widowControl w:val="0"/>
        <w:spacing w:before="0" w:beforeAutospacing="0" w:after="0" w:afterAutospacing="0" w:line="600" w:lineRule="exact"/>
        <w:jc w:val="center"/>
        <w:rPr>
          <w:rStyle w:val="8"/>
          <w:rFonts w:cs="Times New Roman"/>
          <w:bCs w:val="0"/>
          <w:spacing w:val="-23"/>
          <w:sz w:val="36"/>
          <w:szCs w:val="36"/>
        </w:rPr>
      </w:pPr>
      <w:r>
        <w:rPr>
          <w:rStyle w:val="8"/>
          <w:rFonts w:hint="eastAsia" w:cs="Times New Roman"/>
          <w:bCs w:val="0"/>
          <w:spacing w:val="-23"/>
          <w:sz w:val="36"/>
          <w:szCs w:val="36"/>
        </w:rPr>
        <w:t>2024</w:t>
      </w:r>
      <w:r>
        <w:rPr>
          <w:rStyle w:val="8"/>
          <w:rFonts w:cs="Times New Roman"/>
          <w:bCs w:val="0"/>
          <w:spacing w:val="-23"/>
          <w:sz w:val="36"/>
          <w:szCs w:val="36"/>
        </w:rPr>
        <w:t>年度</w:t>
      </w:r>
      <w:r>
        <w:rPr>
          <w:rStyle w:val="8"/>
          <w:rFonts w:hint="eastAsia" w:cs="Times New Roman"/>
          <w:bCs w:val="0"/>
          <w:spacing w:val="-23"/>
          <w:sz w:val="36"/>
          <w:szCs w:val="36"/>
        </w:rPr>
        <w:t>新晃县</w:t>
      </w:r>
      <w:r>
        <w:rPr>
          <w:rStyle w:val="8"/>
          <w:rFonts w:hint="eastAsia" w:cs="Times New Roman"/>
          <w:bCs w:val="0"/>
          <w:spacing w:val="-23"/>
          <w:sz w:val="36"/>
          <w:szCs w:val="36"/>
          <w:lang w:eastAsia="zh-CN"/>
        </w:rPr>
        <w:t>鱼市镇晏家完全小学学校</w:t>
      </w:r>
      <w:r>
        <w:rPr>
          <w:rStyle w:val="8"/>
          <w:rFonts w:cs="Times New Roman"/>
          <w:bCs w:val="0"/>
          <w:spacing w:val="-23"/>
          <w:sz w:val="36"/>
          <w:szCs w:val="36"/>
        </w:rPr>
        <w:t>部门（单位）整体支出绩效自评报告</w:t>
      </w:r>
    </w:p>
    <w:p w14:paraId="03D80EA6">
      <w:pPr>
        <w:pStyle w:val="4"/>
        <w:widowControl w:val="0"/>
        <w:spacing w:before="0" w:beforeAutospacing="0" w:after="0" w:afterAutospacing="0" w:line="600" w:lineRule="exact"/>
        <w:jc w:val="center"/>
        <w:rPr>
          <w:rStyle w:val="8"/>
          <w:rFonts w:hint="eastAsia" w:ascii="仿宋_GB2312" w:eastAsia="仿宋_GB2312"/>
          <w:b w:val="0"/>
          <w:bCs w:val="0"/>
          <w:color w:val="000000"/>
          <w:sz w:val="32"/>
          <w:szCs w:val="32"/>
          <w14:textFill>
            <w14:gradFill>
              <w14:gsLst>
                <w14:gs w14:pos="51300">
                  <w14:srgbClr w14:val="4888CF"/>
                </w14:gs>
                <w14:gs w14:pos="0">
                  <w14:srgbClr w14:val="95D2FF"/>
                </w14:gs>
                <w14:gs w14:pos="95000">
                  <w14:srgbClr w14:val="3965A3"/>
                </w14:gs>
              </w14:gsLst>
              <w14:lin w14:ang="5400000" w14:scaled="1"/>
            </w14:gradFill>
          </w14:textFill>
        </w:rPr>
      </w:pPr>
      <w:r>
        <w:rPr>
          <w:rFonts w:hint="eastAsia" w:ascii="仿宋_GB2312" w:eastAsia="仿宋_GB2312"/>
          <w:color w:val="000000"/>
          <w:sz w:val="32"/>
          <w:szCs w:val="32"/>
          <w:lang w:val="en-US" w:eastAsia="zh-CN"/>
          <w14:textFill>
            <w14:gradFill>
              <w14:gsLst>
                <w14:gs w14:pos="51300">
                  <w14:srgbClr w14:val="4888CF"/>
                </w14:gs>
                <w14:gs w14:pos="0">
                  <w14:srgbClr w14:val="95D2FF"/>
                </w14:gs>
                <w14:gs w14:pos="95000">
                  <w14:srgbClr w14:val="3965A3"/>
                </w14:gs>
              </w14:gsLst>
              <w14:lin w14:ang="5400000" w14:scaled="1"/>
            </w14:gradFill>
          </w14:textFill>
        </w:rPr>
        <w:t xml:space="preserve"> </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根据《新晃侗族自治县财政局关于</w:t>
      </w:r>
      <w:r>
        <w:rPr>
          <w:rFonts w:hint="eastAsia" w:ascii="仿宋_GB2312" w:eastAsia="仿宋_GB2312"/>
          <w:color w:val="auto"/>
          <w:sz w:val="32"/>
          <w:szCs w:val="32"/>
          <w:lang w:eastAsia="zh-CN"/>
        </w:rPr>
        <w:t>开展</w:t>
      </w: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年度部门预算</w:t>
      </w:r>
      <w:r>
        <w:rPr>
          <w:rFonts w:hint="eastAsia" w:ascii="仿宋_GB2312" w:eastAsia="仿宋_GB2312"/>
          <w:color w:val="auto"/>
          <w:sz w:val="32"/>
          <w:szCs w:val="32"/>
          <w:lang w:eastAsia="zh-CN"/>
        </w:rPr>
        <w:t>支出</w:t>
      </w:r>
      <w:r>
        <w:rPr>
          <w:rFonts w:hint="eastAsia" w:ascii="仿宋_GB2312" w:eastAsia="仿宋_GB2312"/>
          <w:color w:val="auto"/>
          <w:sz w:val="32"/>
          <w:szCs w:val="32"/>
        </w:rPr>
        <w:t>情况绩效</w:t>
      </w:r>
      <w:r>
        <w:rPr>
          <w:rFonts w:hint="eastAsia" w:ascii="仿宋_GB2312" w:eastAsia="仿宋_GB2312"/>
          <w:color w:val="auto"/>
          <w:sz w:val="32"/>
          <w:szCs w:val="32"/>
          <w:lang w:eastAsia="zh-CN"/>
        </w:rPr>
        <w:t>自评</w:t>
      </w:r>
      <w:r>
        <w:rPr>
          <w:rFonts w:hint="eastAsia" w:ascii="仿宋_GB2312" w:eastAsia="仿宋_GB2312"/>
          <w:color w:val="auto"/>
          <w:sz w:val="32"/>
          <w:szCs w:val="32"/>
        </w:rPr>
        <w:t>工作的通知》（晃财绩〔202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号）要求</w:t>
      </w:r>
      <w:r>
        <w:rPr>
          <w:rFonts w:hint="eastAsia" w:ascii="仿宋_GB2312" w:eastAsia="仿宋_GB2312"/>
          <w:color w:val="auto"/>
          <w:sz w:val="32"/>
          <w:szCs w:val="32"/>
          <w:lang w:eastAsia="zh-CN"/>
        </w:rPr>
        <w:t>，</w:t>
      </w:r>
      <w:r>
        <w:rPr>
          <w:rFonts w:hint="eastAsia" w:ascii="仿宋_GB2312" w:eastAsia="仿宋_GB2312"/>
          <w:color w:val="auto"/>
          <w:sz w:val="32"/>
          <w:szCs w:val="32"/>
        </w:rPr>
        <w:t>我校对202</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年整体支出进行了绩效自评，现报告如下：</w:t>
      </w:r>
    </w:p>
    <w:p w14:paraId="042890CC">
      <w:pPr>
        <w:spacing w:before="240" w:line="560" w:lineRule="exact"/>
        <w:ind w:left="0" w:leftChars="0" w:firstLine="643" w:firstLineChars="200"/>
        <w:jc w:val="left"/>
        <w:rPr>
          <w:rFonts w:hint="eastAsia" w:ascii="宋体" w:hAnsi="宋体"/>
          <w:color w:val="auto"/>
        </w:rPr>
      </w:pPr>
      <w:r>
        <w:rPr>
          <w:rFonts w:hint="eastAsia" w:ascii="宋体" w:hAnsi="宋体"/>
          <w:b/>
          <w:bCs/>
          <w:color w:val="auto"/>
          <w:sz w:val="32"/>
          <w:szCs w:val="32"/>
        </w:rPr>
        <w:t>一、部门（单位）基本概况</w:t>
      </w:r>
    </w:p>
    <w:p w14:paraId="60B1F7A4">
      <w:pPr>
        <w:spacing w:line="600" w:lineRule="exact"/>
        <w:ind w:left="0"/>
        <w:jc w:val="left"/>
        <w:rPr>
          <w:rFonts w:hint="eastAsia" w:ascii="仿宋_GB2312" w:hAnsi="宋体" w:eastAsia="仿宋_GB2312" w:cs="宋体"/>
          <w:color w:val="auto"/>
          <w:sz w:val="32"/>
          <w:szCs w:val="32"/>
        </w:rPr>
      </w:pPr>
      <w:r>
        <w:rPr>
          <w:rFonts w:hint="eastAsia" w:ascii="仿宋_GB2312" w:hAnsi="宋体" w:eastAsia="仿宋_GB2312" w:cs="宋体"/>
          <w:color w:val="auto"/>
          <w:sz w:val="32"/>
          <w:szCs w:val="32"/>
        </w:rPr>
        <w:t>（一）、主要工作职责</w:t>
      </w:r>
    </w:p>
    <w:p w14:paraId="43AEF370">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1.正确贯彻党和国家的教育方针、政策、法规。</w:t>
      </w:r>
    </w:p>
    <w:p w14:paraId="3D7FFF41">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2.积极稳妥推进教育改革，为学生创造良好的学习环境。</w:t>
      </w:r>
    </w:p>
    <w:p w14:paraId="748CC923">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3.主要实施义务教育，促进基础教育发展。</w:t>
      </w:r>
    </w:p>
    <w:p w14:paraId="00D233C4">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4.组织编制和实施学校的长期规划、年度计划和学期计划。</w:t>
      </w:r>
    </w:p>
    <w:p w14:paraId="0113B575">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5</w:t>
      </w:r>
      <w:r>
        <w:rPr>
          <w:rFonts w:hint="eastAsia" w:ascii="仿宋_GB2312" w:hAnsi="Times New Roman" w:eastAsia="仿宋_GB2312" w:cs="Times New Roman"/>
          <w:sz w:val="32"/>
          <w:szCs w:val="32"/>
        </w:rPr>
        <w:t>.进行义务阶段学历教育及相关社会服务。</w:t>
      </w:r>
    </w:p>
    <w:p w14:paraId="692511ED">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6.组织做好教职工的培养、考核、奖惩、工资福利职称评定，以及退休等工作</w:t>
      </w:r>
      <w:r>
        <w:rPr>
          <w:rFonts w:hint="eastAsia" w:ascii="仿宋_GB2312" w:hAnsi="Times New Roman" w:eastAsia="仿宋_GB2312" w:cs="Times New Roman"/>
          <w:sz w:val="32"/>
          <w:szCs w:val="32"/>
          <w:lang w:eastAsia="zh-CN"/>
        </w:rPr>
        <w:t>。</w:t>
      </w:r>
    </w:p>
    <w:p w14:paraId="163CBB1A">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7.组织领导做好行政后勤工作坚持为教学服务，不断改善师生的工作、学习、生活条件，保证教学工作的顺利进行</w:t>
      </w:r>
      <w:r>
        <w:rPr>
          <w:rFonts w:hint="eastAsia" w:ascii="仿宋_GB2312" w:hAnsi="Times New Roman" w:eastAsia="仿宋_GB2312" w:cs="Times New Roman"/>
          <w:sz w:val="32"/>
          <w:szCs w:val="32"/>
          <w:lang w:eastAsia="zh-CN"/>
        </w:rPr>
        <w:t>。</w:t>
      </w:r>
    </w:p>
    <w:p w14:paraId="7635A32C">
      <w:pPr>
        <w:keepNext w:val="0"/>
        <w:keepLines w:val="0"/>
        <w:pageBreakBefore w:val="0"/>
        <w:kinsoku/>
        <w:wordWrap/>
        <w:overflowPunct/>
        <w:topLinePunct w:val="0"/>
        <w:bidi w:val="0"/>
        <w:snapToGrid/>
        <w:spacing w:line="48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rPr>
        <w:t>8.贯彻执行勤俭办校的方针立健全各项规章制度，加强对学校</w:t>
      </w:r>
      <w:r>
        <w:rPr>
          <w:rFonts w:hint="eastAsia" w:ascii="仿宋_GB2312" w:hAnsi="Times New Roman" w:eastAsia="仿宋_GB2312" w:cs="Times New Roman"/>
          <w:sz w:val="32"/>
          <w:szCs w:val="32"/>
          <w:lang w:val="en-US" w:eastAsia="zh-CN"/>
        </w:rPr>
        <w:t>的</w:t>
      </w:r>
      <w:r>
        <w:rPr>
          <w:rFonts w:hint="eastAsia" w:ascii="仿宋_GB2312" w:hAnsi="Times New Roman" w:eastAsia="仿宋_GB2312" w:cs="Times New Roman"/>
          <w:sz w:val="32"/>
          <w:szCs w:val="32"/>
        </w:rPr>
        <w:t>管理</w:t>
      </w:r>
      <w:r>
        <w:rPr>
          <w:rFonts w:hint="eastAsia" w:ascii="仿宋_GB2312" w:hAnsi="Times New Roman" w:eastAsia="仿宋_GB2312" w:cs="Times New Roman"/>
          <w:sz w:val="32"/>
          <w:szCs w:val="32"/>
          <w:lang w:eastAsia="zh-CN"/>
        </w:rPr>
        <w:t>。</w:t>
      </w:r>
    </w:p>
    <w:p w14:paraId="38AC7477">
      <w:pPr>
        <w:keepNext w:val="0"/>
        <w:keepLines w:val="0"/>
        <w:pageBreakBefore w:val="0"/>
        <w:kinsoku/>
        <w:wordWrap/>
        <w:overflowPunct/>
        <w:topLinePunct w:val="0"/>
        <w:bidi w:val="0"/>
        <w:snapToGrid/>
        <w:spacing w:line="480" w:lineRule="auto"/>
        <w:ind w:firstLine="640"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9.完成上级机关布置的其他任务。</w:t>
      </w:r>
    </w:p>
    <w:p w14:paraId="12B68C55">
      <w:pPr>
        <w:keepNext w:val="0"/>
        <w:keepLines w:val="0"/>
        <w:pageBreakBefore w:val="0"/>
        <w:kinsoku/>
        <w:wordWrap/>
        <w:overflowPunct/>
        <w:topLinePunct w:val="0"/>
        <w:bidi w:val="0"/>
        <w:snapToGrid/>
        <w:spacing w:line="480" w:lineRule="auto"/>
        <w:ind w:firstLine="640" w:firstLineChars="200"/>
        <w:rPr>
          <w:rFonts w:hint="eastAsia" w:ascii="黑体" w:hAnsi="黑体" w:eastAsia="黑体"/>
          <w:sz w:val="32"/>
          <w:szCs w:val="32"/>
          <w:lang w:eastAsia="zh-CN"/>
        </w:rPr>
      </w:pPr>
      <w:r>
        <w:rPr>
          <w:rFonts w:hint="eastAsia" w:ascii="仿宋_GB2312" w:hAnsi="宋体" w:eastAsia="仿宋_GB2312" w:cs="宋体"/>
          <w:bCs/>
          <w:sz w:val="32"/>
          <w:szCs w:val="32"/>
        </w:rPr>
        <w:t xml:space="preserve">    </w:t>
      </w:r>
      <w:r>
        <w:rPr>
          <w:rFonts w:hint="eastAsia" w:ascii="黑体" w:hAnsi="黑体" w:eastAsia="黑体"/>
          <w:sz w:val="32"/>
          <w:szCs w:val="32"/>
        </w:rPr>
        <w:t>预算安排情况</w:t>
      </w:r>
      <w:r>
        <w:rPr>
          <w:rFonts w:hint="eastAsia" w:ascii="黑体" w:hAnsi="黑体" w:eastAsia="黑体"/>
          <w:sz w:val="32"/>
          <w:szCs w:val="32"/>
          <w:lang w:eastAsia="zh-CN"/>
        </w:rPr>
        <w:t>：</w:t>
      </w:r>
    </w:p>
    <w:p w14:paraId="302272CC">
      <w:pPr>
        <w:pStyle w:val="10"/>
        <w:keepNext w:val="0"/>
        <w:keepLines w:val="0"/>
        <w:pageBreakBefore w:val="0"/>
        <w:kinsoku/>
        <w:wordWrap/>
        <w:overflowPunct/>
        <w:topLinePunct w:val="0"/>
        <w:bidi w:val="0"/>
        <w:snapToGrid/>
        <w:spacing w:line="480" w:lineRule="auto"/>
        <w:ind w:firstLine="640" w:firstLineChars="200"/>
        <w:rPr>
          <w:rFonts w:hint="eastAsia" w:ascii="仿宋_GB2312" w:hAnsi="宋体" w:eastAsia="仿宋_GB2312"/>
          <w:sz w:val="32"/>
          <w:szCs w:val="32"/>
          <w:lang w:val="en-US" w:eastAsia="zh-CN"/>
        </w:rPr>
      </w:pPr>
      <w:r>
        <w:rPr>
          <w:rFonts w:hint="eastAsia" w:ascii="仿宋_GB2312" w:eastAsia="仿宋_GB2312"/>
          <w:sz w:val="32"/>
          <w:szCs w:val="32"/>
        </w:rPr>
        <w:t>20</w:t>
      </w:r>
      <w:r>
        <w:rPr>
          <w:rFonts w:hint="eastAsia" w:ascii="仿宋_GB2312" w:eastAsia="仿宋_GB2312"/>
          <w:sz w:val="32"/>
          <w:szCs w:val="32"/>
          <w:lang w:val="en-US" w:eastAsia="zh-CN"/>
        </w:rPr>
        <w:t>24</w:t>
      </w:r>
      <w:r>
        <w:rPr>
          <w:rFonts w:hint="eastAsia" w:ascii="仿宋_GB2312" w:eastAsia="仿宋_GB2312"/>
          <w:sz w:val="32"/>
          <w:szCs w:val="32"/>
        </w:rPr>
        <w:t>年度财政收支：</w:t>
      </w:r>
      <w:r>
        <w:rPr>
          <w:rFonts w:hint="eastAsia" w:ascii="仿宋_GB2312" w:hAnsi="宋体" w:eastAsia="仿宋_GB2312"/>
          <w:sz w:val="32"/>
          <w:szCs w:val="32"/>
        </w:rPr>
        <w:t>本年收入合计</w:t>
      </w:r>
      <w:r>
        <w:rPr>
          <w:rFonts w:hint="eastAsia" w:ascii="仿宋_GB2312" w:hAnsi="宋体" w:eastAsia="仿宋_GB2312"/>
          <w:sz w:val="32"/>
          <w:szCs w:val="32"/>
          <w:lang w:val="en-US" w:eastAsia="zh-CN"/>
        </w:rPr>
        <w:t>355.05</w:t>
      </w:r>
      <w:r>
        <w:rPr>
          <w:rFonts w:hint="eastAsia" w:ascii="仿宋_GB2312" w:hAnsi="宋体" w:eastAsia="仿宋_GB2312"/>
          <w:sz w:val="32"/>
          <w:szCs w:val="32"/>
        </w:rPr>
        <w:t>万元，其中：财政拨款收入</w:t>
      </w:r>
      <w:r>
        <w:rPr>
          <w:rFonts w:hint="eastAsia" w:ascii="仿宋_GB2312" w:hAnsi="宋体" w:eastAsia="仿宋_GB2312"/>
          <w:sz w:val="32"/>
          <w:szCs w:val="32"/>
          <w:lang w:val="en-US" w:eastAsia="zh-CN"/>
        </w:rPr>
        <w:t>355.05</w:t>
      </w:r>
      <w:r>
        <w:rPr>
          <w:rFonts w:hint="eastAsia" w:ascii="仿宋_GB2312" w:hAnsi="宋体" w:eastAsia="仿宋_GB2312"/>
          <w:sz w:val="32"/>
          <w:szCs w:val="32"/>
        </w:rPr>
        <w:t>万元，占100%；本年支出合计</w:t>
      </w:r>
      <w:r>
        <w:rPr>
          <w:rFonts w:hint="eastAsia" w:ascii="仿宋_GB2312" w:hAnsi="宋体" w:eastAsia="仿宋_GB2312"/>
          <w:sz w:val="32"/>
          <w:szCs w:val="32"/>
          <w:lang w:val="en-US" w:eastAsia="zh-CN"/>
        </w:rPr>
        <w:t>355.05</w:t>
      </w:r>
      <w:r>
        <w:rPr>
          <w:rFonts w:hint="eastAsia" w:ascii="仿宋_GB2312" w:hAnsi="宋体" w:eastAsia="仿宋_GB2312"/>
          <w:sz w:val="32"/>
          <w:szCs w:val="32"/>
        </w:rPr>
        <w:t>万元，</w:t>
      </w:r>
      <w:r>
        <w:rPr>
          <w:rFonts w:hint="eastAsia" w:ascii="仿宋_GB2312" w:hAnsi="宋体" w:eastAsia="仿宋_GB2312"/>
          <w:sz w:val="32"/>
          <w:szCs w:val="32"/>
          <w:lang w:eastAsia="zh-CN"/>
        </w:rPr>
        <w:t>按经济分类支出：工资福利支出</w:t>
      </w:r>
      <w:r>
        <w:rPr>
          <w:rFonts w:hint="eastAsia" w:ascii="仿宋_GB2312" w:hAnsi="宋体" w:eastAsia="仿宋_GB2312"/>
          <w:sz w:val="32"/>
          <w:szCs w:val="32"/>
          <w:lang w:val="en-US" w:eastAsia="zh-CN"/>
        </w:rPr>
        <w:t>262.68万元，商品和服务支出43.14万元，对个人和家庭的补助支出：48.23万元，资本性支出0万元。</w:t>
      </w:r>
    </w:p>
    <w:p w14:paraId="12B7479C">
      <w:pPr>
        <w:keepNext w:val="0"/>
        <w:keepLines w:val="0"/>
        <w:pageBreakBefore w:val="0"/>
        <w:kinsoku/>
        <w:wordWrap/>
        <w:overflowPunct/>
        <w:topLinePunct w:val="0"/>
        <w:bidi w:val="0"/>
        <w:snapToGrid/>
        <w:spacing w:line="480" w:lineRule="auto"/>
        <w:ind w:firstLine="640" w:firstLineChars="200"/>
        <w:rPr>
          <w:rFonts w:hint="eastAsia" w:ascii="仿宋_GB2312" w:hAnsi="宋体" w:eastAsia="仿宋_GB2312" w:cs="黑体"/>
          <w:color w:val="000000"/>
          <w:kern w:val="0"/>
          <w:sz w:val="32"/>
          <w:szCs w:val="32"/>
          <w:lang w:val="en-US" w:eastAsia="zh-CN" w:bidi="ar-SA"/>
        </w:rPr>
      </w:pPr>
      <w:r>
        <w:rPr>
          <w:rFonts w:hint="eastAsia" w:ascii="仿宋_GB2312" w:hAnsi="宋体" w:eastAsia="仿宋_GB2312" w:cs="黑体"/>
          <w:color w:val="000000"/>
          <w:kern w:val="0"/>
          <w:sz w:val="32"/>
          <w:szCs w:val="32"/>
          <w:lang w:val="en-US" w:eastAsia="zh-CN" w:bidi="ar-SA"/>
        </w:rPr>
        <w:t>截至2024年12月31日，固定资产原值860.93万元，累计折旧292.56万元，净值568.37万元。本单位共有车辆0辆，其中，领导干部用车0辆、机要通信用车0辆、应急保障用车0辆、执法执勤用车0辆、特种专业技术用车0辆、其他用车0辆；单位价值50万元以上通用设备0台（套）；单位价值100万元以上专用设备0台（套）。</w:t>
      </w:r>
    </w:p>
    <w:p w14:paraId="6B35F731">
      <w:pPr>
        <w:keepNext w:val="0"/>
        <w:keepLines w:val="0"/>
        <w:pageBreakBefore w:val="0"/>
        <w:kinsoku/>
        <w:wordWrap/>
        <w:overflowPunct/>
        <w:topLinePunct w:val="0"/>
        <w:bidi w:val="0"/>
        <w:snapToGrid/>
        <w:spacing w:line="480" w:lineRule="auto"/>
        <w:ind w:left="0" w:leftChars="0" w:firstLine="640" w:firstLineChars="200"/>
        <w:rPr>
          <w:rFonts w:hint="eastAsia" w:ascii="黑体" w:hAnsi="黑体" w:eastAsia="黑体"/>
          <w:sz w:val="32"/>
          <w:szCs w:val="32"/>
          <w:lang w:eastAsia="zh-CN"/>
        </w:rPr>
      </w:pPr>
      <w:r>
        <w:rPr>
          <w:rFonts w:hint="eastAsia" w:ascii="黑体" w:hAnsi="黑体" w:eastAsia="黑体"/>
          <w:sz w:val="32"/>
          <w:szCs w:val="32"/>
        </w:rPr>
        <w:t>预算</w:t>
      </w:r>
      <w:r>
        <w:rPr>
          <w:rFonts w:hint="eastAsia" w:ascii="黑体" w:hAnsi="黑体" w:eastAsia="黑体"/>
          <w:sz w:val="32"/>
          <w:szCs w:val="32"/>
          <w:lang w:eastAsia="zh-CN"/>
        </w:rPr>
        <w:t>执行</w:t>
      </w:r>
      <w:r>
        <w:rPr>
          <w:rFonts w:hint="eastAsia" w:ascii="黑体" w:hAnsi="黑体" w:eastAsia="黑体"/>
          <w:sz w:val="32"/>
          <w:szCs w:val="32"/>
        </w:rPr>
        <w:t>情况</w:t>
      </w:r>
      <w:r>
        <w:rPr>
          <w:rFonts w:hint="eastAsia" w:ascii="黑体" w:hAnsi="黑体" w:eastAsia="黑体"/>
          <w:sz w:val="32"/>
          <w:szCs w:val="32"/>
          <w:lang w:eastAsia="zh-CN"/>
        </w:rPr>
        <w:t>：</w:t>
      </w:r>
    </w:p>
    <w:p w14:paraId="732F1BBB">
      <w:pPr>
        <w:keepNext w:val="0"/>
        <w:keepLines w:val="0"/>
        <w:pageBreakBefore w:val="0"/>
        <w:widowControl/>
        <w:shd w:val="clear" w:color="auto" w:fill="FFFFFF"/>
        <w:kinsoku/>
        <w:wordWrap/>
        <w:overflowPunct/>
        <w:topLinePunct w:val="0"/>
        <w:bidi w:val="0"/>
        <w:snapToGrid/>
        <w:spacing w:line="480" w:lineRule="auto"/>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年初财政批复部门预算</w:t>
      </w:r>
      <w:r>
        <w:rPr>
          <w:rFonts w:hint="eastAsia" w:ascii="仿宋_GB2312" w:hAnsi="宋体" w:eastAsia="仿宋_GB2312"/>
          <w:sz w:val="32"/>
          <w:szCs w:val="32"/>
          <w:lang w:val="en-US" w:eastAsia="zh-CN"/>
        </w:rPr>
        <w:t>355.05</w:t>
      </w:r>
      <w:r>
        <w:rPr>
          <w:rFonts w:hint="eastAsia" w:ascii="仿宋_GB2312" w:hAnsi="宋体" w:eastAsia="仿宋_GB2312" w:cs="宋体"/>
          <w:kern w:val="0"/>
          <w:sz w:val="32"/>
          <w:szCs w:val="32"/>
        </w:rPr>
        <w:t>万元，实际总收入</w:t>
      </w:r>
      <w:r>
        <w:rPr>
          <w:rFonts w:hint="eastAsia" w:ascii="仿宋_GB2312" w:hAnsi="宋体" w:eastAsia="仿宋_GB2312"/>
          <w:sz w:val="32"/>
          <w:szCs w:val="32"/>
          <w:lang w:val="en-US" w:eastAsia="zh-CN"/>
        </w:rPr>
        <w:t>355.05</w:t>
      </w:r>
      <w:r>
        <w:rPr>
          <w:rFonts w:hint="eastAsia" w:ascii="仿宋_GB2312" w:hAnsi="宋体" w:eastAsia="仿宋_GB2312" w:cs="宋体"/>
          <w:kern w:val="0"/>
          <w:sz w:val="32"/>
          <w:szCs w:val="32"/>
        </w:rPr>
        <w:t>万元，全部为财政拨款收入。</w:t>
      </w:r>
      <w:r>
        <w:rPr>
          <w:rFonts w:hint="eastAsia" w:ascii="仿宋_GB2312" w:hAnsi="宋体" w:eastAsia="仿宋_GB2312" w:cs="宋体"/>
          <w:kern w:val="0"/>
          <w:sz w:val="32"/>
          <w:szCs w:val="32"/>
          <w:lang w:val="en-US" w:eastAsia="zh-CN"/>
        </w:rPr>
        <w:t xml:space="preserve"> </w:t>
      </w:r>
    </w:p>
    <w:p w14:paraId="595182C3">
      <w:pPr>
        <w:pStyle w:val="10"/>
        <w:keepNext w:val="0"/>
        <w:keepLines w:val="0"/>
        <w:pageBreakBefore w:val="0"/>
        <w:kinsoku/>
        <w:wordWrap/>
        <w:overflowPunct/>
        <w:topLinePunct w:val="0"/>
        <w:bidi w:val="0"/>
        <w:snapToGrid/>
        <w:spacing w:line="480" w:lineRule="auto"/>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年度总支出</w:t>
      </w:r>
      <w:r>
        <w:rPr>
          <w:rFonts w:hint="eastAsia" w:ascii="仿宋_GB2312" w:hAnsi="宋体" w:eastAsia="仿宋_GB2312"/>
          <w:sz w:val="32"/>
          <w:szCs w:val="32"/>
          <w:lang w:val="en-US" w:eastAsia="zh-CN"/>
        </w:rPr>
        <w:t>355.05</w:t>
      </w:r>
      <w:r>
        <w:rPr>
          <w:rFonts w:hint="eastAsia" w:ascii="仿宋_GB2312" w:hAnsi="宋体" w:eastAsia="仿宋_GB2312" w:cs="宋体"/>
          <w:kern w:val="0"/>
          <w:sz w:val="32"/>
          <w:szCs w:val="32"/>
        </w:rPr>
        <w:t>万元，</w:t>
      </w:r>
      <w:r>
        <w:rPr>
          <w:rFonts w:hint="eastAsia" w:ascii="仿宋_GB2312" w:hAnsi="宋体" w:eastAsia="仿宋_GB2312"/>
          <w:sz w:val="32"/>
          <w:szCs w:val="32"/>
        </w:rPr>
        <w:t>其中：</w:t>
      </w:r>
      <w:r>
        <w:rPr>
          <w:rFonts w:hint="eastAsia" w:ascii="仿宋_GB2312" w:hAnsi="宋体" w:eastAsia="仿宋_GB2312"/>
          <w:sz w:val="32"/>
          <w:szCs w:val="32"/>
          <w:lang w:eastAsia="zh-CN"/>
        </w:rPr>
        <w:t>按经济分类支出：工资福利支出</w:t>
      </w:r>
      <w:r>
        <w:rPr>
          <w:rFonts w:hint="eastAsia" w:ascii="仿宋_GB2312" w:hAnsi="宋体" w:eastAsia="仿宋_GB2312"/>
          <w:sz w:val="32"/>
          <w:szCs w:val="32"/>
          <w:lang w:val="en-US" w:eastAsia="zh-CN"/>
        </w:rPr>
        <w:t>262.68万元，商品和服务支出43.14万元，对个人和家庭的补助支出：48.23万元，资本性支出0万元，</w:t>
      </w:r>
      <w:r>
        <w:rPr>
          <w:rFonts w:hint="eastAsia" w:ascii="仿宋_GB2312" w:hAnsi="宋体" w:eastAsia="仿宋_GB2312" w:cs="宋体"/>
          <w:kern w:val="0"/>
          <w:sz w:val="32"/>
          <w:szCs w:val="32"/>
        </w:rPr>
        <w:t>年末结转</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5BB15A00">
      <w:pPr>
        <w:keepNext w:val="0"/>
        <w:keepLines w:val="0"/>
        <w:pageBreakBefore w:val="0"/>
        <w:kinsoku/>
        <w:wordWrap/>
        <w:overflowPunct/>
        <w:topLinePunct w:val="0"/>
        <w:bidi w:val="0"/>
        <w:snapToGrid/>
        <w:spacing w:line="480" w:lineRule="auto"/>
        <w:ind w:firstLine="640" w:firstLineChars="200"/>
        <w:jc w:val="left"/>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二、部门（单位）整体支出绩效状况</w:t>
      </w:r>
    </w:p>
    <w:p w14:paraId="420DEEB1">
      <w:pPr>
        <w:keepNext w:val="0"/>
        <w:keepLines w:val="0"/>
        <w:pageBreakBefore w:val="0"/>
        <w:widowControl w:val="0"/>
        <w:numPr>
          <w:ilvl w:val="0"/>
          <w:numId w:val="1"/>
        </w:numPr>
        <w:kinsoku/>
        <w:wordWrap/>
        <w:overflowPunct/>
        <w:topLinePunct w:val="0"/>
        <w:bidi w:val="0"/>
        <w:snapToGrid/>
        <w:spacing w:line="480" w:lineRule="auto"/>
        <w:ind w:leftChars="200" w:firstLine="640" w:firstLineChars="200"/>
        <w:jc w:val="both"/>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 xml:space="preserve"> 绩效目标，年初制定了预算管理制度，对专项业务经费均按要求编制了绩效目标，结合预算功能科目及经济科目与成本的关系，开展了整体支出绩效目标的编制。</w:t>
      </w:r>
    </w:p>
    <w:p w14:paraId="4E103EDE">
      <w:pPr>
        <w:keepNext w:val="0"/>
        <w:keepLines w:val="0"/>
        <w:pageBreakBefore w:val="0"/>
        <w:kinsoku/>
        <w:wordWrap/>
        <w:overflowPunct/>
        <w:topLinePunct w:val="0"/>
        <w:bidi w:val="0"/>
        <w:snapToGrid/>
        <w:spacing w:line="480" w:lineRule="auto"/>
        <w:ind w:firstLine="960" w:firstLineChars="300"/>
        <w:rPr>
          <w:rFonts w:hint="eastAsia" w:ascii="仿宋_GB2312" w:hAnsi="宋体" w:eastAsia="仿宋_GB2312" w:cs="宋体"/>
          <w:color w:val="000000"/>
          <w:kern w:val="0"/>
          <w:sz w:val="32"/>
          <w:szCs w:val="32"/>
          <w:lang w:val="en-US" w:eastAsia="zh-CN" w:bidi="ar-SA"/>
        </w:rPr>
      </w:pPr>
      <w:r>
        <w:rPr>
          <w:rFonts w:hint="eastAsia" w:ascii="仿宋_GB2312" w:hAnsi="宋体" w:eastAsia="仿宋_GB2312" w:cs="宋体"/>
          <w:color w:val="000000"/>
          <w:kern w:val="0"/>
          <w:sz w:val="32"/>
          <w:szCs w:val="32"/>
          <w:lang w:val="en-US" w:eastAsia="zh-CN" w:bidi="ar-SA"/>
        </w:rPr>
        <w:t>（二）绩效评价，我校突出抓改革强监管促发展，各方面工作稳步推进，完成了上级下达的各项任务，社会公众满意度和服务对象满意度均在95%以上。根据《部门整体支出绩效自评表》评分表自评得分96分。主要绩效如下：</w:t>
      </w:r>
    </w:p>
    <w:p w14:paraId="1741409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在局领导、镇村领导的信任和指导下，在校班子和全体教职员工的拼搏和努力，学校各项工作扎实有效，教育教学质量逐步提升。</w:t>
      </w:r>
    </w:p>
    <w:p w14:paraId="569D47D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回首一年来，当家才知柴米贵，履职方晓路难行。学校党建、教育教学质量、师德师风、教育科研、学生安全、学生营养午餐、维修建设、协调关系、社会资源、迎接检查等方方面面，都需周全。庆幸晏小行政团队和教师团队很给力，但是还是觉得如履薄冰，砥砺前行。</w:t>
      </w:r>
    </w:p>
    <w:p w14:paraId="180EAA2E">
      <w:pPr>
        <w:keepNext w:val="0"/>
        <w:keepLines w:val="0"/>
        <w:pageBreakBefore w:val="0"/>
        <w:widowControl w:val="0"/>
        <w:numPr>
          <w:ilvl w:val="0"/>
          <w:numId w:val="2"/>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落实党建，助力德育，提高政治素养</w:t>
      </w:r>
    </w:p>
    <w:p w14:paraId="4CB8D4C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集中学习，提升师德。春季及秋季的开学初，学校党支部组织全体教师的集中学习党的“二十大”精神，学习习近平系列讲话内容及教育家精神。参照教育局的规定动作，集中学习《中小学教师职业道德》、《教师法》、《未成年人保护法》、《义务教育法》及“议案促改”的相关内容，下半年还学习了“二十大三中全会”精神，通过学习，有效地提高了教师的政治修养及师德水平。</w:t>
      </w:r>
    </w:p>
    <w:p w14:paraId="1EEA1DD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党建引领，助力德育。落实党领导下的校长负责制，实施党政联席议会制度，实施“三重一大”，清廉治校，党员同志主动上党课，模范服务师生。比如一是暑期汛情期间，积极响应县委县政府的号召，立即返岗，防汛排险，协助镇村领导转移、安置灾区群众；二是党员姚金梁同志积极协助后勤，比如维修水源、维修电路等。学校的维修维护，在烈日下、在寒风里、在雪路上，身体力行，勤勉务实的工作作风是德育引领的基础。</w:t>
      </w:r>
    </w:p>
    <w:p w14:paraId="1692DE3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w:t>
      </w:r>
      <w:r>
        <w:rPr>
          <w:rFonts w:hint="eastAsia" w:ascii="仿宋" w:hAnsi="仿宋" w:eastAsia="仿宋" w:cs="仿宋"/>
          <w:b w:val="0"/>
          <w:bCs w:val="0"/>
          <w:sz w:val="32"/>
          <w:szCs w:val="32"/>
          <w:lang w:val="en-US" w:eastAsia="zh-CN"/>
        </w:rPr>
        <w:t>加强学生的思想道德教育和养成教育</w:t>
      </w:r>
    </w:p>
    <w:p w14:paraId="600CD9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发挥德育核心作用。加强了德育工作领导，完善德育工作管理机制，由校长负总责，副校长督导，德育处张群和少先队刘鸿塬具体抓，形成了各部门密切配合，班主任和任课教师共同承担的纵向连接的德育工作体系。德育领导小组成员增强了教书育人、服务育人、管理育人的意识，并能以身作则，努力工作，带领全员积极探索学校德育工作的新途径。注意加强德育队伍建设，特别是班主任队伍建设。</w:t>
      </w:r>
    </w:p>
    <w:p w14:paraId="322FF0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2.加强班级文化建设。我们要求班主任积极思考，加强班级制度建设、班风和学风建设，营造良好的班级氛围，树立班级形象，争创班级特色，争创“文明班级”。各班的图书角规范实用。</w:t>
      </w:r>
    </w:p>
    <w:p w14:paraId="188CED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3.开展多种形式的主题德育教育活动。</w:t>
      </w:r>
    </w:p>
    <w:p w14:paraId="10272A9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(1)爱国主义教育，利用周一的国旗下讲话及各班的主体班会，开展形式多样的爱国主义教育。</w:t>
      </w:r>
    </w:p>
    <w:p w14:paraId="646DE1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安全法制教育，落实安全为本的指导思想，定期对学生进行法制讲座，落实法制副校长负责制，分别对学生进行防拐骗、防电信诈骗、防溺水、防性侵、防欺凌以及交通安全教育，尽可能的对一些苗头性现象及时加以教育，杜绝学生违法犯罪现象的发生。</w:t>
      </w:r>
    </w:p>
    <w:p w14:paraId="755E85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文明礼貌教育。本学期，我校继续加强了学生常规教育，特别是文明礼貌教育，以新的《中小学生守则》、《小学生日常行为规范》为内容，开展“文明班级”评比活动，以班级教育、自我教育为主，红领巾督察队为阵地，帮助学生养成良好的行为习惯，收到了良好的教育效果。</w:t>
      </w:r>
    </w:p>
    <w:p w14:paraId="2BE0552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开展关爱“留守孩”教育工作。寒、暑假进行了两次全覆盖的入户家访行动。根据教育工作的需要，在教学过程中，各班主任及任课教师开学送爱心，关心留守儿童的家访活动。通过活动，缩短了家长与老师的距离，既有助于家长对自己孩子的真正了解，也有利于教师、家长共同担起对孩子教育的责任。</w:t>
      </w:r>
    </w:p>
    <w:p w14:paraId="5631D80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三、教学及科研工作是学校的生命线</w:t>
      </w:r>
    </w:p>
    <w:p w14:paraId="502A0F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sz w:val="32"/>
          <w:szCs w:val="32"/>
        </w:rPr>
        <w:t>一</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加强领导服务意识</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助推教学质量提升制度与情感的结合。</w:t>
      </w:r>
      <w:r>
        <w:rPr>
          <w:rFonts w:hint="eastAsia" w:ascii="仿宋" w:hAnsi="仿宋" w:eastAsia="仿宋" w:cs="仿宋"/>
          <w:sz w:val="32"/>
          <w:szCs w:val="32"/>
        </w:rPr>
        <w:t>校长在工作中要树立“领导、管理就是服务”的观念，时时、处处、事事身体力行，率先垂范，增强服务意识，关心教师生活，解决后顾之忧，在制定制度、做出决策的过程中，要吸纳师生参与，营造一种民主平等的氛围，让教职工有话能说，有话可说，有话敢说，并从师生员工的角度进行思考，把师生员工的切身利益和学校的发展结合起来，进而调动全体师生的积极性、主动性和创造性。在管理中要少一点火药味，多一点人情味</w:t>
      </w:r>
      <w:r>
        <w:rPr>
          <w:rFonts w:hint="eastAsia" w:ascii="仿宋" w:hAnsi="仿宋" w:eastAsia="仿宋" w:cs="仿宋"/>
          <w:sz w:val="32"/>
          <w:szCs w:val="32"/>
          <w:lang w:eastAsia="zh-CN"/>
        </w:rPr>
        <w:t>；</w:t>
      </w:r>
      <w:r>
        <w:rPr>
          <w:rFonts w:hint="eastAsia" w:ascii="仿宋" w:hAnsi="仿宋" w:eastAsia="仿宋" w:cs="仿宋"/>
          <w:sz w:val="32"/>
          <w:szCs w:val="32"/>
        </w:rPr>
        <w:t>少一点距离感，多</w:t>
      </w:r>
      <w:r>
        <w:rPr>
          <w:rFonts w:hint="eastAsia" w:ascii="仿宋" w:hAnsi="仿宋" w:eastAsia="仿宋" w:cs="仿宋"/>
          <w:sz w:val="32"/>
          <w:szCs w:val="32"/>
          <w:lang w:val="en-US" w:eastAsia="zh-CN"/>
        </w:rPr>
        <w:t>一</w:t>
      </w:r>
      <w:r>
        <w:rPr>
          <w:rFonts w:hint="eastAsia" w:ascii="仿宋" w:hAnsi="仿宋" w:eastAsia="仿宋" w:cs="仿宋"/>
          <w:sz w:val="32"/>
          <w:szCs w:val="32"/>
        </w:rPr>
        <w:t>点亲切感</w:t>
      </w:r>
      <w:r>
        <w:rPr>
          <w:rFonts w:hint="eastAsia" w:ascii="仿宋" w:hAnsi="仿宋" w:eastAsia="仿宋" w:cs="仿宋"/>
          <w:sz w:val="32"/>
          <w:szCs w:val="32"/>
          <w:lang w:eastAsia="zh-CN"/>
        </w:rPr>
        <w:t>；</w:t>
      </w:r>
      <w:r>
        <w:rPr>
          <w:rFonts w:hint="eastAsia" w:ascii="仿宋" w:hAnsi="仿宋" w:eastAsia="仿宋" w:cs="仿宋"/>
          <w:sz w:val="32"/>
          <w:szCs w:val="32"/>
        </w:rPr>
        <w:t>少</w:t>
      </w:r>
      <w:r>
        <w:rPr>
          <w:rFonts w:hint="eastAsia" w:ascii="仿宋" w:hAnsi="仿宋" w:eastAsia="仿宋" w:cs="仿宋"/>
          <w:sz w:val="32"/>
          <w:szCs w:val="32"/>
          <w:lang w:val="en-US" w:eastAsia="zh-CN"/>
        </w:rPr>
        <w:t>一</w:t>
      </w:r>
      <w:r>
        <w:rPr>
          <w:rFonts w:hint="eastAsia" w:ascii="仿宋" w:hAnsi="仿宋" w:eastAsia="仿宋" w:cs="仿宋"/>
          <w:sz w:val="32"/>
          <w:szCs w:val="32"/>
        </w:rPr>
        <w:t>点命令，多</w:t>
      </w:r>
      <w:r>
        <w:rPr>
          <w:rFonts w:hint="eastAsia" w:ascii="仿宋" w:hAnsi="仿宋" w:eastAsia="仿宋" w:cs="仿宋"/>
          <w:sz w:val="32"/>
          <w:szCs w:val="32"/>
          <w:lang w:val="en-US" w:eastAsia="zh-CN"/>
        </w:rPr>
        <w:t>一</w:t>
      </w:r>
      <w:r>
        <w:rPr>
          <w:rFonts w:hint="eastAsia" w:ascii="仿宋" w:hAnsi="仿宋" w:eastAsia="仿宋" w:cs="仿宋"/>
          <w:sz w:val="32"/>
          <w:szCs w:val="32"/>
        </w:rPr>
        <w:t>点协商</w:t>
      </w:r>
      <w:r>
        <w:rPr>
          <w:rFonts w:hint="eastAsia" w:ascii="仿宋" w:hAnsi="仿宋" w:eastAsia="仿宋" w:cs="仿宋"/>
          <w:sz w:val="32"/>
          <w:szCs w:val="32"/>
          <w:lang w:eastAsia="zh-CN"/>
        </w:rPr>
        <w:t>；</w:t>
      </w:r>
      <w:r>
        <w:rPr>
          <w:rFonts w:hint="eastAsia" w:ascii="仿宋" w:hAnsi="仿宋" w:eastAsia="仿宋" w:cs="仿宋"/>
          <w:sz w:val="32"/>
          <w:szCs w:val="32"/>
        </w:rPr>
        <w:t>少</w:t>
      </w:r>
      <w:r>
        <w:rPr>
          <w:rFonts w:hint="eastAsia" w:ascii="仿宋" w:hAnsi="仿宋" w:eastAsia="仿宋" w:cs="仿宋"/>
          <w:sz w:val="32"/>
          <w:szCs w:val="32"/>
          <w:lang w:val="en-US" w:eastAsia="zh-CN"/>
        </w:rPr>
        <w:t>一</w:t>
      </w:r>
      <w:r>
        <w:rPr>
          <w:rFonts w:hint="eastAsia" w:ascii="仿宋" w:hAnsi="仿宋" w:eastAsia="仿宋" w:cs="仿宋"/>
          <w:sz w:val="32"/>
          <w:szCs w:val="32"/>
        </w:rPr>
        <w:t>分“不准”</w:t>
      </w:r>
      <w:r>
        <w:rPr>
          <w:rFonts w:hint="eastAsia" w:ascii="仿宋" w:hAnsi="仿宋" w:eastAsia="仿宋" w:cs="仿宋"/>
          <w:sz w:val="32"/>
          <w:szCs w:val="32"/>
          <w:lang w:eastAsia="zh-CN"/>
        </w:rPr>
        <w:t>；</w:t>
      </w:r>
      <w:r>
        <w:rPr>
          <w:rFonts w:hint="eastAsia" w:ascii="仿宋" w:hAnsi="仿宋" w:eastAsia="仿宋" w:cs="仿宋"/>
          <w:sz w:val="32"/>
          <w:szCs w:val="32"/>
        </w:rPr>
        <w:t>多</w:t>
      </w:r>
      <w:r>
        <w:rPr>
          <w:rFonts w:hint="eastAsia" w:ascii="仿宋" w:hAnsi="仿宋" w:eastAsia="仿宋" w:cs="仿宋"/>
          <w:sz w:val="32"/>
          <w:szCs w:val="32"/>
          <w:lang w:val="en-US" w:eastAsia="zh-CN"/>
        </w:rPr>
        <w:t>一</w:t>
      </w:r>
      <w:r>
        <w:rPr>
          <w:rFonts w:hint="eastAsia" w:ascii="仿宋" w:hAnsi="仿宋" w:eastAsia="仿宋" w:cs="仿宋"/>
          <w:sz w:val="32"/>
          <w:szCs w:val="32"/>
        </w:rPr>
        <w:t>分“建议”</w:t>
      </w:r>
      <w:r>
        <w:rPr>
          <w:rFonts w:hint="eastAsia" w:ascii="仿宋" w:hAnsi="仿宋" w:eastAsia="仿宋" w:cs="仿宋"/>
          <w:sz w:val="32"/>
          <w:szCs w:val="32"/>
          <w:lang w:eastAsia="zh-CN"/>
        </w:rPr>
        <w:t>；</w:t>
      </w:r>
      <w:r>
        <w:rPr>
          <w:rFonts w:hint="eastAsia" w:ascii="仿宋" w:hAnsi="仿宋" w:eastAsia="仿宋" w:cs="仿宋"/>
          <w:sz w:val="32"/>
          <w:szCs w:val="32"/>
        </w:rPr>
        <w:t>少</w:t>
      </w:r>
      <w:r>
        <w:rPr>
          <w:rFonts w:hint="eastAsia" w:ascii="仿宋" w:hAnsi="仿宋" w:eastAsia="仿宋" w:cs="仿宋"/>
          <w:sz w:val="32"/>
          <w:szCs w:val="32"/>
          <w:lang w:val="en-US" w:eastAsia="zh-CN"/>
        </w:rPr>
        <w:t>一</w:t>
      </w:r>
      <w:r>
        <w:rPr>
          <w:rFonts w:hint="eastAsia" w:ascii="仿宋" w:hAnsi="仿宋" w:eastAsia="仿宋" w:cs="仿宋"/>
          <w:sz w:val="32"/>
          <w:szCs w:val="32"/>
        </w:rPr>
        <w:t>些指责，多一些宽容</w:t>
      </w:r>
      <w:r>
        <w:rPr>
          <w:rFonts w:hint="eastAsia" w:ascii="仿宋" w:hAnsi="仿宋" w:eastAsia="仿宋" w:cs="仿宋"/>
          <w:sz w:val="32"/>
          <w:szCs w:val="32"/>
          <w:lang w:eastAsia="zh-CN"/>
        </w:rPr>
        <w:t>……</w:t>
      </w:r>
      <w:r>
        <w:rPr>
          <w:rFonts w:hint="eastAsia" w:ascii="仿宋" w:hAnsi="仿宋" w:eastAsia="仿宋" w:cs="仿宋"/>
          <w:sz w:val="32"/>
          <w:szCs w:val="32"/>
        </w:rPr>
        <w:t>教师都会看在眼里，暖在心里。有着这样宽松愉快的环境，每位教师</w:t>
      </w:r>
      <w:r>
        <w:rPr>
          <w:rFonts w:hint="eastAsia" w:ascii="仿宋" w:hAnsi="仿宋" w:eastAsia="仿宋" w:cs="仿宋"/>
          <w:sz w:val="32"/>
          <w:szCs w:val="32"/>
          <w:lang w:val="en-US" w:eastAsia="zh-CN"/>
        </w:rPr>
        <w:t>会感</w:t>
      </w:r>
      <w:r>
        <w:rPr>
          <w:rFonts w:hint="eastAsia" w:ascii="仿宋" w:hAnsi="仿宋" w:eastAsia="仿宋" w:cs="仿宋"/>
          <w:sz w:val="32"/>
          <w:szCs w:val="32"/>
        </w:rPr>
        <w:t>受到职业的尊严与快乐，教师工作起来感受到的是温暖</w:t>
      </w:r>
      <w:r>
        <w:rPr>
          <w:rFonts w:hint="eastAsia" w:ascii="仿宋" w:hAnsi="仿宋" w:eastAsia="仿宋" w:cs="仿宋"/>
          <w:sz w:val="32"/>
          <w:szCs w:val="32"/>
          <w:lang w:val="en-US" w:eastAsia="zh-CN"/>
        </w:rPr>
        <w:t>和被尊重</w:t>
      </w:r>
      <w:r>
        <w:rPr>
          <w:rFonts w:hint="eastAsia" w:ascii="仿宋" w:hAnsi="仿宋" w:eastAsia="仿宋" w:cs="仿宋"/>
          <w:sz w:val="32"/>
          <w:szCs w:val="32"/>
        </w:rPr>
        <w:t>，在心理上会产生一种满足感，从而克服职业倦怠，更加积极努力地工作。</w:t>
      </w:r>
      <w:r>
        <w:rPr>
          <w:rFonts w:hint="eastAsia" w:ascii="仿宋" w:hAnsi="仿宋" w:eastAsia="仿宋" w:cs="仿宋"/>
          <w:sz w:val="32"/>
          <w:szCs w:val="32"/>
          <w:lang w:val="en-US" w:eastAsia="zh-CN"/>
        </w:rPr>
        <w:t>如：我校为小规模寄宿制学校，晚上有晚自习。学校从未要求教师加班辅导住宿生，却有大部分教师在8点下晚自习后，自发的为部分住宿生辅导半个多小时。</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二</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加强制度建设</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激发教师工作热情</w:t>
      </w:r>
      <w:r>
        <w:rPr>
          <w:rFonts w:hint="eastAsia" w:ascii="仿宋" w:hAnsi="仿宋" w:eastAsia="仿宋" w:cs="仿宋"/>
          <w:b w:val="0"/>
          <w:bCs w:val="0"/>
          <w:sz w:val="32"/>
          <w:szCs w:val="32"/>
          <w:lang w:eastAsia="zh-CN"/>
        </w:rPr>
        <w:t>。</w:t>
      </w:r>
      <w:r>
        <w:rPr>
          <w:rFonts w:hint="eastAsia" w:ascii="仿宋" w:hAnsi="仿宋" w:eastAsia="仿宋" w:cs="仿宋"/>
          <w:sz w:val="32"/>
          <w:szCs w:val="32"/>
        </w:rPr>
        <w:t>建立管理制度充分征求广大教职工的意见，更易于为广大</w:t>
      </w:r>
      <w:r>
        <w:rPr>
          <w:rFonts w:hint="eastAsia" w:ascii="仿宋" w:hAnsi="仿宋" w:eastAsia="仿宋" w:cs="仿宋"/>
          <w:sz w:val="32"/>
          <w:szCs w:val="32"/>
          <w:lang w:val="en-US" w:eastAsia="zh-CN"/>
        </w:rPr>
        <w:t>教师</w:t>
      </w:r>
      <w:r>
        <w:rPr>
          <w:rFonts w:hint="eastAsia" w:ascii="仿宋" w:hAnsi="仿宋" w:eastAsia="仿宋" w:cs="仿宋"/>
          <w:sz w:val="32"/>
          <w:szCs w:val="32"/>
        </w:rPr>
        <w:t>所接受，也是</w:t>
      </w:r>
      <w:r>
        <w:rPr>
          <w:rFonts w:hint="eastAsia" w:ascii="仿宋" w:hAnsi="仿宋" w:eastAsia="仿宋" w:cs="仿宋"/>
          <w:sz w:val="32"/>
          <w:szCs w:val="32"/>
          <w:lang w:val="en-US" w:eastAsia="zh-CN"/>
        </w:rPr>
        <w:t>教师</w:t>
      </w:r>
      <w:r>
        <w:rPr>
          <w:rFonts w:hint="eastAsia" w:ascii="仿宋" w:hAnsi="仿宋" w:eastAsia="仿宋" w:cs="仿宋"/>
          <w:sz w:val="32"/>
          <w:szCs w:val="32"/>
        </w:rPr>
        <w:t>自我教育、自我管理的有效手段,以推动学校教学质量的提升，形成</w:t>
      </w:r>
      <w:r>
        <w:rPr>
          <w:rFonts w:hint="eastAsia" w:ascii="仿宋" w:hAnsi="仿宋" w:eastAsia="仿宋" w:cs="仿宋"/>
          <w:sz w:val="32"/>
          <w:szCs w:val="32"/>
          <w:lang w:val="en-US" w:eastAsia="zh-CN"/>
        </w:rPr>
        <w:t>阳光向上、</w:t>
      </w:r>
      <w:r>
        <w:rPr>
          <w:rFonts w:hint="eastAsia" w:ascii="仿宋" w:hAnsi="仿宋" w:eastAsia="仿宋" w:cs="仿宋"/>
          <w:sz w:val="32"/>
          <w:szCs w:val="32"/>
        </w:rPr>
        <w:t>朝气蓬勃的良好风气，调动</w:t>
      </w:r>
      <w:r>
        <w:rPr>
          <w:rFonts w:hint="eastAsia" w:ascii="仿宋" w:hAnsi="仿宋" w:eastAsia="仿宋" w:cs="仿宋"/>
          <w:sz w:val="32"/>
          <w:szCs w:val="32"/>
          <w:lang w:val="en-US" w:eastAsia="zh-CN"/>
        </w:rPr>
        <w:t>教师</w:t>
      </w:r>
      <w:r>
        <w:rPr>
          <w:rFonts w:hint="eastAsia" w:ascii="仿宋" w:hAnsi="仿宋" w:eastAsia="仿宋" w:cs="仿宋"/>
          <w:sz w:val="32"/>
          <w:szCs w:val="32"/>
        </w:rPr>
        <w:t>的积极性。如，我们</w:t>
      </w:r>
      <w:r>
        <w:rPr>
          <w:rFonts w:hint="eastAsia" w:ascii="仿宋" w:hAnsi="仿宋" w:eastAsia="仿宋" w:cs="仿宋"/>
          <w:sz w:val="32"/>
          <w:szCs w:val="32"/>
          <w:lang w:val="en-US" w:eastAsia="zh-CN"/>
        </w:rPr>
        <w:t>在教育局文件指导下，</w:t>
      </w:r>
      <w:r>
        <w:rPr>
          <w:rFonts w:hint="eastAsia" w:ascii="仿宋" w:hAnsi="仿宋" w:eastAsia="仿宋" w:cs="仿宋"/>
          <w:sz w:val="32"/>
          <w:szCs w:val="32"/>
        </w:rPr>
        <w:t>充分发扬民主，</w:t>
      </w:r>
      <w:r>
        <w:rPr>
          <w:rFonts w:hint="eastAsia" w:ascii="仿宋" w:hAnsi="仿宋" w:eastAsia="仿宋" w:cs="仿宋"/>
          <w:sz w:val="32"/>
          <w:szCs w:val="32"/>
          <w:lang w:val="en-US" w:eastAsia="zh-CN"/>
        </w:rPr>
        <w:t>每期</w:t>
      </w:r>
      <w:r>
        <w:rPr>
          <w:rFonts w:hint="eastAsia" w:ascii="仿宋" w:hAnsi="仿宋" w:eastAsia="仿宋" w:cs="仿宋"/>
          <w:sz w:val="32"/>
          <w:szCs w:val="32"/>
        </w:rPr>
        <w:t>修订完善《</w:t>
      </w:r>
      <w:r>
        <w:rPr>
          <w:rFonts w:hint="eastAsia" w:ascii="仿宋" w:hAnsi="仿宋" w:eastAsia="仿宋" w:cs="仿宋"/>
          <w:sz w:val="32"/>
          <w:szCs w:val="32"/>
          <w:lang w:val="en-US" w:eastAsia="zh-CN"/>
        </w:rPr>
        <w:t>晏家完全小学月绩效考核办法</w:t>
      </w:r>
      <w:r>
        <w:rPr>
          <w:rFonts w:hint="eastAsia" w:ascii="仿宋" w:hAnsi="仿宋" w:eastAsia="仿宋" w:cs="仿宋"/>
          <w:sz w:val="32"/>
          <w:szCs w:val="32"/>
        </w:rPr>
        <w:t>》，实行</w:t>
      </w:r>
      <w:r>
        <w:rPr>
          <w:rFonts w:hint="eastAsia" w:ascii="仿宋" w:hAnsi="仿宋" w:eastAsia="仿宋" w:cs="仿宋"/>
          <w:sz w:val="32"/>
          <w:szCs w:val="32"/>
          <w:lang w:val="en-US" w:eastAsia="zh-CN"/>
        </w:rPr>
        <w:t>师德师风一</w:t>
      </w:r>
      <w:r>
        <w:rPr>
          <w:rFonts w:hint="eastAsia" w:ascii="仿宋" w:hAnsi="仿宋" w:eastAsia="仿宋" w:cs="仿宋"/>
          <w:sz w:val="32"/>
          <w:szCs w:val="32"/>
        </w:rPr>
        <w:t>票否决</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从8个大项，28个小项全面考核各项工作。注重教师全面工作认可的同时，</w:t>
      </w:r>
      <w:r>
        <w:rPr>
          <w:rFonts w:hint="eastAsia" w:ascii="仿宋" w:hAnsi="仿宋" w:eastAsia="仿宋" w:cs="仿宋"/>
          <w:sz w:val="32"/>
          <w:szCs w:val="32"/>
        </w:rPr>
        <w:t>加大教学成绩、工作量权重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如：强调跨学科、跨年级教学的隐形工作量，突出</w:t>
      </w:r>
      <w:r>
        <w:rPr>
          <w:rFonts w:hint="eastAsia" w:ascii="仿宋" w:hAnsi="仿宋" w:eastAsia="仿宋" w:cs="仿宋"/>
          <w:sz w:val="32"/>
          <w:szCs w:val="32"/>
        </w:rPr>
        <w:t>教学质量优秀奖和教学质量进步奖</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月绩效考核办法》结果运用与</w:t>
      </w:r>
      <w:r>
        <w:rPr>
          <w:rFonts w:hint="eastAsia" w:ascii="仿宋" w:hAnsi="仿宋" w:eastAsia="仿宋" w:cs="仿宋"/>
          <w:sz w:val="32"/>
          <w:szCs w:val="32"/>
        </w:rPr>
        <w:t>学校</w:t>
      </w:r>
      <w:r>
        <w:rPr>
          <w:rFonts w:hint="eastAsia" w:ascii="仿宋" w:hAnsi="仿宋" w:eastAsia="仿宋" w:cs="仿宋"/>
          <w:sz w:val="32"/>
          <w:szCs w:val="32"/>
          <w:lang w:val="en-US" w:eastAsia="zh-CN"/>
        </w:rPr>
        <w:t>年终</w:t>
      </w:r>
      <w:r>
        <w:rPr>
          <w:rFonts w:hint="eastAsia" w:ascii="仿宋" w:hAnsi="仿宋" w:eastAsia="仿宋" w:cs="仿宋"/>
          <w:sz w:val="32"/>
          <w:szCs w:val="32"/>
        </w:rPr>
        <w:t>目标管理考核，</w:t>
      </w:r>
      <w:r>
        <w:rPr>
          <w:rFonts w:hint="eastAsia" w:ascii="仿宋" w:hAnsi="仿宋" w:eastAsia="仿宋" w:cs="仿宋"/>
          <w:sz w:val="32"/>
          <w:szCs w:val="32"/>
          <w:lang w:val="en-US" w:eastAsia="zh-CN"/>
        </w:rPr>
        <w:t>教师</w:t>
      </w:r>
      <w:r>
        <w:rPr>
          <w:rFonts w:hint="eastAsia" w:ascii="仿宋" w:hAnsi="仿宋" w:eastAsia="仿宋" w:cs="仿宋"/>
          <w:sz w:val="32"/>
          <w:szCs w:val="32"/>
        </w:rPr>
        <w:t>评优</w:t>
      </w:r>
      <w:r>
        <w:rPr>
          <w:rFonts w:hint="eastAsia" w:ascii="仿宋" w:hAnsi="仿宋" w:eastAsia="仿宋" w:cs="仿宋"/>
          <w:sz w:val="32"/>
          <w:szCs w:val="32"/>
          <w:lang w:eastAsia="zh-CN"/>
        </w:rPr>
        <w:t>、</w:t>
      </w:r>
      <w:r>
        <w:rPr>
          <w:rFonts w:hint="eastAsia" w:ascii="仿宋" w:hAnsi="仿宋" w:eastAsia="仿宋" w:cs="仿宋"/>
          <w:sz w:val="32"/>
          <w:szCs w:val="32"/>
        </w:rPr>
        <w:t>晋级、</w:t>
      </w:r>
      <w:r>
        <w:rPr>
          <w:rFonts w:hint="eastAsia" w:ascii="仿宋" w:hAnsi="仿宋" w:eastAsia="仿宋" w:cs="仿宋"/>
          <w:sz w:val="32"/>
          <w:szCs w:val="32"/>
          <w:lang w:val="en-US" w:eastAsia="zh-CN"/>
        </w:rPr>
        <w:t>年度</w:t>
      </w:r>
      <w:r>
        <w:rPr>
          <w:rFonts w:hint="eastAsia" w:ascii="仿宋" w:hAnsi="仿宋" w:eastAsia="仿宋" w:cs="仿宋"/>
          <w:sz w:val="32"/>
          <w:szCs w:val="32"/>
        </w:rPr>
        <w:t>考核、调动等挂钩</w:t>
      </w:r>
      <w:r>
        <w:rPr>
          <w:rFonts w:hint="eastAsia" w:ascii="仿宋" w:hAnsi="仿宋" w:eastAsia="仿宋" w:cs="仿宋"/>
          <w:sz w:val="32"/>
          <w:szCs w:val="32"/>
          <w:lang w:eastAsia="zh-CN"/>
        </w:rPr>
        <w:t>。</w:t>
      </w:r>
      <w:r>
        <w:rPr>
          <w:rFonts w:hint="eastAsia" w:ascii="仿宋" w:hAnsi="仿宋" w:eastAsia="仿宋" w:cs="仿宋"/>
          <w:sz w:val="32"/>
          <w:szCs w:val="32"/>
        </w:rPr>
        <w:t>充分调动教师的积极性，激发教师工作正能量。《</w:t>
      </w:r>
      <w:r>
        <w:rPr>
          <w:rFonts w:hint="eastAsia" w:ascii="仿宋" w:hAnsi="仿宋" w:eastAsia="仿宋" w:cs="仿宋"/>
          <w:sz w:val="32"/>
          <w:szCs w:val="32"/>
          <w:lang w:val="en-US" w:eastAsia="zh-CN"/>
        </w:rPr>
        <w:t>晏家完全小学月绩效考核办法</w:t>
      </w:r>
      <w:r>
        <w:rPr>
          <w:rFonts w:hint="eastAsia" w:ascii="仿宋" w:hAnsi="仿宋" w:eastAsia="仿宋" w:cs="仿宋"/>
          <w:sz w:val="32"/>
          <w:szCs w:val="32"/>
        </w:rPr>
        <w:t>》</w:t>
      </w:r>
      <w:r>
        <w:rPr>
          <w:rFonts w:hint="eastAsia" w:ascii="仿宋" w:hAnsi="仿宋" w:eastAsia="仿宋" w:cs="仿宋"/>
          <w:sz w:val="32"/>
          <w:szCs w:val="32"/>
          <w:lang w:val="en-US" w:eastAsia="zh-CN"/>
        </w:rPr>
        <w:t>每周由值周行政及教导处进行落实打分公示。</w:t>
      </w:r>
      <w:r>
        <w:rPr>
          <w:rFonts w:hint="eastAsia" w:ascii="仿宋" w:hAnsi="仿宋" w:eastAsia="仿宋" w:cs="仿宋"/>
          <w:sz w:val="32"/>
          <w:szCs w:val="32"/>
        </w:rPr>
        <w:t>尽可能调动教师的积极性。</w:t>
      </w:r>
      <w:r>
        <w:rPr>
          <w:rFonts w:hint="eastAsia" w:ascii="仿宋" w:hAnsi="仿宋" w:eastAsia="仿宋" w:cs="仿宋"/>
          <w:sz w:val="32"/>
          <w:szCs w:val="32"/>
        </w:rPr>
        <w:br w:type="textWrapping"/>
      </w: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 xml:space="preserve"> </w:t>
      </w:r>
      <w:r>
        <w:rPr>
          <w:rFonts w:hint="eastAsia" w:ascii="楷体" w:hAnsi="楷体" w:eastAsia="楷体" w:cs="楷体"/>
          <w:b/>
          <w:bCs/>
          <w:sz w:val="32"/>
          <w:szCs w:val="32"/>
          <w:lang w:val="en-US" w:eastAsia="zh-CN"/>
        </w:rPr>
        <w:t xml:space="preserve"> </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三</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加强师资队伍建设</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是提高教学质量的重要途径</w:t>
      </w:r>
      <w:r>
        <w:rPr>
          <w:rFonts w:hint="eastAsia" w:ascii="仿宋" w:hAnsi="仿宋" w:eastAsia="仿宋" w:cs="仿宋"/>
          <w:b w:val="0"/>
          <w:bCs w:val="0"/>
          <w:sz w:val="32"/>
          <w:szCs w:val="32"/>
          <w:lang w:eastAsia="zh-CN"/>
        </w:rPr>
        <w:t>。</w:t>
      </w:r>
    </w:p>
    <w:p w14:paraId="70AB91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借力数字赋能。结合晏家小学1个年级只有1个班的实际，教务处以张烨琳同志从教师的实际需求为出发点，拓展校本教研培训方式，增强研训内容的针对性和精准性，借力数字赋能，依托国家中小学智慧教育、名师课堂实录等平台遴选优质课，进行同课异构听评课。每学期原则上全体教师包括行政至少上好一节研讨课。</w:t>
      </w:r>
    </w:p>
    <w:p w14:paraId="6B37E0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2.借力县内优质资源。请杨芳玲校长送培到校，实地示范如何进行复式班教学。</w:t>
      </w:r>
    </w:p>
    <w:p w14:paraId="658F57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3.推门听课常态化。</w:t>
      </w:r>
    </w:p>
    <w:p w14:paraId="12FDC5C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四、工会及后勤工作</w:t>
      </w:r>
    </w:p>
    <w:p w14:paraId="5FF1C25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学校工会团队和后勤服务团队秉承办有温度的教育，服务教师，服务学生的理念，他们很辛苦，尽职尽责，细致履职。基本保证了老师们的七个节假日活动经费，也保障了因病或者是红白喜事的经费需求。</w:t>
      </w:r>
    </w:p>
    <w:p w14:paraId="7EFA199F">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活动有序，展示风貌。根据县教育局工会的安排，我们学校工会积极参加了教师“趣味运动会”和北联杯教师“朗诵比赛”活动，少而精晏小团队风貌得以展示。</w:t>
      </w:r>
    </w:p>
    <w:p w14:paraId="38BC92D4">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细致服务，服务师生。随着整治群众身边腐败问题行动的展开，中央、省市县巡视组对学校食堂的督查，学校后勤团队这一年来是很辛苦。学校食品安全管理制度、食品安全保卫制度、文明用餐制度、带量食谱制度、满意度测评制度、出入库管理制度（入库查验制度）、陪餐制度、信息公开制度、食堂经费管理制度等等，给我们带来了很多原来没有的事情。但是我们学校严格落实食堂管理所有的相关制度，得力于后勤团队的辛苦付出。</w:t>
      </w:r>
    </w:p>
    <w:p w14:paraId="086CC2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五、来年工作设想及努力的方向</w:t>
      </w:r>
    </w:p>
    <w:p w14:paraId="65A241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1.</w:t>
      </w:r>
      <w:r>
        <w:rPr>
          <w:rFonts w:hint="eastAsia" w:ascii="仿宋" w:hAnsi="仿宋" w:eastAsia="仿宋" w:cs="仿宋"/>
          <w:sz w:val="32"/>
          <w:szCs w:val="32"/>
          <w:lang w:val="en-US" w:eastAsia="zh-CN"/>
        </w:rPr>
        <w:t>进一步加强师德建设，突出全员育人观念，充分发挥全体教师的育人作用，真正做到服务育人，教书育人的全方位育人观。</w:t>
      </w:r>
    </w:p>
    <w:p w14:paraId="2C42966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2.学校德育工作领导小组将在原有工作经验的基础上从学校实际出发，不断更新观念，努力使德育工作迈上新的台阶。</w:t>
      </w:r>
    </w:p>
    <w:p w14:paraId="437E0F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3.加强德育科研，探讨新形势下德育工作的针对性、时效性、实效性。加强德育课题研究工作，进一步提升教育管理水平，把研究成果及时应用到学校教育工作中去。</w:t>
      </w:r>
    </w:p>
    <w:p w14:paraId="1E25FDB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4.需更加注重学生的心理健康教育，促进学生身心全面和谐健康的发展。教师重视留守儿童成长程度有待提高。</w:t>
      </w:r>
    </w:p>
    <w:p w14:paraId="4D953C0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5.有效的推行读书活动，提高孩子阅读的热情，让学生会读，愿读，内化于心，外化于行。加强家校社的协同教育。</w:t>
      </w:r>
    </w:p>
    <w:p w14:paraId="27C0E0D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6.努力提高教师的课堂教学水平和教学效率，促进教师的专业化发展，细化学校管理，提高管理运行机制的效果。</w:t>
      </w:r>
    </w:p>
    <w:p w14:paraId="019D55F5">
      <w:pPr>
        <w:keepNext w:val="0"/>
        <w:keepLines w:val="0"/>
        <w:pageBreakBefore w:val="0"/>
        <w:kinsoku/>
        <w:wordWrap/>
        <w:overflowPunct/>
        <w:topLinePunct w:val="0"/>
        <w:bidi w:val="0"/>
        <w:snapToGrid/>
        <w:spacing w:line="480" w:lineRule="auto"/>
        <w:ind w:firstLine="640" w:firstLineChars="200"/>
        <w:jc w:val="left"/>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lang w:eastAsia="zh-CN"/>
        </w:rPr>
        <w:t>六</w:t>
      </w:r>
      <w:r>
        <w:rPr>
          <w:rFonts w:hint="eastAsia" w:ascii="黑体" w:hAnsi="黑体" w:eastAsia="黑体" w:cs="黑体"/>
          <w:b w:val="0"/>
          <w:bCs w:val="0"/>
          <w:kern w:val="0"/>
          <w:sz w:val="32"/>
          <w:szCs w:val="32"/>
        </w:rPr>
        <w:t>、附件（佐证依据）</w:t>
      </w:r>
    </w:p>
    <w:p w14:paraId="23A024AC">
      <w:pPr>
        <w:keepNext w:val="0"/>
        <w:keepLines w:val="0"/>
        <w:pageBreakBefore w:val="0"/>
        <w:kinsoku/>
        <w:wordWrap/>
        <w:overflowPunct/>
        <w:topLinePunct w:val="0"/>
        <w:bidi w:val="0"/>
        <w:snapToGrid/>
        <w:spacing w:line="480" w:lineRule="auto"/>
        <w:ind w:firstLine="640" w:firstLineChars="200"/>
        <w:jc w:val="left"/>
        <w:rPr>
          <w:rFonts w:eastAsia="仿宋_GB2312"/>
          <w:kern w:val="0"/>
          <w:sz w:val="32"/>
          <w:szCs w:val="32"/>
        </w:rPr>
      </w:pPr>
      <w:r>
        <w:rPr>
          <w:rFonts w:eastAsia="仿宋_GB2312"/>
          <w:kern w:val="0"/>
          <w:sz w:val="32"/>
          <w:szCs w:val="32"/>
        </w:rPr>
        <w:t xml:space="preserve">部门认为需要作为评价报告附件的有关文件、资料等，以进一步解释和证明报告所反映的相关内容。   </w:t>
      </w:r>
    </w:p>
    <w:p w14:paraId="5F76A42E">
      <w:pPr>
        <w:keepNext w:val="0"/>
        <w:keepLines w:val="0"/>
        <w:pageBreakBefore w:val="0"/>
        <w:widowControl w:val="0"/>
        <w:kinsoku/>
        <w:wordWrap/>
        <w:overflowPunct/>
        <w:topLinePunct w:val="0"/>
        <w:autoSpaceDE/>
        <w:autoSpaceDN/>
        <w:bidi w:val="0"/>
        <w:adjustRightInd/>
        <w:snapToGrid/>
        <w:spacing w:line="480" w:lineRule="auto"/>
        <w:ind w:left="0"/>
        <w:jc w:val="right"/>
        <w:textAlignment w:val="bottom"/>
        <w:rPr>
          <w:rFonts w:hint="eastAsia" w:eastAsia="仿宋_GB2312"/>
          <w:kern w:val="0"/>
          <w:sz w:val="32"/>
          <w:szCs w:val="32"/>
          <w:lang w:val="en-US" w:eastAsia="zh-CN"/>
        </w:rPr>
      </w:pPr>
      <w:r>
        <w:rPr>
          <w:rFonts w:hint="eastAsia" w:eastAsia="仿宋_GB2312"/>
          <w:kern w:val="0"/>
          <w:sz w:val="32"/>
          <w:szCs w:val="32"/>
          <w:lang w:val="en-US" w:eastAsia="zh-CN"/>
        </w:rPr>
        <w:t>新晃侗族自治县鱼市镇晏家完全小学学校</w:t>
      </w:r>
    </w:p>
    <w:p w14:paraId="6771AF93">
      <w:pPr>
        <w:keepNext w:val="0"/>
        <w:keepLines w:val="0"/>
        <w:pageBreakBefore w:val="0"/>
        <w:widowControl w:val="0"/>
        <w:kinsoku/>
        <w:wordWrap/>
        <w:overflowPunct/>
        <w:topLinePunct w:val="0"/>
        <w:autoSpaceDE/>
        <w:autoSpaceDN/>
        <w:bidi w:val="0"/>
        <w:adjustRightInd/>
        <w:snapToGrid/>
        <w:spacing w:line="480" w:lineRule="auto"/>
        <w:ind w:left="0"/>
        <w:jc w:val="right"/>
        <w:textAlignment w:val="bottom"/>
        <w:rPr>
          <w:rFonts w:hint="eastAsia" w:ascii="仿宋_GB2312" w:hAnsi="仿宋_GB2312" w:eastAsia="仿宋_GB2312" w:cs="仿宋_GB2312"/>
          <w:b/>
          <w:sz w:val="24"/>
        </w:rPr>
      </w:pPr>
      <w:r>
        <w:rPr>
          <w:rFonts w:hint="eastAsia" w:eastAsia="仿宋_GB2312"/>
          <w:kern w:val="0"/>
          <w:sz w:val="32"/>
          <w:szCs w:val="32"/>
          <w:lang w:val="en-US" w:eastAsia="zh-CN"/>
        </w:rPr>
        <w:t>2025</w:t>
      </w:r>
      <w:r>
        <w:rPr>
          <w:rFonts w:eastAsia="仿宋_GB2312"/>
          <w:kern w:val="0"/>
          <w:sz w:val="32"/>
          <w:szCs w:val="32"/>
        </w:rPr>
        <w:t xml:space="preserve">年 </w:t>
      </w:r>
      <w:r>
        <w:rPr>
          <w:rFonts w:hint="eastAsia" w:eastAsia="仿宋_GB2312"/>
          <w:kern w:val="0"/>
          <w:sz w:val="32"/>
          <w:szCs w:val="32"/>
          <w:lang w:val="en-US" w:eastAsia="zh-CN"/>
        </w:rPr>
        <w:t>4</w:t>
      </w:r>
      <w:r>
        <w:rPr>
          <w:rFonts w:eastAsia="仿宋_GB2312"/>
          <w:kern w:val="0"/>
          <w:sz w:val="32"/>
          <w:szCs w:val="32"/>
        </w:rPr>
        <w:t xml:space="preserve"> 月 </w:t>
      </w:r>
      <w:r>
        <w:rPr>
          <w:rFonts w:hint="eastAsia" w:eastAsia="仿宋_GB2312"/>
          <w:kern w:val="0"/>
          <w:sz w:val="32"/>
          <w:szCs w:val="32"/>
          <w:lang w:val="en-US" w:eastAsia="zh-CN"/>
        </w:rPr>
        <w:t>8</w:t>
      </w:r>
      <w:r>
        <w:rPr>
          <w:rFonts w:eastAsia="仿宋_GB2312"/>
          <w:kern w:val="0"/>
          <w:sz w:val="32"/>
          <w:szCs w:val="32"/>
        </w:rPr>
        <w:t xml:space="preserve"> 日</w:t>
      </w:r>
    </w:p>
    <w:p w14:paraId="4FEB4EC4">
      <w:pPr>
        <w:spacing w:line="400" w:lineRule="exact"/>
        <w:jc w:val="left"/>
        <w:rPr>
          <w:rFonts w:eastAsia="仿宋_GB2312"/>
          <w:sz w:val="24"/>
        </w:rPr>
      </w:pPr>
    </w:p>
    <w:p w14:paraId="2D45ACA8"/>
    <w:sectPr>
      <w:pgSz w:w="11906" w:h="16838"/>
      <w:pgMar w:top="1440" w:right="1689" w:bottom="1440" w:left="1803"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A5200">
    <w:pPr>
      <w:pStyle w:val="3"/>
      <w:tabs>
        <w:tab w:val="center" w:pos="3970"/>
        <w:tab w:val="clear" w:pos="4153"/>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57E7D3">
                          <w:pPr>
                            <w:pStyle w:val="3"/>
                            <w:jc w:val="center"/>
                            <w:rPr>
                              <w:rStyle w:val="9"/>
                            </w:rPr>
                          </w:pPr>
                          <w:r>
                            <w:fldChar w:fldCharType="begin"/>
                          </w:r>
                          <w:r>
                            <w:rPr>
                              <w:rStyle w:val="9"/>
                            </w:rPr>
                            <w:instrText xml:space="preserve">PAGE  </w:instrText>
                          </w:r>
                          <w:r>
                            <w:fldChar w:fldCharType="separate"/>
                          </w:r>
                          <w:r>
                            <w:rPr>
                              <w:rStyle w:val="9"/>
                            </w:rPr>
                            <w:t>- 2 -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D57E7D3">
                    <w:pPr>
                      <w:pStyle w:val="3"/>
                      <w:jc w:val="center"/>
                      <w:rPr>
                        <w:rStyle w:val="9"/>
                      </w:rPr>
                    </w:pPr>
                    <w:r>
                      <w:fldChar w:fldCharType="begin"/>
                    </w:r>
                    <w:r>
                      <w:rPr>
                        <w:rStyle w:val="9"/>
                      </w:rPr>
                      <w:instrText xml:space="preserve">PAGE  </w:instrText>
                    </w:r>
                    <w:r>
                      <w:fldChar w:fldCharType="separate"/>
                    </w:r>
                    <w:r>
                      <w:rPr>
                        <w:rStyle w:val="9"/>
                      </w:rPr>
                      <w:t>- 2 -</w:t>
                    </w:r>
                    <w:r>
                      <w:fldChar w:fldCharType="end"/>
                    </w:r>
                  </w:p>
                </w:txbxContent>
              </v:textbox>
            </v:shape>
          </w:pict>
        </mc:Fallback>
      </mc:AlternateContent>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CAC73"/>
    <w:multiLevelType w:val="singleLevel"/>
    <w:tmpl w:val="80FCAC73"/>
    <w:lvl w:ilvl="0" w:tentative="0">
      <w:start w:val="1"/>
      <w:numFmt w:val="chineseCounting"/>
      <w:suff w:val="nothing"/>
      <w:lvlText w:val="（%1）"/>
      <w:lvlJc w:val="left"/>
      <w:rPr>
        <w:rFonts w:hint="eastAsia"/>
      </w:rPr>
    </w:lvl>
  </w:abstractNum>
  <w:abstractNum w:abstractNumId="1">
    <w:nsid w:val="B775DD30"/>
    <w:multiLevelType w:val="singleLevel"/>
    <w:tmpl w:val="B775DD30"/>
    <w:lvl w:ilvl="0" w:tentative="0">
      <w:start w:val="1"/>
      <w:numFmt w:val="decimal"/>
      <w:lvlText w:val="%1."/>
      <w:lvlJc w:val="left"/>
      <w:pPr>
        <w:tabs>
          <w:tab w:val="left" w:pos="312"/>
        </w:tabs>
      </w:pPr>
    </w:lvl>
  </w:abstractNum>
  <w:abstractNum w:abstractNumId="2">
    <w:nsid w:val="64D2A3B9"/>
    <w:multiLevelType w:val="singleLevel"/>
    <w:tmpl w:val="64D2A3B9"/>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07299"/>
    <w:rsid w:val="01E55628"/>
    <w:rsid w:val="07194B34"/>
    <w:rsid w:val="0B9A3EC8"/>
    <w:rsid w:val="0CBB7218"/>
    <w:rsid w:val="0E0F3329"/>
    <w:rsid w:val="13D848ED"/>
    <w:rsid w:val="18686A42"/>
    <w:rsid w:val="28D16EA4"/>
    <w:rsid w:val="29D65682"/>
    <w:rsid w:val="2B8C2C12"/>
    <w:rsid w:val="2FE6700E"/>
    <w:rsid w:val="379D12F9"/>
    <w:rsid w:val="3D0C4A0E"/>
    <w:rsid w:val="3D3D74A8"/>
    <w:rsid w:val="3FA21416"/>
    <w:rsid w:val="415508DA"/>
    <w:rsid w:val="45886EDA"/>
    <w:rsid w:val="46772EEE"/>
    <w:rsid w:val="482F1ACB"/>
    <w:rsid w:val="4D534C3B"/>
    <w:rsid w:val="514E0672"/>
    <w:rsid w:val="56E60A07"/>
    <w:rsid w:val="570B44CB"/>
    <w:rsid w:val="57351A5F"/>
    <w:rsid w:val="5753191E"/>
    <w:rsid w:val="5775062B"/>
    <w:rsid w:val="5A707529"/>
    <w:rsid w:val="5E167522"/>
    <w:rsid w:val="5E980137"/>
    <w:rsid w:val="647C2A68"/>
    <w:rsid w:val="65825AEF"/>
    <w:rsid w:val="6AB92544"/>
    <w:rsid w:val="6BE052E0"/>
    <w:rsid w:val="6FFE6898"/>
    <w:rsid w:val="71144B3C"/>
    <w:rsid w:val="73B16E2C"/>
    <w:rsid w:val="76DB4537"/>
    <w:rsid w:val="790F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5">
    <w:name w:val="Body Text First Indent"/>
    <w:basedOn w:val="2"/>
    <w:qFormat/>
    <w:uiPriority w:val="0"/>
    <w:pPr>
      <w:spacing w:after="200"/>
      <w:ind w:firstLine="100" w:firstLineChars="100"/>
      <w:jc w:val="center"/>
    </w:pPr>
    <w:rPr>
      <w:rFonts w:ascii="??_GB2312" w:hAnsi="??_GB2312" w:cs="??_GB2312"/>
      <w:sz w:val="24"/>
      <w:szCs w:val="24"/>
    </w:rPr>
  </w:style>
  <w:style w:type="character" w:styleId="8">
    <w:name w:val="Strong"/>
    <w:qFormat/>
    <w:uiPriority w:val="0"/>
    <w:rPr>
      <w:b/>
      <w:bCs/>
    </w:rPr>
  </w:style>
  <w:style w:type="character" w:styleId="9">
    <w:name w:val="page number"/>
    <w:basedOn w:val="7"/>
    <w:qFormat/>
    <w:uiPriority w:val="0"/>
  </w:style>
  <w:style w:type="paragraph" w:customStyle="1" w:styleId="10">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4920</Words>
  <Characters>5320</Characters>
  <Lines>0</Lines>
  <Paragraphs>0</Paragraphs>
  <TotalTime>12</TotalTime>
  <ScaleCrop>false</ScaleCrop>
  <LinksUpToDate>false</LinksUpToDate>
  <CharactersWithSpaces>5368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2025-02-26T01:16:00Z</dcterms:created>
  <dc:creator>Administrator</dc:creator>
  <cp:lastModifiedBy>Administrator</cp:lastModifiedBy>
  <cp:lastPrinted>2025-03-05T07:39:00Z</cp:lastPrinted>
  <dcterms:modified xsi:type="dcterms:W3CDTF">2025-04-08T09:47:30Z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C733F5DAC9EA4274AA7D83BD4D6DA6C0_12</vt:lpwstr>
  </property>
</Properties>
</file>