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3C5D50">
      <w:pPr>
        <w:pStyle w:val="5"/>
        <w:keepNext w:val="0"/>
        <w:keepLines w:val="0"/>
        <w:pageBreakBefore w:val="0"/>
        <w:widowControl w:val="0"/>
        <w:kinsoku/>
        <w:wordWrap/>
        <w:overflowPunct/>
        <w:topLinePunct w:val="0"/>
        <w:bidi w:val="0"/>
        <w:snapToGrid/>
        <w:spacing w:line="720" w:lineRule="auto"/>
        <w:ind w:firstLine="720" w:firstLineChars="200"/>
        <w:jc w:val="center"/>
        <w:textAlignment w:val="auto"/>
        <w:rPr>
          <w:rFonts w:hint="eastAsia" w:ascii="黑体" w:hAnsi="黑体" w:eastAsia="黑体" w:cs="黑体"/>
          <w:b w:val="0"/>
          <w:bCs/>
          <w:sz w:val="36"/>
          <w:szCs w:val="36"/>
        </w:rPr>
      </w:pPr>
      <w:r>
        <w:rPr>
          <w:rFonts w:hint="eastAsia" w:ascii="黑体" w:hAnsi="黑体" w:eastAsia="黑体" w:cs="黑体"/>
          <w:b w:val="0"/>
          <w:bCs/>
          <w:sz w:val="36"/>
          <w:szCs w:val="36"/>
          <w:lang w:val="en-US" w:eastAsia="zh-CN"/>
        </w:rPr>
        <w:t>新晃县委网信办单位</w:t>
      </w:r>
      <w:r>
        <w:rPr>
          <w:rFonts w:hint="eastAsia" w:ascii="黑体" w:hAnsi="黑体" w:eastAsia="黑体" w:cs="黑体"/>
          <w:b w:val="0"/>
          <w:bCs/>
          <w:sz w:val="36"/>
          <w:szCs w:val="36"/>
        </w:rPr>
        <w:t>关于</w:t>
      </w:r>
      <w:r>
        <w:rPr>
          <w:rFonts w:hint="eastAsia" w:ascii="黑体" w:hAnsi="黑体" w:eastAsia="黑体" w:cs="黑体"/>
          <w:sz w:val="36"/>
          <w:szCs w:val="36"/>
        </w:rPr>
        <w:t>202</w:t>
      </w:r>
      <w:r>
        <w:rPr>
          <w:rFonts w:hint="eastAsia" w:ascii="黑体" w:hAnsi="黑体" w:eastAsia="黑体" w:cs="黑体"/>
          <w:sz w:val="36"/>
          <w:szCs w:val="36"/>
          <w:lang w:val="en-US" w:eastAsia="zh-CN"/>
        </w:rPr>
        <w:t>3</w:t>
      </w:r>
      <w:r>
        <w:rPr>
          <w:rFonts w:hint="eastAsia" w:ascii="黑体" w:hAnsi="黑体" w:eastAsia="黑体" w:cs="黑体"/>
          <w:b w:val="0"/>
          <w:bCs/>
          <w:sz w:val="36"/>
          <w:szCs w:val="36"/>
        </w:rPr>
        <w:t>年度预算绩效</w:t>
      </w:r>
    </w:p>
    <w:p w14:paraId="614C19FA">
      <w:pPr>
        <w:pStyle w:val="5"/>
        <w:keepNext w:val="0"/>
        <w:keepLines w:val="0"/>
        <w:pageBreakBefore w:val="0"/>
        <w:widowControl w:val="0"/>
        <w:kinsoku/>
        <w:wordWrap/>
        <w:overflowPunct/>
        <w:topLinePunct w:val="0"/>
        <w:bidi w:val="0"/>
        <w:snapToGrid/>
        <w:spacing w:line="720" w:lineRule="auto"/>
        <w:jc w:val="center"/>
        <w:textAlignment w:val="auto"/>
        <w:rPr>
          <w:rFonts w:hint="eastAsia" w:ascii="黑体" w:hAnsi="黑体" w:eastAsia="黑体" w:cs="黑体"/>
          <w:b w:val="0"/>
          <w:bCs/>
          <w:sz w:val="36"/>
          <w:szCs w:val="36"/>
        </w:rPr>
      </w:pPr>
      <w:r>
        <w:rPr>
          <w:rFonts w:hint="eastAsia" w:ascii="黑体" w:hAnsi="黑体" w:eastAsia="黑体" w:cs="黑体"/>
          <w:b w:val="0"/>
          <w:bCs/>
          <w:sz w:val="36"/>
          <w:szCs w:val="36"/>
        </w:rPr>
        <w:t>情况的说明</w:t>
      </w:r>
    </w:p>
    <w:p w14:paraId="257D9EB6"/>
    <w:p w14:paraId="4B9CD697">
      <w:pPr>
        <w:pStyle w:val="5"/>
        <w:keepNext w:val="0"/>
        <w:keepLines w:val="0"/>
        <w:pageBreakBefore w:val="0"/>
        <w:widowControl w:val="0"/>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73D4E4A2">
      <w:pPr>
        <w:pStyle w:val="5"/>
        <w:keepNext w:val="0"/>
        <w:keepLines w:val="0"/>
        <w:pageBreakBefore w:val="0"/>
        <w:kinsoku/>
        <w:wordWrap/>
        <w:overflowPunct/>
        <w:topLinePunct w:val="0"/>
        <w:bidi w:val="0"/>
        <w:spacing w:beforeAutospacing="0" w:afterAutospacing="0" w:line="560" w:lineRule="exact"/>
        <w:ind w:lef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023</w:t>
      </w:r>
      <w:r>
        <w:rPr>
          <w:rFonts w:hint="eastAsia" w:ascii="仿宋" w:hAnsi="仿宋" w:eastAsia="仿宋" w:cs="仿宋"/>
          <w:sz w:val="32"/>
          <w:szCs w:val="32"/>
        </w:rPr>
        <w:t>年，我</w:t>
      </w:r>
      <w:r>
        <w:rPr>
          <w:rFonts w:hint="eastAsia" w:ascii="仿宋" w:hAnsi="仿宋" w:eastAsia="仿宋" w:cs="仿宋"/>
          <w:sz w:val="32"/>
          <w:szCs w:val="32"/>
          <w:lang w:val="en-US" w:eastAsia="zh-CN"/>
        </w:rPr>
        <w:t>部</w:t>
      </w:r>
      <w:r>
        <w:rPr>
          <w:rFonts w:hint="eastAsia" w:ascii="仿宋" w:hAnsi="仿宋" w:eastAsia="仿宋" w:cs="仿宋"/>
          <w:sz w:val="32"/>
          <w:szCs w:val="32"/>
        </w:rPr>
        <w:t>积极推进全过程预算绩效管理，着力促进资金使用绩效的提升，部门支出与年初预算基本一致，达到预期绩效目标。</w:t>
      </w:r>
    </w:p>
    <w:p w14:paraId="11C196F4">
      <w:pPr>
        <w:pStyle w:val="5"/>
        <w:keepNext w:val="0"/>
        <w:keepLines w:val="0"/>
        <w:pageBreakBefore w:val="0"/>
        <w:kinsoku/>
        <w:wordWrap/>
        <w:overflowPunct/>
        <w:topLinePunct w:val="0"/>
        <w:bidi w:val="0"/>
        <w:spacing w:beforeAutospacing="0" w:afterAutospacing="0" w:line="560" w:lineRule="exact"/>
        <w:ind w:left="0" w:firstLine="643" w:firstLineChars="200"/>
        <w:textAlignment w:val="auto"/>
        <w:rPr>
          <w:rFonts w:hint="eastAsia" w:ascii="仿宋" w:hAnsi="仿宋" w:eastAsia="仿宋" w:cs="仿宋"/>
          <w:sz w:val="32"/>
          <w:szCs w:val="32"/>
        </w:rPr>
      </w:pPr>
      <w:r>
        <w:rPr>
          <w:rFonts w:hint="eastAsia" w:ascii="仿宋" w:hAnsi="仿宋" w:eastAsia="仿宋" w:cs="仿宋"/>
          <w:b/>
          <w:color w:val="000000"/>
          <w:kern w:val="0"/>
          <w:sz w:val="32"/>
          <w:szCs w:val="32"/>
        </w:rPr>
        <w:t>（一）</w:t>
      </w:r>
      <w:r>
        <w:rPr>
          <w:rFonts w:hint="eastAsia" w:ascii="仿宋" w:hAnsi="仿宋" w:eastAsia="仿宋" w:cs="仿宋"/>
          <w:sz w:val="32"/>
          <w:szCs w:val="32"/>
        </w:rPr>
        <w:t>绩效目标，年初制定了</w:t>
      </w:r>
      <w:r>
        <w:rPr>
          <w:rFonts w:hint="eastAsia" w:ascii="仿宋" w:hAnsi="仿宋" w:eastAsia="仿宋" w:cs="仿宋"/>
          <w:sz w:val="32"/>
          <w:szCs w:val="32"/>
          <w:lang w:val="en-US" w:eastAsia="zh-CN"/>
        </w:rPr>
        <w:t>网信办</w:t>
      </w:r>
      <w:r>
        <w:rPr>
          <w:rFonts w:hint="eastAsia" w:ascii="仿宋" w:hAnsi="仿宋" w:eastAsia="仿宋" w:cs="仿宋"/>
          <w:sz w:val="32"/>
          <w:szCs w:val="32"/>
        </w:rPr>
        <w:t>预算管理制度，对专项业务经费均按要求编制了绩效目标，结合预算功能科目及经济科目与成本的关系，开展了整体支出绩效目标的编制。</w:t>
      </w:r>
    </w:p>
    <w:p w14:paraId="56A4602D">
      <w:pPr>
        <w:ind w:firstLine="643" w:firstLineChars="200"/>
        <w:rPr>
          <w:rFonts w:hint="eastAsia" w:ascii="仿宋" w:hAnsi="仿宋" w:eastAsia="仿宋" w:cs="仿宋"/>
        </w:rPr>
      </w:pPr>
      <w:r>
        <w:rPr>
          <w:rFonts w:hint="eastAsia" w:ascii="仿宋" w:hAnsi="仿宋" w:eastAsia="仿宋" w:cs="仿宋"/>
          <w:b/>
          <w:color w:val="000000"/>
          <w:kern w:val="0"/>
          <w:sz w:val="32"/>
          <w:szCs w:val="32"/>
        </w:rPr>
        <w:t>（</w:t>
      </w:r>
      <w:r>
        <w:rPr>
          <w:rFonts w:hint="eastAsia" w:ascii="仿宋" w:hAnsi="仿宋" w:eastAsia="仿宋" w:cs="仿宋"/>
          <w:b/>
          <w:color w:val="000000"/>
          <w:kern w:val="0"/>
          <w:sz w:val="32"/>
          <w:szCs w:val="32"/>
          <w:lang w:val="en-US" w:eastAsia="zh-CN"/>
        </w:rPr>
        <w:t>二</w:t>
      </w:r>
      <w:r>
        <w:rPr>
          <w:rFonts w:hint="eastAsia" w:ascii="仿宋" w:hAnsi="仿宋" w:eastAsia="仿宋" w:cs="仿宋"/>
          <w:b/>
          <w:color w:val="000000"/>
          <w:kern w:val="0"/>
          <w:sz w:val="32"/>
          <w:szCs w:val="32"/>
        </w:rPr>
        <w:t>）</w:t>
      </w:r>
      <w:r>
        <w:rPr>
          <w:rFonts w:hint="eastAsia" w:ascii="仿宋" w:hAnsi="仿宋" w:eastAsia="仿宋" w:cs="仿宋"/>
          <w:sz w:val="32"/>
          <w:szCs w:val="32"/>
        </w:rPr>
        <w:t>绩效评价，</w:t>
      </w:r>
      <w:r>
        <w:rPr>
          <w:rFonts w:hint="eastAsia" w:ascii="仿宋" w:hAnsi="仿宋" w:eastAsia="仿宋" w:cs="仿宋"/>
          <w:sz w:val="32"/>
          <w:szCs w:val="32"/>
          <w:lang w:val="en-US" w:eastAsia="zh-CN"/>
        </w:rPr>
        <w:t>我办</w:t>
      </w:r>
      <w:r>
        <w:rPr>
          <w:rFonts w:hint="eastAsia" w:ascii="仿宋" w:hAnsi="仿宋" w:eastAsia="仿宋" w:cs="仿宋"/>
          <w:sz w:val="32"/>
          <w:szCs w:val="32"/>
        </w:rPr>
        <w:t>积极落实县财政的要求，推进预算绩效的评价，20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制定了</w:t>
      </w:r>
      <w:r>
        <w:rPr>
          <w:rFonts w:hint="eastAsia" w:ascii="仿宋" w:hAnsi="仿宋" w:eastAsia="仿宋" w:cs="仿宋"/>
          <w:sz w:val="32"/>
          <w:szCs w:val="32"/>
        </w:rPr>
        <w:t>预算资金管理办法、机关财务管理办法、财务管理制度、公务接待管理制度、外商接待制度等相关管理制度，遵循先有预算、后有支出的原则，加强财务管理和内部控制监督制度。严禁超预算和无预算安排支出，严格开支范围和标准，严格支出报销审核，不报销任何超范围、超标准的费用。</w:t>
      </w:r>
      <w:r>
        <w:rPr>
          <w:rFonts w:hint="eastAsia" w:ascii="仿宋" w:hAnsi="仿宋" w:eastAsia="仿宋" w:cs="仿宋"/>
          <w:sz w:val="32"/>
          <w:szCs w:val="32"/>
          <w:lang w:val="en-US" w:eastAsia="zh-CN"/>
        </w:rPr>
        <w:t>2023</w:t>
      </w:r>
      <w:r>
        <w:rPr>
          <w:rFonts w:hint="eastAsia" w:ascii="仿宋" w:hAnsi="仿宋" w:eastAsia="仿宋" w:cs="仿宋"/>
          <w:sz w:val="32"/>
          <w:szCs w:val="32"/>
        </w:rPr>
        <w:t>年整体支出严格控制在年初预算范围之内，整体支出绩效评价指标自评分达9</w:t>
      </w:r>
      <w:r>
        <w:rPr>
          <w:rFonts w:hint="eastAsia" w:ascii="仿宋" w:hAnsi="仿宋" w:eastAsia="仿宋" w:cs="仿宋"/>
          <w:sz w:val="32"/>
          <w:szCs w:val="32"/>
          <w:lang w:val="en-US" w:eastAsia="zh-CN"/>
        </w:rPr>
        <w:t>9</w:t>
      </w:r>
      <w:r>
        <w:rPr>
          <w:rFonts w:hint="eastAsia" w:ascii="仿宋" w:hAnsi="仿宋" w:eastAsia="仿宋" w:cs="仿宋"/>
          <w:sz w:val="32"/>
          <w:szCs w:val="32"/>
        </w:rPr>
        <w:t>分。</w:t>
      </w:r>
      <w:r>
        <w:rPr>
          <w:rFonts w:hint="eastAsia" w:ascii="仿宋" w:hAnsi="仿宋" w:eastAsia="仿宋" w:cs="仿宋"/>
          <w:sz w:val="32"/>
          <w:szCs w:val="32"/>
          <w:lang w:val="en-US" w:eastAsia="zh-CN"/>
        </w:rPr>
        <w:t>2023年</w:t>
      </w:r>
      <w:r>
        <w:rPr>
          <w:rFonts w:hint="eastAsia" w:ascii="仿宋" w:hAnsi="仿宋" w:eastAsia="仿宋" w:cs="仿宋"/>
          <w:sz w:val="32"/>
          <w:szCs w:val="32"/>
        </w:rPr>
        <w:t>度收支基本平衡，既保证了机关的正常运转，又严格执行了中央关于改进作风八项规定和厉行节约反对浪费的要求</w:t>
      </w:r>
      <w:r>
        <w:rPr>
          <w:rFonts w:hint="eastAsia" w:ascii="仿宋" w:hAnsi="仿宋" w:eastAsia="仿宋" w:cs="仿宋"/>
          <w:sz w:val="32"/>
          <w:szCs w:val="32"/>
          <w:lang w:eastAsia="zh-CN"/>
        </w:rPr>
        <w:t>。</w:t>
      </w:r>
    </w:p>
    <w:p w14:paraId="0DFA69B5"/>
    <w:p w14:paraId="36C305C4"/>
    <w:p w14:paraId="714007F8"/>
    <w:p w14:paraId="732ECFF1"/>
    <w:p w14:paraId="57B79722"/>
    <w:p w14:paraId="67B1CE74">
      <w:pPr>
        <w:pStyle w:val="5"/>
        <w:keepNext w:val="0"/>
        <w:keepLines w:val="0"/>
        <w:pageBreakBefore w:val="0"/>
        <w:widowControl w:val="0"/>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4CD25C9B">
      <w:pPr>
        <w:keepNext w:val="0"/>
        <w:keepLines w:val="0"/>
        <w:pageBreakBefore w:val="0"/>
        <w:widowControl/>
        <w:tabs>
          <w:tab w:val="left" w:pos="298"/>
        </w:tabs>
        <w:kinsoku/>
        <w:wordWrap/>
        <w:overflowPunct/>
        <w:topLinePunct w:val="0"/>
        <w:autoSpaceDE/>
        <w:autoSpaceDN/>
        <w:bidi w:val="0"/>
        <w:adjustRightInd/>
        <w:snapToGrid/>
        <w:spacing w:line="560" w:lineRule="exact"/>
        <w:ind w:firstLine="48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sz w:val="24"/>
          <w:szCs w:val="24"/>
        </w:rPr>
        <w:t>（一）</w:t>
      </w:r>
      <w:r>
        <w:rPr>
          <w:rFonts w:hint="eastAsia" w:ascii="仿宋" w:hAnsi="仿宋" w:eastAsia="仿宋" w:cs="仿宋"/>
          <w:color w:val="000000"/>
          <w:kern w:val="0"/>
          <w:sz w:val="32"/>
          <w:szCs w:val="32"/>
        </w:rPr>
        <w:t xml:space="preserve">总体目标落实情况 </w:t>
      </w:r>
    </w:p>
    <w:p w14:paraId="77CF8432">
      <w:pPr>
        <w:keepNext w:val="0"/>
        <w:keepLines w:val="0"/>
        <w:pageBreakBefore w:val="0"/>
        <w:widowControl/>
        <w:tabs>
          <w:tab w:val="left" w:pos="298"/>
        </w:tabs>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rPr>
        <w:t>1、项目计划部署</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rPr>
        <w:t>为在年内顺利完成</w:t>
      </w:r>
      <w:r>
        <w:rPr>
          <w:rFonts w:hint="eastAsia" w:ascii="仿宋" w:hAnsi="仿宋" w:eastAsia="仿宋" w:cs="仿宋"/>
          <w:color w:val="000000"/>
          <w:kern w:val="0"/>
          <w:sz w:val="32"/>
          <w:szCs w:val="32"/>
          <w:lang w:val="en-US" w:eastAsia="zh-CN"/>
        </w:rPr>
        <w:t>网络安全工作</w:t>
      </w:r>
      <w:r>
        <w:rPr>
          <w:rFonts w:hint="eastAsia" w:ascii="仿宋" w:hAnsi="仿宋" w:eastAsia="仿宋" w:cs="仿宋"/>
          <w:color w:val="000000"/>
          <w:kern w:val="0"/>
          <w:sz w:val="32"/>
          <w:szCs w:val="32"/>
        </w:rPr>
        <w:t>项目目标，通过加大宣传力度，</w:t>
      </w:r>
      <w:r>
        <w:rPr>
          <w:rFonts w:hint="eastAsia" w:ascii="仿宋" w:hAnsi="仿宋" w:eastAsia="仿宋" w:cs="仿宋"/>
          <w:color w:val="000000"/>
          <w:kern w:val="0"/>
          <w:sz w:val="32"/>
          <w:szCs w:val="32"/>
          <w:lang w:val="en-US" w:eastAsia="zh-CN"/>
        </w:rPr>
        <w:t>开展网络安全检查、网络安全应急演练等方式，</w:t>
      </w:r>
      <w:r>
        <w:rPr>
          <w:rFonts w:hint="eastAsia" w:ascii="仿宋" w:hAnsi="仿宋" w:eastAsia="仿宋" w:cs="仿宋"/>
          <w:color w:val="000000"/>
          <w:kern w:val="0"/>
          <w:sz w:val="32"/>
          <w:szCs w:val="32"/>
        </w:rPr>
        <w:t>充分彰显</w:t>
      </w:r>
      <w:r>
        <w:rPr>
          <w:rFonts w:hint="eastAsia" w:ascii="仿宋" w:hAnsi="仿宋" w:eastAsia="仿宋" w:cs="仿宋"/>
          <w:color w:val="000000"/>
          <w:kern w:val="0"/>
          <w:sz w:val="32"/>
          <w:szCs w:val="32"/>
          <w:lang w:val="en-US" w:eastAsia="zh-CN"/>
        </w:rPr>
        <w:t>网络安全</w:t>
      </w:r>
      <w:r>
        <w:rPr>
          <w:rFonts w:hint="eastAsia" w:ascii="仿宋" w:hAnsi="仿宋" w:eastAsia="仿宋" w:cs="仿宋"/>
          <w:color w:val="000000"/>
          <w:kern w:val="0"/>
          <w:sz w:val="32"/>
          <w:szCs w:val="32"/>
        </w:rPr>
        <w:t>工作</w:t>
      </w:r>
      <w:r>
        <w:rPr>
          <w:rFonts w:hint="eastAsia" w:ascii="仿宋" w:hAnsi="仿宋" w:eastAsia="仿宋" w:cs="仿宋"/>
          <w:color w:val="000000"/>
          <w:kern w:val="0"/>
          <w:sz w:val="32"/>
          <w:szCs w:val="32"/>
          <w:lang w:val="en-US" w:eastAsia="zh-CN"/>
        </w:rPr>
        <w:t>的</w:t>
      </w:r>
      <w:r>
        <w:rPr>
          <w:rFonts w:hint="eastAsia" w:ascii="仿宋" w:hAnsi="仿宋" w:eastAsia="仿宋" w:cs="仿宋"/>
          <w:color w:val="000000"/>
          <w:kern w:val="0"/>
          <w:sz w:val="32"/>
          <w:szCs w:val="32"/>
        </w:rPr>
        <w:t>重要意义</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提升全县各单位以及社会群众的网络安全意识。</w:t>
      </w:r>
    </w:p>
    <w:p w14:paraId="05DA6A81">
      <w:pPr>
        <w:keepNext w:val="0"/>
        <w:keepLines w:val="0"/>
        <w:pageBreakBefore w:val="0"/>
        <w:widowControl/>
        <w:tabs>
          <w:tab w:val="left" w:pos="298"/>
        </w:tabs>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（二）具体指标执行情况</w:t>
      </w:r>
    </w:p>
    <w:p w14:paraId="519B6855">
      <w:pPr>
        <w:keepNext w:val="0"/>
        <w:keepLines w:val="0"/>
        <w:pageBreakBefore w:val="0"/>
        <w:widowControl/>
        <w:tabs>
          <w:tab w:val="left" w:pos="298"/>
        </w:tabs>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1、项目预算执行情况</w:t>
      </w:r>
    </w:p>
    <w:p w14:paraId="7F059E71">
      <w:pPr>
        <w:keepNext w:val="0"/>
        <w:keepLines w:val="0"/>
        <w:pageBreakBefore w:val="0"/>
        <w:widowControl/>
        <w:tabs>
          <w:tab w:val="left" w:pos="298"/>
        </w:tabs>
        <w:kinsoku/>
        <w:wordWrap/>
        <w:overflowPunct/>
        <w:topLinePunct w:val="0"/>
        <w:autoSpaceDE/>
        <w:autoSpaceDN/>
        <w:bidi w:val="0"/>
        <w:adjustRightInd/>
        <w:snapToGrid/>
        <w:spacing w:line="560" w:lineRule="exact"/>
        <w:ind w:left="0" w:leftChars="0"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（1）项目资金拨付</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网络安全工</w:t>
      </w:r>
      <w:bookmarkStart w:id="0" w:name="_GoBack"/>
      <w:bookmarkEnd w:id="0"/>
      <w:r>
        <w:rPr>
          <w:rFonts w:hint="eastAsia" w:ascii="仿宋" w:hAnsi="仿宋" w:eastAsia="仿宋" w:cs="仿宋"/>
          <w:color w:val="000000"/>
          <w:kern w:val="0"/>
          <w:sz w:val="32"/>
          <w:szCs w:val="32"/>
          <w:lang w:val="en-US" w:eastAsia="zh-CN"/>
        </w:rPr>
        <w:t>作</w:t>
      </w:r>
      <w:r>
        <w:rPr>
          <w:rFonts w:hint="eastAsia" w:ascii="仿宋" w:hAnsi="仿宋" w:eastAsia="仿宋" w:cs="仿宋"/>
          <w:color w:val="000000"/>
          <w:kern w:val="0"/>
          <w:sz w:val="32"/>
          <w:szCs w:val="32"/>
        </w:rPr>
        <w:t>项目资金</w:t>
      </w:r>
      <w:r>
        <w:rPr>
          <w:rFonts w:hint="eastAsia" w:ascii="仿宋" w:hAnsi="仿宋" w:eastAsia="仿宋" w:cs="仿宋"/>
          <w:color w:val="000000"/>
          <w:kern w:val="0"/>
          <w:sz w:val="32"/>
          <w:szCs w:val="32"/>
          <w:lang w:val="en-US" w:eastAsia="zh-CN"/>
        </w:rPr>
        <w:t>15</w:t>
      </w:r>
      <w:r>
        <w:rPr>
          <w:rFonts w:hint="eastAsia" w:ascii="仿宋" w:hAnsi="仿宋" w:eastAsia="仿宋" w:cs="仿宋"/>
          <w:color w:val="000000"/>
          <w:kern w:val="0"/>
          <w:sz w:val="32"/>
          <w:szCs w:val="32"/>
        </w:rPr>
        <w:t>万元，用于</w:t>
      </w:r>
      <w:r>
        <w:rPr>
          <w:rFonts w:hint="eastAsia" w:ascii="仿宋" w:hAnsi="仿宋" w:eastAsia="仿宋" w:cs="仿宋"/>
          <w:color w:val="000000"/>
          <w:kern w:val="0"/>
          <w:sz w:val="32"/>
          <w:szCs w:val="32"/>
          <w:lang w:val="en-US" w:eastAsia="zh-CN"/>
        </w:rPr>
        <w:t>开展网络安全宣传、网络安全检查、网络安全应急演练等工作</w:t>
      </w:r>
      <w:r>
        <w:rPr>
          <w:rFonts w:hint="eastAsia" w:ascii="仿宋" w:hAnsi="仿宋" w:eastAsia="仿宋" w:cs="仿宋"/>
          <w:color w:val="000000"/>
          <w:kern w:val="0"/>
          <w:sz w:val="32"/>
          <w:szCs w:val="32"/>
        </w:rPr>
        <w:t>； 实际到位资金</w:t>
      </w:r>
      <w:r>
        <w:rPr>
          <w:rFonts w:hint="eastAsia" w:ascii="仿宋" w:hAnsi="仿宋" w:eastAsia="仿宋" w:cs="仿宋"/>
          <w:color w:val="000000"/>
          <w:kern w:val="0"/>
          <w:sz w:val="32"/>
          <w:szCs w:val="32"/>
          <w:lang w:val="en-US" w:eastAsia="zh-CN"/>
        </w:rPr>
        <w:t>15</w:t>
      </w:r>
      <w:r>
        <w:rPr>
          <w:rFonts w:hint="eastAsia" w:ascii="仿宋" w:hAnsi="仿宋" w:eastAsia="仿宋" w:cs="仿宋"/>
          <w:color w:val="000000"/>
          <w:kern w:val="0"/>
          <w:sz w:val="32"/>
          <w:szCs w:val="32"/>
        </w:rPr>
        <w:t>万元，资金到位率100%。</w:t>
      </w:r>
    </w:p>
    <w:p w14:paraId="40F45619">
      <w:pPr>
        <w:keepNext w:val="0"/>
        <w:keepLines w:val="0"/>
        <w:pageBreakBefore w:val="0"/>
        <w:widowControl/>
        <w:tabs>
          <w:tab w:val="left" w:pos="298"/>
        </w:tabs>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（2）项目资金使用</w:t>
      </w:r>
      <w:r>
        <w:rPr>
          <w:rFonts w:hint="eastAsia" w:ascii="仿宋" w:hAnsi="仿宋" w:eastAsia="仿宋" w:cs="仿宋"/>
          <w:color w:val="000000"/>
          <w:kern w:val="0"/>
          <w:sz w:val="32"/>
          <w:szCs w:val="32"/>
          <w:lang w:eastAsia="zh-CN"/>
        </w:rPr>
        <w:t>。县</w:t>
      </w:r>
      <w:r>
        <w:rPr>
          <w:rFonts w:hint="eastAsia" w:ascii="仿宋" w:hAnsi="仿宋" w:eastAsia="仿宋" w:cs="仿宋"/>
          <w:color w:val="000000"/>
          <w:kern w:val="0"/>
          <w:sz w:val="32"/>
          <w:szCs w:val="32"/>
        </w:rPr>
        <w:t>财政局共计拨付</w:t>
      </w:r>
      <w:r>
        <w:rPr>
          <w:rFonts w:hint="eastAsia" w:ascii="仿宋" w:hAnsi="仿宋" w:eastAsia="仿宋" w:cs="仿宋"/>
          <w:color w:val="000000"/>
          <w:kern w:val="0"/>
          <w:sz w:val="32"/>
          <w:szCs w:val="32"/>
          <w:lang w:val="en-US" w:eastAsia="zh-CN"/>
        </w:rPr>
        <w:t>网络安全工作</w:t>
      </w:r>
      <w:r>
        <w:rPr>
          <w:rFonts w:hint="eastAsia" w:ascii="仿宋" w:hAnsi="仿宋" w:eastAsia="仿宋" w:cs="仿宋"/>
          <w:color w:val="000000"/>
          <w:kern w:val="0"/>
          <w:sz w:val="32"/>
          <w:szCs w:val="32"/>
        </w:rPr>
        <w:t>资金</w:t>
      </w:r>
      <w:r>
        <w:rPr>
          <w:rFonts w:hint="eastAsia" w:ascii="仿宋" w:hAnsi="仿宋" w:eastAsia="仿宋" w:cs="仿宋"/>
          <w:color w:val="000000"/>
          <w:kern w:val="0"/>
          <w:sz w:val="32"/>
          <w:szCs w:val="32"/>
          <w:lang w:val="en-US" w:eastAsia="zh-CN"/>
        </w:rPr>
        <w:t>15</w:t>
      </w:r>
      <w:r>
        <w:rPr>
          <w:rFonts w:hint="eastAsia" w:ascii="仿宋" w:hAnsi="仿宋" w:eastAsia="仿宋" w:cs="仿宋"/>
          <w:color w:val="000000"/>
          <w:kern w:val="0"/>
          <w:sz w:val="32"/>
          <w:szCs w:val="32"/>
        </w:rPr>
        <w:t>万元，资金使用率100.00%。</w:t>
      </w:r>
    </w:p>
    <w:p w14:paraId="5E4A8162">
      <w:pPr>
        <w:keepNext w:val="0"/>
        <w:keepLines w:val="0"/>
        <w:pageBreakBefore w:val="0"/>
        <w:widowControl/>
        <w:tabs>
          <w:tab w:val="left" w:pos="298"/>
        </w:tabs>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（3）项目管理情况</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rPr>
        <w:t>为保证项目的顺利开展，一是严格按</w:t>
      </w:r>
      <w:r>
        <w:rPr>
          <w:rFonts w:hint="eastAsia" w:ascii="仿宋" w:hAnsi="仿宋" w:eastAsia="仿宋" w:cs="仿宋"/>
          <w:color w:val="000000"/>
          <w:kern w:val="0"/>
          <w:sz w:val="32"/>
          <w:szCs w:val="32"/>
          <w:lang w:eastAsia="zh-CN"/>
        </w:rPr>
        <w:t>照</w:t>
      </w:r>
      <w:r>
        <w:rPr>
          <w:rFonts w:hint="eastAsia" w:ascii="仿宋" w:hAnsi="仿宋" w:eastAsia="仿宋" w:cs="仿宋"/>
          <w:color w:val="000000"/>
          <w:kern w:val="0"/>
          <w:sz w:val="32"/>
          <w:szCs w:val="32"/>
          <w:lang w:val="en-US" w:eastAsia="zh-CN"/>
        </w:rPr>
        <w:t>上级要求，开展网络安全各项工作，并按时按规定支付相关费用</w:t>
      </w:r>
      <w:r>
        <w:rPr>
          <w:rFonts w:hint="eastAsia" w:ascii="仿宋" w:hAnsi="仿宋" w:eastAsia="仿宋" w:cs="仿宋"/>
          <w:color w:val="000000"/>
          <w:kern w:val="0"/>
          <w:sz w:val="32"/>
          <w:szCs w:val="32"/>
        </w:rPr>
        <w:t>。</w:t>
      </w:r>
    </w:p>
    <w:p w14:paraId="6590C8D9">
      <w:pPr>
        <w:keepNext w:val="0"/>
        <w:keepLines w:val="0"/>
        <w:pageBreakBefore w:val="0"/>
        <w:widowControl/>
        <w:tabs>
          <w:tab w:val="left" w:pos="298"/>
        </w:tabs>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 xml:space="preserve"> 2、项目产出指标情况</w:t>
      </w:r>
    </w:p>
    <w:p w14:paraId="3158EB61">
      <w:pPr>
        <w:keepNext w:val="0"/>
        <w:keepLines w:val="0"/>
        <w:pageBreakBefore w:val="0"/>
        <w:widowControl/>
        <w:tabs>
          <w:tab w:val="left" w:pos="298"/>
        </w:tabs>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（1）数量指标指标解释：项目实际完成率，即</w:t>
      </w:r>
      <w:r>
        <w:rPr>
          <w:rFonts w:hint="eastAsia" w:ascii="仿宋" w:hAnsi="仿宋" w:eastAsia="仿宋" w:cs="仿宋"/>
          <w:color w:val="000000"/>
          <w:kern w:val="0"/>
          <w:sz w:val="32"/>
          <w:szCs w:val="32"/>
          <w:lang w:val="en-US" w:eastAsia="zh-CN"/>
        </w:rPr>
        <w:t>网络安全检查实际开展数占计划开展数比重，网络安全应急演练实际开展次数占计划开展数比重</w:t>
      </w:r>
      <w:r>
        <w:rPr>
          <w:rFonts w:hint="eastAsia" w:ascii="仿宋" w:hAnsi="仿宋" w:eastAsia="仿宋" w:cs="仿宋"/>
          <w:color w:val="000000"/>
          <w:kern w:val="0"/>
          <w:sz w:val="32"/>
          <w:szCs w:val="32"/>
        </w:rPr>
        <w:t>。</w:t>
      </w:r>
    </w:p>
    <w:p w14:paraId="5A634040">
      <w:pPr>
        <w:keepNext w:val="0"/>
        <w:keepLines w:val="0"/>
        <w:pageBreakBefore w:val="0"/>
        <w:widowControl/>
        <w:tabs>
          <w:tab w:val="left" w:pos="298"/>
        </w:tabs>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评价标准：根据比重计算得分。</w:t>
      </w:r>
    </w:p>
    <w:p w14:paraId="3C41E46A">
      <w:pPr>
        <w:keepNext w:val="0"/>
        <w:keepLines w:val="0"/>
        <w:pageBreakBefore w:val="0"/>
        <w:widowControl/>
        <w:tabs>
          <w:tab w:val="left" w:pos="298"/>
        </w:tabs>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_GB2312" w:hAnsi="仿宋_GB2312" w:eastAsia="仿宋_GB2312" w:cs="仿宋_GB2312"/>
          <w:color w:val="000000"/>
          <w:kern w:val="0"/>
          <w:sz w:val="32"/>
          <w:szCs w:val="32"/>
        </w:rPr>
        <w:t>数</w:t>
      </w:r>
      <w:r>
        <w:rPr>
          <w:rFonts w:hint="eastAsia" w:ascii="仿宋" w:hAnsi="仿宋" w:eastAsia="仿宋" w:cs="仿宋"/>
          <w:color w:val="000000"/>
          <w:kern w:val="0"/>
          <w:sz w:val="32"/>
          <w:szCs w:val="32"/>
        </w:rPr>
        <w:t>据来源：绩效目标评价表，</w:t>
      </w:r>
      <w:r>
        <w:rPr>
          <w:rFonts w:hint="eastAsia" w:ascii="仿宋" w:hAnsi="仿宋" w:eastAsia="仿宋" w:cs="仿宋"/>
          <w:color w:val="000000"/>
          <w:kern w:val="0"/>
          <w:sz w:val="32"/>
          <w:szCs w:val="32"/>
          <w:lang w:val="en-US" w:eastAsia="zh-CN"/>
        </w:rPr>
        <w:t>网络安全查查报告等</w:t>
      </w:r>
      <w:r>
        <w:rPr>
          <w:rFonts w:hint="eastAsia" w:ascii="仿宋" w:hAnsi="仿宋" w:eastAsia="仿宋" w:cs="仿宋"/>
          <w:color w:val="000000"/>
          <w:kern w:val="0"/>
          <w:sz w:val="32"/>
          <w:szCs w:val="32"/>
        </w:rPr>
        <w:t>。</w:t>
      </w:r>
    </w:p>
    <w:p w14:paraId="00CF8563">
      <w:pPr>
        <w:keepNext w:val="0"/>
        <w:keepLines w:val="0"/>
        <w:pageBreakBefore w:val="0"/>
        <w:widowControl/>
        <w:tabs>
          <w:tab w:val="left" w:pos="298"/>
        </w:tabs>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绩效分析：</w:t>
      </w:r>
      <w:r>
        <w:rPr>
          <w:rFonts w:hint="eastAsia" w:ascii="仿宋" w:hAnsi="仿宋" w:eastAsia="仿宋" w:cs="仿宋"/>
          <w:color w:val="000000"/>
          <w:kern w:val="0"/>
          <w:sz w:val="32"/>
          <w:szCs w:val="32"/>
          <w:lang w:val="en-US" w:eastAsia="zh-CN"/>
        </w:rPr>
        <w:t>2023年计划开展网络安全检查30家，实际开展40家，比重133%，执行情况较好</w:t>
      </w:r>
      <w:r>
        <w:rPr>
          <w:rFonts w:hint="eastAsia" w:ascii="仿宋" w:hAnsi="仿宋" w:eastAsia="仿宋" w:cs="仿宋"/>
          <w:color w:val="000000"/>
          <w:kern w:val="0"/>
          <w:sz w:val="32"/>
          <w:szCs w:val="32"/>
        </w:rPr>
        <w:t>。</w:t>
      </w:r>
    </w:p>
    <w:p w14:paraId="0AC5D76B">
      <w:pPr>
        <w:keepNext w:val="0"/>
        <w:keepLines w:val="0"/>
        <w:pageBreakBefore w:val="0"/>
        <w:widowControl/>
        <w:tabs>
          <w:tab w:val="left" w:pos="298"/>
        </w:tabs>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rPr>
        <w:t>（2）质量指标</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网络安全工作</w:t>
      </w:r>
      <w:r>
        <w:rPr>
          <w:rFonts w:hint="eastAsia" w:ascii="仿宋" w:hAnsi="仿宋" w:eastAsia="仿宋" w:cs="仿宋"/>
          <w:color w:val="000000"/>
          <w:kern w:val="0"/>
          <w:sz w:val="32"/>
          <w:szCs w:val="32"/>
        </w:rPr>
        <w:t>项目实施质量</w:t>
      </w:r>
      <w:r>
        <w:rPr>
          <w:rFonts w:hint="eastAsia" w:ascii="仿宋" w:hAnsi="仿宋" w:eastAsia="仿宋" w:cs="仿宋"/>
          <w:color w:val="000000"/>
          <w:kern w:val="0"/>
          <w:sz w:val="32"/>
          <w:szCs w:val="32"/>
          <w:lang w:val="en-US" w:eastAsia="zh-CN"/>
        </w:rPr>
        <w:t>指标不适用。</w:t>
      </w:r>
    </w:p>
    <w:p w14:paraId="2F53A964">
      <w:pPr>
        <w:keepNext w:val="0"/>
        <w:keepLines w:val="0"/>
        <w:pageBreakBefore w:val="0"/>
        <w:widowControl/>
        <w:tabs>
          <w:tab w:val="left" w:pos="298"/>
        </w:tabs>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（3）时效指标</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rPr>
        <w:t>指标解释：</w:t>
      </w:r>
      <w:r>
        <w:rPr>
          <w:rFonts w:hint="eastAsia" w:ascii="仿宋" w:hAnsi="仿宋" w:eastAsia="仿宋" w:cs="仿宋"/>
          <w:color w:val="000000"/>
          <w:kern w:val="0"/>
          <w:sz w:val="32"/>
          <w:szCs w:val="32"/>
          <w:lang w:val="en-US" w:eastAsia="zh-CN"/>
        </w:rPr>
        <w:t>能在本年度在计划时间内开展网络安全有关工作。</w:t>
      </w:r>
      <w:r>
        <w:rPr>
          <w:rFonts w:hint="eastAsia" w:ascii="仿宋" w:hAnsi="仿宋" w:eastAsia="仿宋" w:cs="仿宋"/>
          <w:color w:val="000000"/>
          <w:kern w:val="0"/>
          <w:sz w:val="32"/>
          <w:szCs w:val="32"/>
        </w:rPr>
        <w:t>用以反映和考核项目产出时效目标的实现程度。</w:t>
      </w:r>
    </w:p>
    <w:p w14:paraId="78A1A197">
      <w:pPr>
        <w:keepNext w:val="0"/>
        <w:keepLines w:val="0"/>
        <w:pageBreakBefore w:val="0"/>
        <w:widowControl/>
        <w:tabs>
          <w:tab w:val="left" w:pos="298"/>
        </w:tabs>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评价标准：</w:t>
      </w:r>
      <w:r>
        <w:rPr>
          <w:rFonts w:hint="eastAsia" w:ascii="仿宋" w:hAnsi="仿宋" w:eastAsia="仿宋" w:cs="仿宋"/>
          <w:color w:val="000000"/>
          <w:kern w:val="0"/>
          <w:sz w:val="32"/>
          <w:szCs w:val="32"/>
          <w:lang w:val="en-US" w:eastAsia="zh-CN"/>
        </w:rPr>
        <w:t>能在计划时间内完成网络安全检查等网络安全工作的，得满分。未能开展相关工作的计0分。县委网信办于</w:t>
      </w:r>
      <w:r>
        <w:rPr>
          <w:rFonts w:hint="eastAsia" w:ascii="仿宋" w:hAnsi="仿宋" w:eastAsia="仿宋" w:cs="仿宋"/>
          <w:b w:val="0"/>
          <w:bCs w:val="0"/>
          <w:color w:val="auto"/>
          <w:sz w:val="32"/>
          <w:szCs w:val="32"/>
          <w:u w:val="none"/>
          <w:lang w:val="en-US" w:eastAsia="zh-CN"/>
        </w:rPr>
        <w:t>2023年</w:t>
      </w:r>
      <w:r>
        <w:rPr>
          <w:rFonts w:hint="eastAsia" w:ascii="仿宋" w:hAnsi="仿宋" w:eastAsia="仿宋" w:cs="仿宋"/>
          <w:sz w:val="32"/>
          <w:szCs w:val="32"/>
          <w:lang w:val="en-US" w:eastAsia="zh-CN"/>
        </w:rPr>
        <w:t>组织开展全县性网络安全检查，于2023年10月下旬网络安全宣传周期间，组织开展网络安全应急演练。</w:t>
      </w:r>
    </w:p>
    <w:p w14:paraId="363EE2BF">
      <w:pPr>
        <w:keepNext w:val="0"/>
        <w:keepLines w:val="0"/>
        <w:pageBreakBefore w:val="0"/>
        <w:widowControl/>
        <w:tabs>
          <w:tab w:val="left" w:pos="298"/>
        </w:tabs>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（4）成本指标</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rPr>
        <w:t>指标解释：成本节约额，完成项目计划工作目标的计划成本与实际成本的差额，用以反映和考核项目的成本节约程度。</w:t>
      </w:r>
    </w:p>
    <w:p w14:paraId="4480C226">
      <w:pPr>
        <w:keepNext w:val="0"/>
        <w:keepLines w:val="0"/>
        <w:pageBreakBefore w:val="0"/>
        <w:widowControl/>
        <w:tabs>
          <w:tab w:val="left" w:pos="298"/>
        </w:tabs>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评价标准：成本节约额大于等于0 的，得满分；成本节约额小于0，每小于1000 元的，扣1 分，直至扣完本项分值。</w:t>
      </w:r>
    </w:p>
    <w:p w14:paraId="32F05109">
      <w:pPr>
        <w:keepNext w:val="0"/>
        <w:keepLines w:val="0"/>
        <w:pageBreakBefore w:val="0"/>
        <w:widowControl/>
        <w:tabs>
          <w:tab w:val="left" w:pos="298"/>
        </w:tabs>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绩效分析：</w:t>
      </w:r>
      <w:r>
        <w:rPr>
          <w:rFonts w:hint="eastAsia" w:ascii="仿宋" w:hAnsi="仿宋" w:eastAsia="仿宋" w:cs="仿宋"/>
          <w:color w:val="000000"/>
          <w:kern w:val="0"/>
          <w:sz w:val="32"/>
          <w:szCs w:val="32"/>
          <w:lang w:val="en-US" w:eastAsia="zh-CN"/>
        </w:rPr>
        <w:t>网络安全工作计划成本15万元，实际成本15万元</w:t>
      </w:r>
      <w:r>
        <w:rPr>
          <w:rFonts w:hint="eastAsia" w:ascii="仿宋" w:hAnsi="仿宋" w:eastAsia="仿宋" w:cs="仿宋"/>
          <w:color w:val="000000"/>
          <w:kern w:val="0"/>
          <w:sz w:val="32"/>
          <w:szCs w:val="32"/>
        </w:rPr>
        <w:t>，成本节约率为0。</w:t>
      </w:r>
    </w:p>
    <w:p w14:paraId="06E295FA">
      <w:pPr>
        <w:keepNext w:val="0"/>
        <w:keepLines w:val="0"/>
        <w:pageBreakBefore w:val="0"/>
        <w:widowControl/>
        <w:tabs>
          <w:tab w:val="left" w:pos="298"/>
        </w:tabs>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3、项目效益指标情况</w:t>
      </w:r>
    </w:p>
    <w:p w14:paraId="789E6C2F">
      <w:pPr>
        <w:keepNext w:val="0"/>
        <w:keepLines w:val="0"/>
        <w:pageBreakBefore w:val="0"/>
        <w:widowControl/>
        <w:tabs>
          <w:tab w:val="left" w:pos="298"/>
        </w:tabs>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rPr>
        <w:t>（1）社会效益指标解释：切实提高</w:t>
      </w:r>
      <w:r>
        <w:rPr>
          <w:rFonts w:hint="eastAsia" w:ascii="仿宋" w:hAnsi="仿宋" w:eastAsia="仿宋" w:cs="仿宋"/>
          <w:color w:val="000000"/>
          <w:kern w:val="0"/>
          <w:sz w:val="32"/>
          <w:szCs w:val="32"/>
          <w:lang w:val="en-US" w:eastAsia="zh-CN"/>
        </w:rPr>
        <w:t>全县广大市民朋友的网络安全意识</w:t>
      </w:r>
      <w:r>
        <w:rPr>
          <w:rFonts w:hint="eastAsia" w:ascii="仿宋" w:hAnsi="仿宋" w:eastAsia="仿宋" w:cs="仿宋"/>
          <w:color w:val="000000"/>
          <w:kern w:val="0"/>
          <w:sz w:val="32"/>
          <w:szCs w:val="32"/>
          <w:lang w:eastAsia="zh-CN"/>
        </w:rPr>
        <w:t>。</w:t>
      </w:r>
    </w:p>
    <w:p w14:paraId="31EDED85">
      <w:pPr>
        <w:keepNext w:val="0"/>
        <w:keepLines w:val="0"/>
        <w:pageBreakBefore w:val="0"/>
        <w:widowControl/>
        <w:tabs>
          <w:tab w:val="left" w:pos="298"/>
        </w:tabs>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评价标准：</w:t>
      </w:r>
      <w:r>
        <w:rPr>
          <w:rFonts w:hint="eastAsia" w:ascii="仿宋" w:hAnsi="仿宋" w:eastAsia="仿宋" w:cs="仿宋"/>
          <w:color w:val="000000"/>
          <w:kern w:val="0"/>
          <w:sz w:val="32"/>
          <w:szCs w:val="32"/>
          <w:lang w:val="en-US" w:eastAsia="zh-CN"/>
        </w:rPr>
        <w:t>全县广大市民朋友及全县各单位</w:t>
      </w:r>
      <w:r>
        <w:rPr>
          <w:rFonts w:hint="eastAsia" w:ascii="仿宋" w:hAnsi="仿宋" w:eastAsia="仿宋" w:cs="仿宋"/>
          <w:color w:val="000000"/>
          <w:kern w:val="0"/>
          <w:sz w:val="32"/>
          <w:szCs w:val="32"/>
        </w:rPr>
        <w:t>对</w:t>
      </w:r>
      <w:r>
        <w:rPr>
          <w:rFonts w:hint="eastAsia" w:ascii="仿宋" w:hAnsi="仿宋" w:eastAsia="仿宋" w:cs="仿宋"/>
          <w:color w:val="000000"/>
          <w:kern w:val="0"/>
          <w:sz w:val="32"/>
          <w:szCs w:val="32"/>
          <w:lang w:val="en-US" w:eastAsia="zh-CN"/>
        </w:rPr>
        <w:t>网络安全工作</w:t>
      </w:r>
      <w:r>
        <w:rPr>
          <w:rFonts w:hint="eastAsia" w:ascii="仿宋" w:hAnsi="仿宋" w:eastAsia="仿宋" w:cs="仿宋"/>
          <w:color w:val="000000"/>
          <w:kern w:val="0"/>
          <w:sz w:val="32"/>
          <w:szCs w:val="32"/>
        </w:rPr>
        <w:t>了解度较高，</w:t>
      </w:r>
      <w:r>
        <w:rPr>
          <w:rFonts w:hint="eastAsia" w:ascii="仿宋" w:hAnsi="仿宋" w:eastAsia="仿宋" w:cs="仿宋"/>
          <w:color w:val="000000"/>
          <w:kern w:val="0"/>
          <w:sz w:val="32"/>
          <w:szCs w:val="32"/>
          <w:lang w:val="en-US" w:eastAsia="zh-CN"/>
        </w:rPr>
        <w:t>网络安全意识显著提高，</w:t>
      </w:r>
      <w:r>
        <w:rPr>
          <w:rFonts w:hint="eastAsia" w:ascii="仿宋" w:hAnsi="仿宋" w:eastAsia="仿宋" w:cs="仿宋"/>
          <w:color w:val="000000"/>
          <w:kern w:val="0"/>
          <w:sz w:val="32"/>
          <w:szCs w:val="32"/>
        </w:rPr>
        <w:t>政策知晓率比重综合得分。</w:t>
      </w:r>
    </w:p>
    <w:p w14:paraId="14F45808">
      <w:pPr>
        <w:keepNext w:val="0"/>
        <w:keepLines w:val="0"/>
        <w:pageBreakBefore w:val="0"/>
        <w:widowControl/>
        <w:tabs>
          <w:tab w:val="left" w:pos="298"/>
        </w:tabs>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数据来源：项目绩效自评表，项目支出绩效评价报告，问卷调查。</w:t>
      </w:r>
    </w:p>
    <w:p w14:paraId="5ABF1207">
      <w:pPr>
        <w:keepNext w:val="0"/>
        <w:keepLines w:val="0"/>
        <w:pageBreakBefore w:val="0"/>
        <w:widowControl/>
        <w:tabs>
          <w:tab w:val="left" w:pos="298"/>
        </w:tabs>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color w:val="000000"/>
          <w:kern w:val="0"/>
          <w:sz w:val="32"/>
          <w:szCs w:val="32"/>
          <w:lang w:val="en-US"/>
        </w:rPr>
      </w:pPr>
      <w:r>
        <w:rPr>
          <w:rFonts w:hint="eastAsia" w:ascii="仿宋" w:hAnsi="仿宋" w:eastAsia="仿宋" w:cs="仿宋"/>
          <w:color w:val="000000"/>
          <w:kern w:val="0"/>
          <w:sz w:val="32"/>
          <w:szCs w:val="32"/>
        </w:rPr>
        <w:t>绩效分析：通过对</w:t>
      </w:r>
      <w:r>
        <w:rPr>
          <w:rFonts w:hint="eastAsia" w:ascii="仿宋" w:hAnsi="仿宋" w:eastAsia="仿宋" w:cs="仿宋"/>
          <w:color w:val="000000"/>
          <w:kern w:val="0"/>
          <w:sz w:val="32"/>
          <w:szCs w:val="32"/>
          <w:lang w:val="en-US" w:eastAsia="zh-CN"/>
        </w:rPr>
        <w:t>20家县直单位及50名网友的</w:t>
      </w:r>
      <w:r>
        <w:rPr>
          <w:rFonts w:hint="eastAsia" w:ascii="仿宋" w:hAnsi="仿宋" w:eastAsia="仿宋" w:cs="仿宋"/>
          <w:color w:val="000000"/>
          <w:kern w:val="0"/>
          <w:sz w:val="32"/>
          <w:szCs w:val="32"/>
        </w:rPr>
        <w:t>调查走访，</w:t>
      </w:r>
      <w:r>
        <w:rPr>
          <w:rFonts w:hint="eastAsia" w:ascii="仿宋" w:hAnsi="仿宋" w:eastAsia="仿宋" w:cs="仿宋"/>
          <w:color w:val="000000"/>
          <w:kern w:val="0"/>
          <w:sz w:val="32"/>
          <w:szCs w:val="32"/>
          <w:lang w:val="en-US" w:eastAsia="zh-CN"/>
        </w:rPr>
        <w:t>单位及网友网络安全意识较强。</w:t>
      </w:r>
    </w:p>
    <w:p w14:paraId="04CC4DA6">
      <w:pPr>
        <w:keepNext w:val="0"/>
        <w:keepLines w:val="0"/>
        <w:pageBreakBefore w:val="0"/>
        <w:widowControl/>
        <w:tabs>
          <w:tab w:val="left" w:pos="298"/>
        </w:tabs>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4、项目满意度指标情况。</w:t>
      </w:r>
      <w:r>
        <w:rPr>
          <w:rFonts w:hint="eastAsia" w:ascii="仿宋" w:hAnsi="仿宋" w:eastAsia="仿宋" w:cs="仿宋"/>
          <w:color w:val="000000"/>
          <w:kern w:val="0"/>
          <w:sz w:val="32"/>
          <w:szCs w:val="32"/>
          <w:lang w:val="en-US" w:eastAsia="zh-CN"/>
        </w:rPr>
        <w:t>网友的</w:t>
      </w:r>
      <w:r>
        <w:rPr>
          <w:rFonts w:hint="eastAsia" w:ascii="仿宋" w:hAnsi="仿宋" w:eastAsia="仿宋" w:cs="仿宋"/>
          <w:color w:val="000000"/>
          <w:kern w:val="0"/>
          <w:sz w:val="32"/>
          <w:szCs w:val="32"/>
        </w:rPr>
        <w:t>满意度调查显示，</w:t>
      </w:r>
      <w:r>
        <w:rPr>
          <w:rFonts w:hint="eastAsia" w:ascii="仿宋" w:hAnsi="仿宋" w:eastAsia="仿宋" w:cs="仿宋"/>
          <w:color w:val="000000"/>
          <w:kern w:val="0"/>
          <w:sz w:val="32"/>
          <w:szCs w:val="32"/>
          <w:lang w:val="en-US" w:eastAsia="zh-CN"/>
        </w:rPr>
        <w:t>50名网友</w:t>
      </w:r>
      <w:r>
        <w:rPr>
          <w:rFonts w:hint="eastAsia" w:ascii="仿宋" w:hAnsi="仿宋" w:eastAsia="仿宋" w:cs="仿宋"/>
          <w:color w:val="000000"/>
          <w:kern w:val="0"/>
          <w:sz w:val="32"/>
          <w:szCs w:val="32"/>
        </w:rPr>
        <w:t>均表示满意，满意度100.00%。</w:t>
      </w:r>
    </w:p>
    <w:p w14:paraId="2BB0DABC">
      <w:pPr>
        <w:keepNext w:val="0"/>
        <w:keepLines w:val="0"/>
        <w:pageBreakBefore w:val="0"/>
        <w:widowControl/>
        <w:tabs>
          <w:tab w:val="left" w:pos="298"/>
        </w:tabs>
        <w:kinsoku/>
        <w:wordWrap/>
        <w:overflowPunct/>
        <w:topLinePunct w:val="0"/>
        <w:autoSpaceDE/>
        <w:autoSpaceDN/>
        <w:bidi w:val="0"/>
        <w:adjustRightInd/>
        <w:snapToGrid/>
        <w:spacing w:line="560" w:lineRule="exact"/>
        <w:ind w:firstLine="48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sz w:val="24"/>
          <w:szCs w:val="24"/>
        </w:rPr>
        <w:t>（二）</w:t>
      </w:r>
      <w:r>
        <w:rPr>
          <w:rFonts w:hint="eastAsia" w:ascii="仿宋" w:hAnsi="仿宋" w:eastAsia="仿宋" w:cs="仿宋"/>
          <w:color w:val="000000"/>
          <w:kern w:val="0"/>
          <w:sz w:val="32"/>
          <w:szCs w:val="32"/>
        </w:rPr>
        <w:t>绩效评价结论</w:t>
      </w:r>
    </w:p>
    <w:p w14:paraId="21F4839B">
      <w:pPr>
        <w:keepNext w:val="0"/>
        <w:keepLines w:val="0"/>
        <w:pageBreakBefore w:val="0"/>
        <w:widowControl/>
        <w:tabs>
          <w:tab w:val="left" w:pos="298"/>
        </w:tabs>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000000"/>
          <w:kern w:val="0"/>
          <w:sz w:val="32"/>
          <w:szCs w:val="32"/>
        </w:rPr>
      </w:pPr>
      <w:r>
        <w:rPr>
          <w:rFonts w:hint="eastAsia" w:ascii="仿宋" w:hAnsi="仿宋" w:eastAsia="仿宋" w:cs="仿宋"/>
          <w:color w:val="000000"/>
          <w:kern w:val="0"/>
          <w:sz w:val="32"/>
          <w:szCs w:val="32"/>
          <w:lang w:val="en-US" w:eastAsia="zh-CN"/>
        </w:rPr>
        <w:t>2023</w:t>
      </w:r>
      <w:r>
        <w:rPr>
          <w:rFonts w:hint="eastAsia" w:ascii="仿宋" w:hAnsi="仿宋" w:eastAsia="仿宋" w:cs="仿宋"/>
          <w:color w:val="000000"/>
          <w:kern w:val="0"/>
          <w:sz w:val="32"/>
          <w:szCs w:val="32"/>
        </w:rPr>
        <w:t>年度网络安全工作经费项目绩效评价评分为</w:t>
      </w:r>
      <w:r>
        <w:rPr>
          <w:rFonts w:hint="eastAsia" w:ascii="仿宋" w:hAnsi="仿宋" w:eastAsia="仿宋" w:cs="仿宋"/>
          <w:color w:val="000000"/>
          <w:kern w:val="0"/>
          <w:sz w:val="32"/>
          <w:szCs w:val="32"/>
          <w:lang w:val="en-US" w:eastAsia="zh-CN"/>
        </w:rPr>
        <w:t>98</w:t>
      </w:r>
      <w:r>
        <w:rPr>
          <w:rFonts w:hint="eastAsia" w:ascii="仿宋" w:hAnsi="仿宋" w:eastAsia="仿宋" w:cs="仿宋"/>
          <w:color w:val="000000"/>
          <w:kern w:val="0"/>
          <w:sz w:val="32"/>
          <w:szCs w:val="32"/>
        </w:rPr>
        <w:t>分，评价等级为“优”。</w:t>
      </w:r>
    </w:p>
    <w:p w14:paraId="294F5ABC">
      <w:pPr>
        <w:pStyle w:val="5"/>
        <w:keepNext w:val="0"/>
        <w:keepLines w:val="0"/>
        <w:pageBreakBefore w:val="0"/>
        <w:widowControl w:val="0"/>
        <w:kinsoku/>
        <w:wordWrap/>
        <w:overflowPunct/>
        <w:topLinePunct w:val="0"/>
        <w:autoSpaceDE w:val="0"/>
        <w:autoSpaceDN w:val="0"/>
        <w:bidi w:val="0"/>
        <w:adjustRightInd w:val="0"/>
        <w:snapToGrid/>
        <w:spacing w:line="580" w:lineRule="exact"/>
        <w:ind w:firstLine="964" w:firstLineChars="3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00755650">
      <w:pPr>
        <w:keepNext w:val="0"/>
        <w:keepLines w:val="0"/>
        <w:pageBreakBefore w:val="0"/>
        <w:kinsoku/>
        <w:wordWrap/>
        <w:overflowPunct/>
        <w:topLinePunct w:val="0"/>
        <w:bidi w:val="0"/>
        <w:spacing w:beforeAutospacing="0" w:afterAutospacing="0" w:line="560" w:lineRule="exact"/>
        <w:ind w:left="0"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（一）绩效评价标准量化较难。行政事业工作具有一定的特殊性，很多工作无法用量化标准称量，尤其是人员经费、业务工作经费，在运用数量标准、质量标准评价财政资金支出方面存在很多问题。</w:t>
      </w:r>
    </w:p>
    <w:p w14:paraId="0B34B550">
      <w:pPr>
        <w:keepNext w:val="0"/>
        <w:keepLines w:val="0"/>
        <w:pageBreakBefore w:val="0"/>
        <w:kinsoku/>
        <w:wordWrap/>
        <w:overflowPunct/>
        <w:topLinePunct w:val="0"/>
        <w:bidi w:val="0"/>
        <w:spacing w:beforeAutospacing="0" w:afterAutospacing="0" w:line="560" w:lineRule="exact"/>
        <w:ind w:left="0" w:firstLine="640" w:firstLineChars="200"/>
        <w:rPr>
          <w:rFonts w:hint="eastAsia" w:ascii="仿宋" w:hAnsi="仿宋" w:eastAsia="仿宋" w:cs="仿宋"/>
          <w:b/>
          <w:bCs/>
          <w:kern w:val="0"/>
          <w:sz w:val="32"/>
          <w:szCs w:val="32"/>
          <w:lang w:val="en-US" w:eastAsia="zh-CN" w:bidi="ar-SA"/>
        </w:rPr>
      </w:pPr>
      <w:r>
        <w:rPr>
          <w:rFonts w:hint="eastAsia" w:ascii="仿宋" w:hAnsi="仿宋" w:eastAsia="仿宋" w:cs="仿宋"/>
          <w:sz w:val="32"/>
          <w:szCs w:val="32"/>
          <w:lang w:eastAsia="zh-CN"/>
        </w:rPr>
        <w:t>（二）财政困难导致资金支出不均衡。近几年来，县财政收支矛盾紧张，国库资金高度艰难，国库支付报账进度很不均衡，对财政资金使用绩效产生了一定的消极影响。</w:t>
      </w:r>
    </w:p>
    <w:p w14:paraId="0A03AA7A">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iNTY5NTExMjQ1N2MzODk4NjFkNTMwYjhmZmFmNjcifQ=="/>
  </w:docVars>
  <w:rsids>
    <w:rsidRoot w:val="00000000"/>
    <w:rsid w:val="3DE5283E"/>
    <w:rsid w:val="3F440744"/>
    <w:rsid w:val="46E73B7C"/>
    <w:rsid w:val="489A18C8"/>
    <w:rsid w:val="52F90049"/>
    <w:rsid w:val="67C70455"/>
    <w:rsid w:val="715034FF"/>
    <w:rsid w:val="72734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0"/>
    <w:pPr>
      <w:tabs>
        <w:tab w:val="center" w:pos="4153"/>
        <w:tab w:val="right" w:pos="8306"/>
      </w:tabs>
      <w:snapToGrid w:val="0"/>
      <w:spacing w:line="240" w:lineRule="atLeast"/>
      <w:jc w:val="left"/>
    </w:pPr>
    <w:rPr>
      <w:sz w:val="18"/>
      <w:szCs w:val="18"/>
    </w:rPr>
  </w:style>
  <w:style w:type="paragraph" w:customStyle="1" w:styleId="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1678</Words>
  <Characters>1739</Characters>
  <Lines>0</Lines>
  <Paragraphs>0</Paragraphs>
  <TotalTime>20</TotalTime>
  <ScaleCrop>false</ScaleCrop>
  <LinksUpToDate>false</LinksUpToDate>
  <CharactersWithSpaces>1746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九月</cp:lastModifiedBy>
  <cp:lastPrinted>2024-10-21T03:41:45Z</cp:lastPrinted>
  <dcterms:modified xsi:type="dcterms:W3CDTF">2024-10-21T06:48:51Z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12A71744045445B687D66BD13FB312DC_12</vt:lpwstr>
  </property>
</Properties>
</file>