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600" w:lineRule="exact"/>
        <w:ind w:left="0"/>
        <w:jc w:val="left"/>
        <w:rPr>
          <w:sz w:val="24"/>
        </w:rPr>
      </w:pPr>
      <w:r>
        <w:rPr>
          <w:rFonts w:hint="eastAsia" w:ascii="仿宋_GB2312" w:hAnsi="仿宋_GB2312" w:eastAsia="仿宋_GB2312" w:cs="仿宋_GB2312"/>
          <w:sz w:val="24"/>
        </w:rPr>
        <w:t>附件1-1</w:t>
      </w:r>
    </w:p>
    <w:p>
      <w:pPr>
        <w:spacing w:line="500" w:lineRule="exact"/>
        <w:jc w:val="center"/>
        <w:rPr>
          <w:rFonts w:hint="eastAsia" w:asciiTheme="majorEastAsia" w:hAnsiTheme="majorEastAsia" w:eastAsiaTheme="majorEastAsia" w:cstheme="majorEastAsia"/>
          <w:b/>
          <w:bCs/>
          <w:w w:val="85"/>
          <w:sz w:val="44"/>
          <w:szCs w:val="44"/>
        </w:rPr>
      </w:pPr>
      <w:r>
        <w:rPr>
          <w:rFonts w:hint="eastAsia" w:asciiTheme="majorEastAsia" w:hAnsiTheme="majorEastAsia" w:eastAsiaTheme="majorEastAsia" w:cstheme="majorEastAsia"/>
          <w:b/>
          <w:bCs/>
          <w:w w:val="85"/>
          <w:sz w:val="44"/>
          <w:szCs w:val="44"/>
        </w:rPr>
        <w:t>2023年度新晃县晃州镇人民政府整体支出绩效自评表</w:t>
      </w:r>
    </w:p>
    <w:tbl>
      <w:tblPr>
        <w:tblStyle w:val="5"/>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721"/>
        <w:gridCol w:w="6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95" w:hRule="atLeast"/>
          <w:tblHeader/>
          <w:tblCellSpacing w:w="0" w:type="dxa"/>
          <w:jc w:val="center"/>
        </w:trPr>
        <w:tc>
          <w:tcPr>
            <w:tcW w:w="1079"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3123"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721"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990" w:hRule="atLeast"/>
          <w:tblCellSpacing w:w="0" w:type="dxa"/>
          <w:jc w:val="center"/>
        </w:trPr>
        <w:tc>
          <w:tcPr>
            <w:tcW w:w="10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制定了年度预算整体绩效目标，依法决定重大质量，全面提升履职能力，但是绩效目标细化上如有不足</w:t>
            </w:r>
            <w:r>
              <w:rPr>
                <w:rFonts w:eastAsia="楷体_GB2312"/>
                <w:sz w:val="18"/>
                <w:szCs w:val="18"/>
              </w:rPr>
              <w:t>。</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绩效目标明确合理，但是细化不够。</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4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721" w:type="dxa"/>
            <w:shd w:val="clear" w:color="auto" w:fill="auto"/>
            <w:tcMar>
              <w:top w:w="0" w:type="dxa"/>
              <w:left w:w="105" w:type="dxa"/>
              <w:bottom w:w="0" w:type="dxa"/>
              <w:right w:w="105" w:type="dxa"/>
            </w:tcMar>
            <w:vAlign w:val="center"/>
          </w:tcPr>
          <w:p>
            <w:pPr>
              <w:rPr>
                <w:highlight w:val="yellow"/>
              </w:rPr>
            </w:pPr>
            <w:r>
              <w:rPr>
                <w:rFonts w:hint="eastAsia"/>
                <w:highlight w:val="none"/>
                <w:shd w:val="clear"/>
              </w:rPr>
              <w:t>我镇在职人数128人，编制数151，124/151*100%=82.12%</w:t>
            </w:r>
            <w:r>
              <w:rPr>
                <w:highlight w:val="none"/>
                <w:shd w:val="clear"/>
              </w:rPr>
              <w:t>≤100%</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721" w:type="dxa"/>
            <w:shd w:val="clear" w:color="auto" w:fill="auto"/>
            <w:tcMar>
              <w:top w:w="0" w:type="dxa"/>
              <w:left w:w="105" w:type="dxa"/>
              <w:bottom w:w="0" w:type="dxa"/>
              <w:right w:w="105" w:type="dxa"/>
            </w:tcMar>
            <w:vAlign w:val="center"/>
          </w:tcPr>
          <w:p>
            <w:r>
              <w:rPr>
                <w:rFonts w:hint="eastAsia"/>
              </w:rPr>
              <w:t>15/30=50%&lt;100</w:t>
            </w:r>
            <w:r>
              <w:t>%</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预算安排的重点项目，资金足额发放到位，</w:t>
            </w:r>
            <w:r>
              <w:rPr>
                <w:rFonts w:eastAsia="楷体_GB2312"/>
                <w:sz w:val="18"/>
                <w:szCs w:val="18"/>
              </w:rPr>
              <w:t>预算保障率</w:t>
            </w:r>
            <w:r>
              <w:rPr>
                <w:rFonts w:hint="eastAsia" w:eastAsia="楷体_GB2312"/>
                <w:sz w:val="18"/>
                <w:szCs w:val="18"/>
              </w:rPr>
              <w:t>100%</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本年度项目资金足额发放，</w:t>
            </w:r>
            <w:r>
              <w:rPr>
                <w:rFonts w:eastAsia="楷体_GB2312"/>
                <w:sz w:val="18"/>
                <w:szCs w:val="18"/>
              </w:rPr>
              <w:t>结果95%≤结果≤100%</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721" w:type="dxa"/>
            <w:shd w:val="clear" w:color="auto" w:fill="auto"/>
            <w:tcMar>
              <w:top w:w="0" w:type="dxa"/>
              <w:left w:w="105" w:type="dxa"/>
              <w:bottom w:w="0" w:type="dxa"/>
              <w:right w:w="105" w:type="dxa"/>
            </w:tcMar>
            <w:vAlign w:val="center"/>
          </w:tcPr>
          <w:p>
            <w:pPr>
              <w:ind w:right="238" w:rightChars="119"/>
              <w:jc w:val="center"/>
              <w:rPr>
                <w:rFonts w:eastAsia="楷体_GB2312"/>
                <w:sz w:val="18"/>
                <w:szCs w:val="18"/>
              </w:rPr>
            </w:pPr>
            <w:r>
              <w:rPr>
                <w:rFonts w:hint="eastAsia" w:eastAsia="楷体_GB2312"/>
                <w:sz w:val="18"/>
                <w:szCs w:val="18"/>
              </w:rPr>
              <w:t>预算调整除开</w:t>
            </w:r>
            <w:r>
              <w:rPr>
                <w:rFonts w:eastAsia="楷体_GB2312"/>
                <w:sz w:val="18"/>
                <w:szCs w:val="18"/>
              </w:rPr>
              <w:t>不可抗力</w:t>
            </w:r>
            <w:r>
              <w:rPr>
                <w:rFonts w:hint="eastAsia" w:eastAsia="楷体_GB2312"/>
                <w:sz w:val="18"/>
                <w:szCs w:val="18"/>
              </w:rPr>
              <w:t>外，</w:t>
            </w:r>
          </w:p>
          <w:p>
            <w:pPr>
              <w:ind w:right="238" w:rightChars="119"/>
              <w:jc w:val="center"/>
              <w:rPr>
                <w:rFonts w:eastAsia="楷体_GB2312"/>
                <w:sz w:val="18"/>
                <w:szCs w:val="18"/>
              </w:rPr>
            </w:pPr>
            <w:r>
              <w:rPr>
                <w:rFonts w:hint="eastAsia" w:eastAsia="楷体_GB2312"/>
                <w:sz w:val="18"/>
                <w:szCs w:val="18"/>
              </w:rPr>
              <w:t>3305.88/3015.18=1.05</w:t>
            </w:r>
            <w:r>
              <w:rPr>
                <w:rFonts w:eastAsia="楷体_GB2312"/>
                <w:sz w:val="18"/>
                <w:szCs w:val="18"/>
              </w:rPr>
              <w:t>≤5%</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公用经费控制率</w:t>
            </w:r>
          </w:p>
          <w:p>
            <w:pPr>
              <w:jc w:val="center"/>
              <w:rPr>
                <w:rFonts w:eastAsia="楷体_GB2312"/>
                <w:sz w:val="18"/>
                <w:szCs w:val="18"/>
              </w:rPr>
            </w:pPr>
            <w:r>
              <w:rPr>
                <w:rFonts w:hint="eastAsia" w:eastAsia="楷体_GB2312"/>
                <w:sz w:val="18"/>
                <w:szCs w:val="18"/>
              </w:rPr>
              <w:t>444.12/444.12*100%=100%</w:t>
            </w:r>
            <w:r>
              <w:rPr>
                <w:rFonts w:eastAsia="楷体_GB2312"/>
                <w:sz w:val="18"/>
                <w:szCs w:val="18"/>
              </w:rPr>
              <w:t>≤100%</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“三公经费”控制率</w:t>
            </w:r>
          </w:p>
          <w:p>
            <w:pPr>
              <w:jc w:val="center"/>
              <w:rPr>
                <w:rFonts w:eastAsia="楷体_GB2312"/>
                <w:sz w:val="18"/>
                <w:szCs w:val="18"/>
              </w:rPr>
            </w:pPr>
            <w:r>
              <w:rPr>
                <w:rFonts w:hint="eastAsia" w:eastAsia="楷体_GB2312"/>
                <w:sz w:val="18"/>
                <w:szCs w:val="18"/>
              </w:rPr>
              <w:t>10.86/15*100%=72.4%</w:t>
            </w:r>
            <w:r>
              <w:rPr>
                <w:rFonts w:eastAsia="楷体_GB2312"/>
                <w:sz w:val="18"/>
                <w:szCs w:val="18"/>
              </w:rPr>
              <w:t>≤100%</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3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经过规定程序审批</w:t>
            </w:r>
            <w:r>
              <w:rPr>
                <w:rFonts w:eastAsia="楷体_GB2312"/>
                <w:sz w:val="18"/>
                <w:szCs w:val="18"/>
              </w:rPr>
              <w:t>政府采购</w:t>
            </w:r>
          </w:p>
          <w:p>
            <w:pPr>
              <w:jc w:val="center"/>
              <w:rPr>
                <w:rFonts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08"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制定了相应的资金管理办法，按照规定合理合法执行</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98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资金使用合规</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资金使用合理，与预算内容相符</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05"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近三年各项检查中</w:t>
            </w:r>
            <w:r>
              <w:rPr>
                <w:rFonts w:eastAsia="楷体_GB2312"/>
                <w:sz w:val="18"/>
                <w:szCs w:val="18"/>
              </w:rPr>
              <w:t>发现违法违纪行为</w:t>
            </w:r>
            <w:r>
              <w:rPr>
                <w:rFonts w:hint="eastAsia" w:eastAsia="楷体_GB2312"/>
                <w:sz w:val="18"/>
                <w:szCs w:val="18"/>
              </w:rPr>
              <w:t>后</w:t>
            </w:r>
            <w:r>
              <w:rPr>
                <w:rFonts w:eastAsia="楷体_GB2312"/>
                <w:sz w:val="18"/>
                <w:szCs w:val="18"/>
              </w:rPr>
              <w:t>积极制定措施全部整改</w:t>
            </w:r>
            <w:r>
              <w:rPr>
                <w:rFonts w:hint="eastAsia" w:eastAsia="楷体_GB2312"/>
                <w:sz w:val="18"/>
                <w:szCs w:val="18"/>
              </w:rPr>
              <w:t>。</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shd w:val="clear" w:color="auto"/>
              </w:rPr>
              <w:t>制定资产管理制定，并张贴资产编码</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shd w:val="clear" w:color="auto"/>
              </w:rPr>
              <w:t>各部门保管各部门资产，并张贴资产编码</w:t>
            </w:r>
          </w:p>
        </w:tc>
        <w:tc>
          <w:tcPr>
            <w:tcW w:w="638" w:type="dxa"/>
            <w:shd w:val="clear" w:color="auto" w:fill="auto"/>
            <w:tcMar>
              <w:top w:w="0" w:type="dxa"/>
              <w:left w:w="105" w:type="dxa"/>
              <w:bottom w:w="0" w:type="dxa"/>
              <w:right w:w="105" w:type="dxa"/>
            </w:tcMar>
            <w:vAlign w:val="center"/>
          </w:tcPr>
          <w:p>
            <w:pPr>
              <w:shd w:val="clear" w:color="auto" w:fill="FFFF00"/>
              <w:spacing w:before="100" w:beforeAutospacing="1" w:after="100" w:afterAutospacing="1"/>
              <w:jc w:val="center"/>
              <w:rPr>
                <w:rFonts w:hint="eastAsia" w:eastAsia="楷体_GB2312"/>
                <w:sz w:val="18"/>
                <w:szCs w:val="18"/>
                <w:lang w:val="en-US" w:eastAsia="zh-CN"/>
              </w:rPr>
            </w:pPr>
            <w:r>
              <w:rPr>
                <w:rFonts w:hint="eastAsia" w:eastAsia="楷体_GB2312"/>
                <w:sz w:val="18"/>
                <w:szCs w:val="18"/>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固定资产利用率</w:t>
            </w:r>
          </w:p>
          <w:p>
            <w:pPr>
              <w:jc w:val="center"/>
              <w:rPr>
                <w:rFonts w:eastAsia="楷体_GB2312"/>
                <w:sz w:val="18"/>
                <w:szCs w:val="18"/>
              </w:rPr>
            </w:pPr>
            <w:r>
              <w:rPr>
                <w:rFonts w:eastAsia="楷体_GB2312"/>
                <w:sz w:val="18"/>
                <w:szCs w:val="18"/>
              </w:rPr>
              <w:t>99%≤结果≤100%</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设置整体绩效目标，并按要求完成各项目标任务</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设置整体绩效目标，并按要求完成各项目标任务</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设置整体绩效目标，并按要求完成各项目标任务</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eastAsia="楷体_GB2312"/>
                <w:sz w:val="18"/>
                <w:szCs w:val="18"/>
              </w:rPr>
            </w:pPr>
            <w:r>
              <w:rPr>
                <w:rFonts w:eastAsia="楷体_GB2312"/>
                <w:sz w:val="18"/>
                <w:szCs w:val="18"/>
              </w:rPr>
              <w:t>效益</w:t>
            </w:r>
          </w:p>
        </w:tc>
        <w:tc>
          <w:tcPr>
            <w:tcW w:w="701" w:type="dxa"/>
            <w:vMerge w:val="restart"/>
            <w:tcBorders>
              <w:top w:val="single" w:color="auto" w:sz="4" w:space="0"/>
            </w:tcBorders>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本年度我镇基本完成所有工作，经济效益实现程度较高</w:t>
            </w:r>
          </w:p>
        </w:tc>
        <w:tc>
          <w:tcPr>
            <w:tcW w:w="638"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Borders>
              <w:right w:val="single" w:color="auto" w:sz="4" w:space="0"/>
            </w:tcBorders>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vAlign w:val="center"/>
          </w:tcPr>
          <w:p>
            <w:pPr>
              <w:jc w:val="center"/>
              <w:rPr>
                <w:rFonts w:eastAsia="楷体_GB2312"/>
                <w:sz w:val="18"/>
                <w:szCs w:val="18"/>
              </w:rPr>
            </w:pPr>
          </w:p>
        </w:tc>
        <w:tc>
          <w:tcPr>
            <w:tcW w:w="4750" w:type="dxa"/>
            <w:tcBorders>
              <w:top w:val="single" w:color="auto" w:sz="4" w:space="0"/>
            </w:tcBorders>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本年度我镇基本完成所有工作，社会效益实现程度好</w:t>
            </w:r>
          </w:p>
        </w:tc>
        <w:tc>
          <w:tcPr>
            <w:tcW w:w="638" w:type="dxa"/>
            <w:shd w:val="clear" w:color="auto" w:fill="auto"/>
            <w:tcMar>
              <w:top w:w="0" w:type="dxa"/>
              <w:left w:w="105" w:type="dxa"/>
              <w:bottom w:w="0" w:type="dxa"/>
              <w:right w:w="105" w:type="dxa"/>
            </w:tcMar>
            <w:vAlign w:val="center"/>
          </w:tcPr>
          <w:p>
            <w:pPr>
              <w:jc w:val="center"/>
              <w:rPr>
                <w:rFonts w:eastAsia="楷体_GB2312"/>
              </w:rPr>
            </w:pPr>
            <w:r>
              <w:rPr>
                <w:rFonts w:hint="eastAsia" w:eastAsia="楷体_GB2312"/>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vAlign w:val="center"/>
          </w:tcPr>
          <w:p>
            <w:pPr>
              <w:jc w:val="center"/>
              <w:rPr>
                <w:rFonts w:eastAsia="楷体_GB2312"/>
                <w:sz w:val="18"/>
                <w:szCs w:val="18"/>
              </w:rPr>
            </w:pPr>
          </w:p>
        </w:tc>
        <w:tc>
          <w:tcPr>
            <w:tcW w:w="4750" w:type="dxa"/>
            <w:tcBorders>
              <w:right w:val="nil"/>
            </w:tcBorders>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对照整体绩效目标评价。未设置整体绩效目标，或整体绩效目标设置不完善的，根据部门年度履行职责主要工作和重点工作，标识对环境所产生的积极或消极影响</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本年度我镇重点加强环境卫生支出，环境效益影响积极</w:t>
            </w:r>
          </w:p>
        </w:tc>
        <w:tc>
          <w:tcPr>
            <w:tcW w:w="638" w:type="dxa"/>
            <w:shd w:val="clear" w:color="auto" w:fill="auto"/>
            <w:tcMar>
              <w:top w:w="0" w:type="dxa"/>
              <w:left w:w="105" w:type="dxa"/>
              <w:bottom w:w="0" w:type="dxa"/>
              <w:right w:w="105" w:type="dxa"/>
            </w:tcMar>
            <w:vAlign w:val="center"/>
          </w:tcPr>
          <w:p>
            <w:pPr>
              <w:jc w:val="center"/>
              <w:rPr>
                <w:rFonts w:eastAsia="楷体_GB2312"/>
              </w:rPr>
            </w:pPr>
            <w:r>
              <w:rPr>
                <w:rFonts w:hint="eastAsia" w:eastAsia="楷体_GB2312"/>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95"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vAlign w:val="center"/>
          </w:tcPr>
          <w:p>
            <w:pPr>
              <w:jc w:val="center"/>
              <w:rPr>
                <w:rFonts w:eastAsia="楷体_GB2312"/>
                <w:sz w:val="18"/>
                <w:szCs w:val="18"/>
              </w:rPr>
            </w:pP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本年度我镇基本完成所有工作，可持续上评价较好</w:t>
            </w:r>
          </w:p>
        </w:tc>
        <w:tc>
          <w:tcPr>
            <w:tcW w:w="638" w:type="dxa"/>
            <w:shd w:val="clear" w:color="auto" w:fill="auto"/>
            <w:tcMar>
              <w:top w:w="0" w:type="dxa"/>
              <w:left w:w="105" w:type="dxa"/>
              <w:bottom w:w="0" w:type="dxa"/>
              <w:right w:w="105" w:type="dxa"/>
            </w:tcMar>
            <w:vAlign w:val="center"/>
          </w:tcPr>
          <w:p>
            <w:pPr>
              <w:jc w:val="center"/>
              <w:rPr>
                <w:rFonts w:eastAsia="楷体_GB2312"/>
              </w:rPr>
            </w:pPr>
            <w:r>
              <w:rPr>
                <w:rFonts w:hint="eastAsia" w:eastAsia="楷体_GB2312"/>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83"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tcMar>
              <w:top w:w="0" w:type="dxa"/>
              <w:left w:w="105" w:type="dxa"/>
              <w:bottom w:w="0" w:type="dxa"/>
              <w:right w:w="105" w:type="dxa"/>
            </w:tcMar>
            <w:vAlign w:val="center"/>
          </w:tcPr>
          <w:p>
            <w:pPr>
              <w:spacing w:line="300" w:lineRule="exact"/>
              <w:jc w:val="left"/>
              <w:rPr>
                <w:rFonts w:eastAsia="楷体_GB2312"/>
                <w:sz w:val="18"/>
                <w:szCs w:val="18"/>
              </w:rPr>
            </w:pPr>
            <w:r>
              <w:rPr>
                <w:rFonts w:hint="eastAsia" w:eastAsia="楷体_GB2312"/>
                <w:sz w:val="18"/>
                <w:szCs w:val="18"/>
              </w:rPr>
              <w:t>90%≤满意度≤100%记10分，</w:t>
            </w:r>
          </w:p>
          <w:p>
            <w:pPr>
              <w:spacing w:line="300" w:lineRule="exact"/>
              <w:jc w:val="left"/>
              <w:rPr>
                <w:rFonts w:eastAsia="楷体_GB2312"/>
                <w:sz w:val="18"/>
                <w:szCs w:val="18"/>
              </w:rPr>
            </w:pPr>
            <w:r>
              <w:rPr>
                <w:rFonts w:hint="eastAsia" w:eastAsia="楷体_GB2312"/>
                <w:sz w:val="18"/>
                <w:szCs w:val="18"/>
              </w:rPr>
              <w:t>80%≤满意度&lt;90%记8分，</w:t>
            </w:r>
          </w:p>
          <w:p>
            <w:pPr>
              <w:spacing w:line="300" w:lineRule="exact"/>
              <w:jc w:val="left"/>
              <w:rPr>
                <w:rFonts w:eastAsia="楷体_GB2312"/>
                <w:sz w:val="18"/>
                <w:szCs w:val="18"/>
              </w:rPr>
            </w:pPr>
            <w:r>
              <w:rPr>
                <w:rFonts w:hint="eastAsia" w:eastAsia="楷体_GB2312"/>
                <w:sz w:val="18"/>
                <w:szCs w:val="18"/>
              </w:rPr>
              <w:t>70%≤满意度&lt;80%  记6分，</w:t>
            </w:r>
          </w:p>
          <w:p>
            <w:pPr>
              <w:spacing w:line="300" w:lineRule="exact"/>
              <w:jc w:val="left"/>
              <w:rPr>
                <w:rFonts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721" w:type="dxa"/>
            <w:shd w:val="clear" w:color="auto" w:fill="auto"/>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满意程度</w:t>
            </w:r>
          </w:p>
          <w:p>
            <w:pPr>
              <w:jc w:val="center"/>
              <w:rPr>
                <w:rFonts w:eastAsia="楷体_GB2312"/>
                <w:sz w:val="18"/>
                <w:szCs w:val="18"/>
              </w:rPr>
            </w:pPr>
            <w:r>
              <w:rPr>
                <w:rFonts w:hint="eastAsia" w:eastAsia="楷体_GB2312"/>
                <w:sz w:val="18"/>
                <w:szCs w:val="18"/>
              </w:rPr>
              <w:t>80%≤满意度&lt;90%</w:t>
            </w:r>
          </w:p>
        </w:tc>
        <w:tc>
          <w:tcPr>
            <w:tcW w:w="638"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03" w:hRule="atLeast"/>
          <w:tblCellSpacing w:w="0" w:type="dxa"/>
          <w:jc w:val="center"/>
        </w:trPr>
        <w:tc>
          <w:tcPr>
            <w:tcW w:w="1079" w:type="dxa"/>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721" w:type="dxa"/>
            <w:shd w:val="clear" w:color="auto" w:fill="auto"/>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638" w:type="dxa"/>
            <w:shd w:val="clear" w:color="auto" w:fill="auto"/>
            <w:tcMar>
              <w:top w:w="0" w:type="dxa"/>
              <w:left w:w="105" w:type="dxa"/>
              <w:bottom w:w="0" w:type="dxa"/>
              <w:right w:w="105" w:type="dxa"/>
            </w:tcMar>
            <w:vAlign w:val="center"/>
          </w:tcPr>
          <w:p>
            <w:pPr>
              <w:jc w:val="center"/>
              <w:rPr>
                <w:rFonts w:eastAsia="楷体_GB2312"/>
              </w:rPr>
            </w:pPr>
            <w:r>
              <w:rPr>
                <w:rFonts w:hint="eastAsia" w:eastAsia="楷体_GB2312"/>
              </w:rPr>
              <w:t>99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2" w:hRule="atLeast"/>
          <w:tblCellSpacing w:w="0" w:type="dxa"/>
          <w:jc w:val="center"/>
        </w:trPr>
        <w:tc>
          <w:tcPr>
            <w:tcW w:w="1079" w:type="dxa"/>
            <w:tcMar>
              <w:top w:w="0" w:type="dxa"/>
              <w:left w:w="105" w:type="dxa"/>
              <w:bottom w:w="0" w:type="dxa"/>
              <w:right w:w="105" w:type="dxa"/>
            </w:tcMar>
            <w:vAlign w:val="center"/>
          </w:tcPr>
          <w:p>
            <w:pPr>
              <w:spacing w:before="100" w:beforeAutospacing="1" w:after="100" w:afterAutospacing="1"/>
              <w:jc w:val="center"/>
              <w:rPr>
                <w:rFonts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ind w:left="0" w:leftChars="0" w:firstLine="0" w:firstLineChars="0"/>
              <w:jc w:val="center"/>
              <w:rPr>
                <w:rFonts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shd w:val="clear" w:color="auto" w:fill="auto"/>
            <w:tcMar>
              <w:top w:w="0" w:type="dxa"/>
              <w:left w:w="105" w:type="dxa"/>
              <w:bottom w:w="0" w:type="dxa"/>
              <w:right w:w="105" w:type="dxa"/>
            </w:tcMar>
            <w:vAlign w:val="center"/>
          </w:tcPr>
          <w:p>
            <w:pPr>
              <w:spacing w:line="400" w:lineRule="exact"/>
              <w:ind w:firstLine="210" w:firstLineChars="100"/>
              <w:rPr>
                <w:rFonts w:ascii="楷体_GB2312" w:hAnsi="楷体_GB2312" w:eastAsia="楷体_GB2312" w:cs="楷体_GB2312"/>
                <w:sz w:val="21"/>
                <w:szCs w:val="16"/>
              </w:rPr>
            </w:pP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left="0" w:leftChars="0" w:firstLine="0" w:firstLineChars="0"/>
        <w:rPr>
          <w:rFonts w:ascii="楷体" w:hAnsi="楷体" w:eastAsia="楷体" w:cs="楷体"/>
          <w:sz w:val="22"/>
          <w:szCs w:val="24"/>
        </w:rPr>
      </w:pPr>
    </w:p>
    <w:p>
      <w:pPr>
        <w:spacing w:line="320" w:lineRule="exact"/>
        <w:ind w:left="0" w:leftChars="0" w:firstLine="0" w:firstLineChars="0"/>
        <w:jc w:val="center"/>
        <w:rPr>
          <w:rFonts w:hint="eastAsia" w:ascii="楷体" w:hAnsi="楷体" w:eastAsia="楷体" w:cs="楷体"/>
          <w:sz w:val="22"/>
          <w:szCs w:val="24"/>
        </w:rPr>
      </w:pPr>
      <w:r>
        <w:rPr>
          <w:rFonts w:hint="eastAsia" w:ascii="楷体" w:hAnsi="楷体" w:eastAsia="楷体" w:cs="楷体"/>
          <w:sz w:val="22"/>
          <w:szCs w:val="24"/>
          <w:lang w:val="en-US" w:eastAsia="zh-CN"/>
        </w:rPr>
        <w:t xml:space="preserve">                                                                        </w:t>
      </w:r>
      <w:r>
        <w:rPr>
          <w:rFonts w:hint="eastAsia" w:ascii="楷体" w:hAnsi="楷体" w:eastAsia="楷体" w:cs="楷体"/>
          <w:sz w:val="22"/>
          <w:szCs w:val="24"/>
        </w:rPr>
        <w:t xml:space="preserve">  单位负责人（签字）：</w:t>
      </w:r>
    </w:p>
    <w:p>
      <w:pPr>
        <w:spacing w:line="320" w:lineRule="exact"/>
        <w:ind w:firstLine="660" w:firstLineChars="300"/>
        <w:jc w:val="right"/>
        <w:rPr>
          <w:rFonts w:hint="eastAsia" w:ascii="楷体" w:hAnsi="楷体" w:eastAsia="楷体" w:cs="楷体"/>
          <w:sz w:val="22"/>
          <w:szCs w:val="24"/>
        </w:rPr>
      </w:pPr>
    </w:p>
    <w:p>
      <w:pPr>
        <w:spacing w:line="320" w:lineRule="exact"/>
        <w:ind w:firstLine="660" w:firstLineChars="300"/>
        <w:jc w:val="center"/>
        <w:rPr>
          <w:rFonts w:eastAsia="楷体"/>
        </w:rPr>
      </w:pPr>
      <w:r>
        <w:rPr>
          <w:rFonts w:hint="eastAsia" w:ascii="楷体" w:hAnsi="楷体" w:eastAsia="楷体" w:cs="楷体"/>
          <w:sz w:val="22"/>
          <w:szCs w:val="24"/>
          <w:lang w:val="en-US" w:eastAsia="zh-CN"/>
        </w:rPr>
        <w:t xml:space="preserve">                                                                     </w:t>
      </w:r>
      <w:r>
        <w:rPr>
          <w:rFonts w:hint="eastAsia" w:ascii="楷体" w:hAnsi="楷体" w:eastAsia="楷体" w:cs="楷体"/>
          <w:sz w:val="22"/>
          <w:szCs w:val="24"/>
        </w:rPr>
        <w:t>填表日期：2024年 5月6日</w:t>
      </w:r>
      <w:bookmarkStart w:id="0" w:name="_GoBack"/>
      <w:bookmarkEnd w:id="0"/>
    </w:p>
    <w:sectPr>
      <w:pgSz w:w="16838" w:h="11906" w:orient="landscape"/>
      <w:pgMar w:top="1009" w:right="1270" w:bottom="499"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粗宋简体">
    <w:altName w:val="宋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Q4OTVmMDU1OTE1MGY2MTI1NTk2MTNhNTc0ZmEyOWQifQ=="/>
  </w:docVars>
  <w:rsids>
    <w:rsidRoot w:val="1F6F43AB"/>
    <w:rsid w:val="000D4A28"/>
    <w:rsid w:val="00193F7D"/>
    <w:rsid w:val="001F3310"/>
    <w:rsid w:val="00386199"/>
    <w:rsid w:val="003F13A4"/>
    <w:rsid w:val="0043234D"/>
    <w:rsid w:val="00440513"/>
    <w:rsid w:val="004870BC"/>
    <w:rsid w:val="0054694C"/>
    <w:rsid w:val="0060313D"/>
    <w:rsid w:val="00627E3F"/>
    <w:rsid w:val="00765EB8"/>
    <w:rsid w:val="009853D5"/>
    <w:rsid w:val="00A6182F"/>
    <w:rsid w:val="00A6621E"/>
    <w:rsid w:val="00A82D8F"/>
    <w:rsid w:val="00B4367C"/>
    <w:rsid w:val="00BE3361"/>
    <w:rsid w:val="00C51A79"/>
    <w:rsid w:val="00DD54D1"/>
    <w:rsid w:val="00E21E93"/>
    <w:rsid w:val="00E67D3E"/>
    <w:rsid w:val="00E74DB0"/>
    <w:rsid w:val="00E933FB"/>
    <w:rsid w:val="00F402F7"/>
    <w:rsid w:val="06253E14"/>
    <w:rsid w:val="180711FB"/>
    <w:rsid w:val="1AFC78F3"/>
    <w:rsid w:val="1F6F43AB"/>
    <w:rsid w:val="26894039"/>
    <w:rsid w:val="377307AA"/>
    <w:rsid w:val="37FB76EB"/>
    <w:rsid w:val="3F6974EA"/>
    <w:rsid w:val="42F71BA9"/>
    <w:rsid w:val="48EA4EDC"/>
    <w:rsid w:val="54090838"/>
    <w:rsid w:val="6239194F"/>
    <w:rsid w:val="64FA2777"/>
    <w:rsid w:val="65702D19"/>
    <w:rsid w:val="6802464F"/>
    <w:rsid w:val="6F644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alloon Text"/>
    <w:basedOn w:val="1"/>
    <w:link w:val="9"/>
    <w:qFormat/>
    <w:uiPriority w:val="0"/>
    <w:pPr>
      <w:spacing w:line="240" w:lineRule="auto"/>
    </w:pPr>
    <w:rPr>
      <w:sz w:val="18"/>
      <w:szCs w:val="18"/>
    </w:rPr>
  </w:style>
  <w:style w:type="paragraph" w:styleId="4">
    <w:name w:val="footer"/>
    <w:basedOn w:val="1"/>
    <w:qFormat/>
    <w:uiPriority w:val="0"/>
    <w:pPr>
      <w:tabs>
        <w:tab w:val="center" w:pos="4153"/>
        <w:tab w:val="right" w:pos="8306"/>
      </w:tabs>
      <w:snapToGrid w:val="0"/>
      <w:spacing w:line="240" w:lineRule="atLeast"/>
      <w:jc w:val="left"/>
    </w:pPr>
    <w:rPr>
      <w:sz w:val="18"/>
      <w:szCs w:val="18"/>
    </w:rPr>
  </w:style>
  <w:style w:type="character" w:styleId="7">
    <w:name w:val="page number"/>
    <w:basedOn w:val="6"/>
    <w:qFormat/>
    <w:uiPriority w:val="0"/>
  </w:style>
  <w:style w:type="character" w:styleId="8">
    <w:name w:val="annotation reference"/>
    <w:basedOn w:val="6"/>
    <w:qFormat/>
    <w:uiPriority w:val="0"/>
    <w:rPr>
      <w:sz w:val="21"/>
      <w:szCs w:val="21"/>
    </w:rPr>
  </w:style>
  <w:style w:type="character" w:customStyle="1" w:styleId="9">
    <w:name w:val="批注框文本 Char"/>
    <w:basedOn w:val="6"/>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3035</Words>
  <Characters>3411</Characters>
  <Lines>26</Lines>
  <Paragraphs>7</Paragraphs>
  <TotalTime>1</TotalTime>
  <ScaleCrop>false</ScaleCrop>
  <LinksUpToDate>false</LinksUpToDate>
  <CharactersWithSpaces>3489</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2024-05-06T07:26:00Z</dcterms:created>
  <dc:creator>Administrator</dc:creator>
  <cp:lastModifiedBy>WPS_1559710913</cp:lastModifiedBy>
  <cp:lastPrinted>2022-05-19T06:47:00Z</cp:lastPrinted>
  <dcterms:modified xsi:type="dcterms:W3CDTF">2024-05-07T02:43:54Z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C8F489F1BF614A5C9F4622F5124545C2</vt:lpwstr>
  </property>
</Properties>
</file>