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06F9F">
      <w:pPr>
        <w:pStyle w:val="6"/>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公路建设养护中心</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年度预算绩效情况的说明</w:t>
      </w:r>
      <w:bookmarkStart w:id="0" w:name="_GoBack"/>
      <w:bookmarkEnd w:id="0"/>
    </w:p>
    <w:p w14:paraId="52A409D9">
      <w:pPr>
        <w:pStyle w:val="6"/>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lang w:eastAsia="zh-CN"/>
        </w:rPr>
      </w:pPr>
      <w:r>
        <w:rPr>
          <w:rFonts w:hint="eastAsia" w:ascii="楷体" w:hAnsi="楷体" w:eastAsia="楷体" w:cs="楷体"/>
          <w:b/>
          <w:bCs/>
          <w:sz w:val="30"/>
          <w:szCs w:val="30"/>
          <w:lang w:eastAsia="zh-CN"/>
        </w:rPr>
        <w:t>（一）</w:t>
      </w:r>
      <w:r>
        <w:rPr>
          <w:rFonts w:hint="eastAsia" w:ascii="楷体" w:hAnsi="楷体" w:eastAsia="楷体" w:cs="楷体"/>
          <w:b/>
          <w:bCs/>
          <w:sz w:val="30"/>
          <w:szCs w:val="30"/>
        </w:rPr>
        <w:t>部门整体支出绩效情况</w:t>
      </w:r>
    </w:p>
    <w:p w14:paraId="5AD5D8B4">
      <w:pPr>
        <w:spacing w:line="580" w:lineRule="exact"/>
        <w:ind w:firstLine="602"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1.</w:t>
      </w:r>
      <w:r>
        <w:rPr>
          <w:rFonts w:hint="eastAsia" w:ascii="仿宋_GB2312" w:hAnsi="仿宋_GB2312" w:eastAsia="仿宋_GB2312" w:cs="仿宋_GB2312"/>
          <w:b/>
          <w:sz w:val="30"/>
          <w:szCs w:val="30"/>
        </w:rPr>
        <w:t>基本支出。</w:t>
      </w:r>
      <w:r>
        <w:rPr>
          <w:rFonts w:hint="eastAsia" w:ascii="仿宋_GB2312" w:hAnsi="仿宋_GB2312" w:eastAsia="仿宋_GB2312" w:cs="仿宋_GB2312"/>
          <w:sz w:val="30"/>
          <w:szCs w:val="30"/>
        </w:rPr>
        <w:t>我中心20</w:t>
      </w:r>
      <w:r>
        <w:rPr>
          <w:rFonts w:hint="eastAsia" w:ascii="仿宋_GB2312" w:hAnsi="仿宋_GB2312" w:eastAsia="仿宋_GB2312" w:cs="仿宋_GB2312"/>
          <w:sz w:val="30"/>
          <w:szCs w:val="30"/>
          <w:lang w:val="en-US" w:eastAsia="zh-CN"/>
        </w:rPr>
        <w:t>23</w:t>
      </w:r>
      <w:r>
        <w:rPr>
          <w:rFonts w:hint="eastAsia" w:ascii="仿宋_GB2312" w:hAnsi="仿宋_GB2312" w:eastAsia="仿宋_GB2312" w:cs="仿宋_GB2312"/>
          <w:sz w:val="30"/>
          <w:szCs w:val="30"/>
        </w:rPr>
        <w:t>年基本支出</w:t>
      </w:r>
      <w:r>
        <w:rPr>
          <w:rFonts w:hint="eastAsia" w:ascii="仿宋_GB2312" w:hAnsi="仿宋_GB2312" w:eastAsia="仿宋_GB2312" w:cs="仿宋_GB2312"/>
          <w:sz w:val="30"/>
          <w:szCs w:val="30"/>
          <w:lang w:val="en-US" w:eastAsia="zh-CN"/>
        </w:rPr>
        <w:t>1154.56</w:t>
      </w:r>
      <w:r>
        <w:rPr>
          <w:rFonts w:hint="eastAsia" w:ascii="仿宋_GB2312" w:hAnsi="仿宋_GB2312" w:eastAsia="仿宋_GB2312" w:cs="仿宋_GB2312"/>
          <w:sz w:val="30"/>
          <w:szCs w:val="30"/>
        </w:rPr>
        <w:t>万元，其中人员经费</w:t>
      </w:r>
      <w:r>
        <w:rPr>
          <w:rFonts w:hint="eastAsia" w:ascii="仿宋_GB2312" w:hAnsi="仿宋_GB2312" w:eastAsia="仿宋_GB2312" w:cs="仿宋_GB2312"/>
          <w:sz w:val="30"/>
          <w:szCs w:val="30"/>
          <w:lang w:val="en-US" w:eastAsia="zh-CN"/>
        </w:rPr>
        <w:t>1049.98</w:t>
      </w:r>
      <w:r>
        <w:rPr>
          <w:rFonts w:hint="eastAsia" w:ascii="仿宋_GB2312" w:hAnsi="仿宋_GB2312" w:eastAsia="仿宋_GB2312" w:cs="仿宋_GB2312"/>
          <w:sz w:val="30"/>
          <w:szCs w:val="30"/>
        </w:rPr>
        <w:t>万元，主要用于在职和退休人员的工资、津补贴、奖金等；公用经费</w:t>
      </w:r>
      <w:r>
        <w:rPr>
          <w:rFonts w:hint="eastAsia" w:ascii="仿宋_GB2312" w:hAnsi="仿宋_GB2312" w:eastAsia="仿宋_GB2312" w:cs="仿宋_GB2312"/>
          <w:sz w:val="30"/>
          <w:szCs w:val="30"/>
          <w:lang w:val="en-US" w:eastAsia="zh-CN"/>
        </w:rPr>
        <w:t>104.58</w:t>
      </w:r>
      <w:r>
        <w:rPr>
          <w:rFonts w:hint="eastAsia" w:ascii="仿宋_GB2312" w:hAnsi="仿宋_GB2312" w:eastAsia="仿宋_GB2312" w:cs="仿宋_GB2312"/>
          <w:sz w:val="30"/>
          <w:szCs w:val="30"/>
        </w:rPr>
        <w:t>万元，用于全中心的基本日常支出。根据我中心的实际工作和县财政的预算数，本着以节约费用为重点，尤其是在“三公经费”的使用和管理上，严格的按照年初的预算控制指数执行，在财务管理上严格依法依规依程序，尽量做到公开公平公正，保证我中心顺利完成各项工作任务。</w:t>
      </w:r>
    </w:p>
    <w:p w14:paraId="1A68FF70">
      <w:pPr>
        <w:pStyle w:val="6"/>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lang w:val="en-US" w:eastAsia="zh-CN"/>
        </w:rPr>
        <w:t>2.</w:t>
      </w:r>
      <w:r>
        <w:rPr>
          <w:rFonts w:hint="eastAsia" w:ascii="仿宋_GB2312" w:hAnsi="仿宋_GB2312" w:eastAsia="仿宋_GB2312" w:cs="仿宋_GB2312"/>
          <w:b/>
          <w:sz w:val="30"/>
          <w:szCs w:val="30"/>
        </w:rPr>
        <w:t>项目支出</w:t>
      </w:r>
      <w:r>
        <w:rPr>
          <w:rFonts w:hint="eastAsia" w:ascii="仿宋_GB2312" w:hAnsi="仿宋_GB2312" w:eastAsia="仿宋_GB2312" w:cs="仿宋_GB2312"/>
          <w:color w:val="333333"/>
          <w:sz w:val="30"/>
          <w:szCs w:val="30"/>
        </w:rPr>
        <w:t>。</w:t>
      </w:r>
      <w:r>
        <w:rPr>
          <w:rFonts w:hint="eastAsia" w:ascii="仿宋_GB2312" w:hAnsi="仿宋_GB2312" w:eastAsia="仿宋_GB2312" w:cs="仿宋_GB2312"/>
          <w:sz w:val="30"/>
          <w:szCs w:val="30"/>
        </w:rPr>
        <w:t>我中心202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年项目支出</w:t>
      </w:r>
      <w:r>
        <w:rPr>
          <w:rFonts w:hint="eastAsia" w:ascii="仿宋_GB2312" w:hAnsi="仿宋_GB2312" w:eastAsia="仿宋_GB2312" w:cs="仿宋_GB2312"/>
          <w:sz w:val="30"/>
          <w:szCs w:val="30"/>
          <w:lang w:val="en-US" w:eastAsia="zh-CN"/>
        </w:rPr>
        <w:t>3133.33</w:t>
      </w:r>
      <w:r>
        <w:rPr>
          <w:rFonts w:hint="eastAsia" w:ascii="仿宋_GB2312" w:hAnsi="仿宋_GB2312" w:eastAsia="仿宋_GB2312" w:cs="仿宋_GB2312"/>
          <w:sz w:val="30"/>
          <w:szCs w:val="30"/>
        </w:rPr>
        <w:t>万元。支出在资金使用上一直按照国家财经法规和中心财务管理制度规定以及有关专项资金管理办法的规定收支，资金拨付有完整的审批程序和手续，按照财经制度的有关要求，做到专款专用，单位纪检部门对专项资金的使用进行全程监督，保证资金使用的合规性。资金使用无截留、挤占、挪用、虚列支出等情况。相关发票由相关部室核实，财务室审核后，报分管领导签字，再由分管财务领导签字同意报帐后到财务部结算。</w:t>
      </w:r>
    </w:p>
    <w:p w14:paraId="5EC9F28C">
      <w:pPr>
        <w:widowControl/>
        <w:spacing w:before="100" w:beforeAutospacing="1" w:after="100" w:afterAutospacing="1" w:line="580" w:lineRule="exact"/>
        <w:ind w:firstLine="480"/>
        <w:jc w:val="left"/>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部门履职</w:t>
      </w:r>
      <w:r>
        <w:rPr>
          <w:rFonts w:hint="eastAsia" w:ascii="仿宋_GB2312" w:hAnsi="仿宋_GB2312" w:eastAsia="仿宋_GB2312" w:cs="仿宋_GB2312"/>
          <w:sz w:val="30"/>
          <w:szCs w:val="30"/>
        </w:rPr>
        <w:t xml:space="preserve">。 “三公经费”未超过年初预算数。完善了财务管理制度和会计核算等管理制度，制定财务职责，制定了厉行节约制度，管理制度依照相关国家的法律、法规而制定的，具有合法性、合规性、完整性；相关管理制度得到认真执行。资金使用合规，一切支出按照国家财经法规和财务管理制度规定以及专项资金管理办法的规定办理，财务人员认真审核算每笔业务的合法性、真实性、手续完整性和资料的准确性。健全会计核算，按照国家统一会计制度的规定设置会计帐簿，依照规定进行会计处理，保证会计指标的口径一致。资金拨付有完善的审批程序和手续，支出符合部门预算批复的用途，资金使用无截留、挤占挪用、虚列支出等情况。预决算信息公开性，按照规定的内容、时间公开预算信息，做到基础数据信息和会计资料真实、完整、准确。对各项工作实际完成情况，我中心承担本县辖区内国省干线公路及附属设施的日常养护，修复工作，负责国省干线公路范围内的绿化种植与管理，公路中修、大修工程和公路水毁的预防和抢修；依法实施管养公路的路政管理和维护，管养公路的路产路权、超限运输治理工作。    </w:t>
      </w:r>
    </w:p>
    <w:p w14:paraId="4EB3B71C">
      <w:pPr>
        <w:spacing w:line="580" w:lineRule="exact"/>
        <w:ind w:firstLine="602" w:firstLineChars="200"/>
        <w:rPr>
          <w:rFonts w:hint="eastAsia" w:ascii="楷体" w:hAnsi="楷体" w:eastAsia="楷体" w:cs="楷体"/>
          <w:b/>
          <w:bCs/>
          <w:sz w:val="30"/>
          <w:szCs w:val="30"/>
          <w:lang w:eastAsia="zh-CN"/>
        </w:rPr>
      </w:pPr>
      <w:r>
        <w:rPr>
          <w:rFonts w:hint="eastAsia" w:ascii="仿宋_GB2312" w:hAnsi="仿宋_GB2312" w:eastAsia="仿宋_GB2312" w:cs="仿宋_GB2312"/>
          <w:b/>
          <w:sz w:val="30"/>
          <w:szCs w:val="30"/>
          <w:lang w:val="en-US" w:eastAsia="zh-CN"/>
        </w:rPr>
        <w:t>4.</w:t>
      </w:r>
      <w:r>
        <w:rPr>
          <w:rFonts w:hint="eastAsia" w:ascii="仿宋_GB2312" w:hAnsi="仿宋_GB2312" w:eastAsia="仿宋_GB2312" w:cs="仿宋_GB2312"/>
          <w:b/>
          <w:sz w:val="30"/>
          <w:szCs w:val="30"/>
        </w:rPr>
        <w:t>经济效益及社会效益。</w:t>
      </w:r>
      <w:r>
        <w:rPr>
          <w:rFonts w:hint="eastAsia" w:ascii="仿宋_GB2312" w:hAnsi="仿宋_GB2312" w:eastAsia="仿宋_GB2312" w:cs="仿宋_GB2312"/>
          <w:sz w:val="30"/>
          <w:szCs w:val="30"/>
        </w:rPr>
        <w:t>我中心一是将日常养护步入常态化，把路面清扫、水沟清理、杂草清除、修补路面进一步落实责任到人，定期巡查，有力维护了公路的畅、洁、美、绿，保持交通运输可持续发展，延长公路的使用寿命，减少公路的投入，降低能源的消耗，极大保护人民生命财产，方便人们出行，经济效益与社会效益同步提高。二是高度重视行政效能建设工作，深入贯彻落实科学发展观，制定方案，明确工作职责。推进政务公开透明度，方便人民群众；明确相关部室的职责，端正工作态度，转变机关作风。认真履行好各自职责；加强经费及资产管理；充分利用网络提高办公效率，降低行政运行成本。三是努力提高社会公众或服务对象满意度。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年我单位在市</w:t>
      </w:r>
      <w:r>
        <w:rPr>
          <w:rFonts w:hint="eastAsia" w:ascii="仿宋_GB2312" w:hAnsi="仿宋_GB2312" w:eastAsia="仿宋_GB2312" w:cs="仿宋_GB2312"/>
          <w:sz w:val="30"/>
          <w:szCs w:val="30"/>
          <w:lang w:eastAsia="zh-CN"/>
        </w:rPr>
        <w:t>中心</w:t>
      </w:r>
      <w:r>
        <w:rPr>
          <w:rFonts w:hint="eastAsia" w:ascii="仿宋_GB2312" w:hAnsi="仿宋_GB2312" w:eastAsia="仿宋_GB2312" w:cs="仿宋_GB2312"/>
          <w:sz w:val="30"/>
          <w:szCs w:val="30"/>
        </w:rPr>
        <w:t>、县政府、县交通局正确领导下，通过一年的努力工作，全中心上下全体干部职工切实转变工作作风，办事更极积，态度更热情，使广大群众和服务对象更满意。</w:t>
      </w:r>
    </w:p>
    <w:p w14:paraId="7D1180C9">
      <w:pPr>
        <w:pStyle w:val="6"/>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存在的问题及原因分析</w:t>
      </w:r>
    </w:p>
    <w:p w14:paraId="223F027D">
      <w:pPr>
        <w:spacing w:line="580" w:lineRule="exact"/>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2023年决算数据超过预算数较多，原因在于：一是社保类支出决算涵盖单位与个人缴纳部分，二是项目类支出年中调整预算较多，导致年终决算数据大于年初预算数。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zc2MWE4MDgwYjBhY2EwNWRmYTlkZGMwN2UyODkifQ=="/>
  </w:docVars>
  <w:rsids>
    <w:rsidRoot w:val="00000000"/>
    <w:rsid w:val="0E275E0B"/>
    <w:rsid w:val="37F1699E"/>
    <w:rsid w:val="57052C6E"/>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tabs>
        <w:tab w:val="right" w:leader="dot" w:pos="8948"/>
      </w:tabs>
      <w:spacing w:line="440" w:lineRule="exact"/>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1328</Words>
  <Characters>1366</Characters>
  <Lines>0</Lines>
  <Paragraphs>0</Paragraphs>
  <TotalTime>8</TotalTime>
  <ScaleCrop>false</ScaleCrop>
  <LinksUpToDate>false</LinksUpToDate>
  <CharactersWithSpaces>1371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2024-09-20T03:16:49Z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12A71744045445B687D66BD13FB312DC_12</vt:lpwstr>
  </property>
</Properties>
</file>