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E1C52">
      <w:pPr>
        <w:pStyle w:val="5"/>
        <w:widowControl w:val="0"/>
        <w:spacing w:before="0" w:beforeAutospacing="0" w:after="0" w:afterAutospacing="0" w:line="800" w:lineRule="exact"/>
        <w:jc w:val="center"/>
        <w:rPr>
          <w:rStyle w:val="10"/>
          <w:rFonts w:ascii="Times New Roman" w:hAnsi="Times New Roman" w:eastAsia="方正粗宋简体" w:cs="Times New Roman"/>
          <w:b w:val="0"/>
          <w:bCs w:val="0"/>
          <w:spacing w:val="-23"/>
          <w:sz w:val="36"/>
          <w:szCs w:val="36"/>
        </w:rPr>
      </w:pPr>
      <w:r>
        <w:rPr>
          <w:rFonts w:hint="eastAsia" w:ascii="仿宋_GB2312" w:hAnsi="Calibri" w:eastAsia="仿宋_GB2312" w:cs="Times New Roman"/>
          <w:b/>
          <w:bCs/>
          <w:sz w:val="36"/>
          <w:szCs w:val="36"/>
          <w:lang w:val="en-US" w:eastAsia="zh-CN" w:bidi="ar-SA"/>
        </w:rPr>
        <w:t>县委编办关于2023年度预算绩效情况的说明</w:t>
      </w:r>
    </w:p>
    <w:p w14:paraId="387D7F55">
      <w:pPr>
        <w:keepNext w:val="0"/>
        <w:keepLines w:val="0"/>
        <w:pageBreakBefore w:val="0"/>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hAnsi="楷体_GB2312" w:eastAsia="楷体_GB2312" w:cs="楷体_GB2312"/>
          <w:b/>
          <w:color w:val="000000"/>
          <w:kern w:val="0"/>
          <w:sz w:val="32"/>
          <w:szCs w:val="32"/>
        </w:rPr>
      </w:pPr>
    </w:p>
    <w:p w14:paraId="64025E36">
      <w:pPr>
        <w:keepNext w:val="0"/>
        <w:keepLines w:val="0"/>
        <w:pageBreakBefore w:val="0"/>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hAnsi="楷体_GB2312" w:eastAsia="楷体_GB2312" w:cs="楷体_GB2312"/>
          <w:b/>
          <w:color w:val="000000"/>
          <w:kern w:val="0"/>
          <w:sz w:val="32"/>
          <w:szCs w:val="32"/>
        </w:rPr>
      </w:pPr>
      <w:r>
        <w:rPr>
          <w:rFonts w:hint="eastAsia" w:ascii="楷体_GB2312" w:hAnsi="楷体_GB2312" w:eastAsia="楷体_GB2312" w:cs="楷体_GB2312"/>
          <w:b/>
          <w:color w:val="000000"/>
          <w:kern w:val="0"/>
          <w:sz w:val="32"/>
          <w:szCs w:val="32"/>
        </w:rPr>
        <w:t>一、部门（单位）基本概况</w:t>
      </w:r>
    </w:p>
    <w:p w14:paraId="52D17E34">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Calibri" w:eastAsia="仿宋_GB2312" w:cs="Times New Roman"/>
          <w:sz w:val="32"/>
          <w:szCs w:val="32"/>
        </w:rPr>
      </w:pPr>
      <w:r>
        <w:rPr>
          <w:rFonts w:hint="eastAsia" w:ascii="楷体_GB2312" w:hAnsi="楷体_GB2312" w:eastAsia="楷体_GB2312" w:cs="楷体_GB2312"/>
          <w:b/>
          <w:color w:val="000000"/>
          <w:kern w:val="0"/>
          <w:sz w:val="32"/>
          <w:szCs w:val="32"/>
        </w:rPr>
        <w:t>（一）部门基本情况</w:t>
      </w:r>
      <w:r>
        <w:rPr>
          <w:rFonts w:hint="eastAsia" w:ascii="楷体_GB2312" w:hAnsi="楷体_GB2312" w:eastAsia="楷体_GB2312" w:cs="楷体_GB2312"/>
          <w:color w:val="000000"/>
          <w:kern w:val="0"/>
          <w:sz w:val="32"/>
          <w:szCs w:val="32"/>
        </w:rPr>
        <w:t>。</w:t>
      </w:r>
      <w:r>
        <w:rPr>
          <w:rFonts w:hint="eastAsia" w:ascii="仿宋_GB2312" w:hAnsi="Calibri" w:eastAsia="仿宋_GB2312" w:cs="Times New Roman"/>
          <w:sz w:val="32"/>
          <w:szCs w:val="32"/>
        </w:rPr>
        <w:t>中共新晃侗族自治县委机构编制委员会办公室是全额拨款的行政单位，为县委机构编制委员会的常设正科级办事机构，是县委的工作部门，列入县委机构序列。</w:t>
      </w:r>
      <w:r>
        <w:rPr>
          <w:rFonts w:hint="eastAsia" w:ascii="仿宋_GB2312" w:hAnsi="Calibri" w:eastAsia="仿宋_GB2312" w:cs="Times New Roman"/>
          <w:sz w:val="32"/>
          <w:szCs w:val="32"/>
          <w:lang w:eastAsia="zh-CN"/>
        </w:rPr>
        <w:t>202</w:t>
      </w:r>
      <w:r>
        <w:rPr>
          <w:rFonts w:hint="eastAsia" w:ascii="仿宋_GB2312" w:hAnsi="Calibri" w:eastAsia="仿宋_GB2312" w:cs="Times New Roman"/>
          <w:sz w:val="32"/>
          <w:szCs w:val="32"/>
          <w:lang w:val="en-US" w:eastAsia="zh-CN"/>
        </w:rPr>
        <w:t>3</w:t>
      </w:r>
      <w:r>
        <w:rPr>
          <w:rFonts w:hint="eastAsia" w:ascii="仿宋_GB2312" w:hAnsi="Calibri" w:eastAsia="仿宋_GB2312" w:cs="Times New Roman"/>
          <w:sz w:val="32"/>
          <w:szCs w:val="32"/>
        </w:rPr>
        <w:t>年末设4个职能股室，核定编制9人，其中行政编制8人，后勤编制1人。下设县机构编制电子政务中心，为全额拨款事业单位，核定编制1人，在职人数10人，离退休8人。主要工作任务为全县机构编制管理及事业单位登记管理工作。</w:t>
      </w:r>
    </w:p>
    <w:p w14:paraId="20E9017F">
      <w:pPr>
        <w:keepNext w:val="0"/>
        <w:keepLines w:val="0"/>
        <w:pageBreakBefore w:val="0"/>
        <w:numPr>
          <w:ilvl w:val="0"/>
          <w:numId w:val="1"/>
        </w:numPr>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财</w:t>
      </w:r>
      <w:r>
        <w:rPr>
          <w:rFonts w:hint="eastAsia" w:ascii="楷体_GB2312" w:hAnsi="楷体_GB2312" w:eastAsia="楷体_GB2312" w:cs="楷体_GB2312"/>
          <w:b/>
          <w:bCs/>
          <w:color w:val="000000"/>
          <w:kern w:val="0"/>
          <w:sz w:val="32"/>
          <w:szCs w:val="32"/>
          <w:shd w:val="clear" w:color="auto" w:fill="FFFFFF"/>
          <w:lang w:val="en-US" w:eastAsia="zh-CN" w:bidi="ar-SA"/>
        </w:rPr>
        <w:t>政收支和</w:t>
      </w:r>
      <w:r>
        <w:rPr>
          <w:rFonts w:hint="eastAsia" w:ascii="楷体_GB2312" w:hAnsi="楷体_GB2312" w:eastAsia="楷体_GB2312" w:cs="楷体_GB2312"/>
          <w:b/>
          <w:sz w:val="32"/>
          <w:szCs w:val="32"/>
        </w:rPr>
        <w:t>年末固定资产状况，财政财务管理制度及执行</w:t>
      </w:r>
      <w:r>
        <w:rPr>
          <w:rFonts w:hint="eastAsia" w:ascii="楷体_GB2312" w:hAnsi="楷体_GB2312" w:eastAsia="楷体_GB2312" w:cs="楷体_GB2312"/>
          <w:b/>
          <w:bCs/>
          <w:color w:val="000000"/>
          <w:kern w:val="0"/>
          <w:sz w:val="32"/>
          <w:szCs w:val="32"/>
          <w:shd w:val="clear" w:color="auto" w:fill="FFFFFF"/>
          <w:lang w:val="en-US" w:eastAsia="zh-CN" w:bidi="ar-SA"/>
        </w:rPr>
        <w:t>情况</w:t>
      </w:r>
    </w:p>
    <w:p w14:paraId="0273168C">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Calibri" w:eastAsia="仿宋_GB2312" w:cs="Times New Roman"/>
          <w:color w:val="auto"/>
          <w:sz w:val="32"/>
          <w:szCs w:val="32"/>
          <w:lang w:val="en-US" w:eastAsia="zh-CN"/>
        </w:rPr>
      </w:pPr>
      <w:r>
        <w:rPr>
          <w:rFonts w:hint="eastAsia" w:eastAsia="仿宋_GB2312"/>
          <w:color w:val="auto"/>
          <w:sz w:val="32"/>
          <w:szCs w:val="32"/>
          <w:lang w:val="en-US" w:eastAsia="zh-CN"/>
        </w:rPr>
        <w:t>1.收入情况：</w:t>
      </w:r>
      <w:r>
        <w:rPr>
          <w:rFonts w:hint="eastAsia" w:ascii="仿宋_GB2312" w:hAnsi="Calibri" w:eastAsia="仿宋_GB2312" w:cs="Times New Roman"/>
          <w:color w:val="auto"/>
          <w:sz w:val="32"/>
          <w:szCs w:val="32"/>
          <w:lang w:val="en-US" w:eastAsia="zh-CN"/>
        </w:rPr>
        <w:t>2023年</w:t>
      </w:r>
      <w:r>
        <w:rPr>
          <w:rFonts w:eastAsia="仿宋_GB2312"/>
          <w:color w:val="auto"/>
          <w:sz w:val="32"/>
          <w:szCs w:val="32"/>
        </w:rPr>
        <w:t>度</w:t>
      </w:r>
      <w:r>
        <w:rPr>
          <w:rFonts w:hint="eastAsia" w:ascii="仿宋_GB2312" w:hAnsi="Calibri" w:eastAsia="仿宋_GB2312" w:cs="Times New Roman"/>
          <w:color w:val="auto"/>
          <w:sz w:val="32"/>
          <w:szCs w:val="32"/>
          <w:lang w:val="en-US" w:eastAsia="zh-CN"/>
        </w:rPr>
        <w:t>总收入196.33万元，与2022年相比，增加12.85万元，上升7%，主要是人员经费增加。</w:t>
      </w:r>
    </w:p>
    <w:p w14:paraId="4E06C9B6">
      <w:pPr>
        <w:spacing w:line="560" w:lineRule="exact"/>
        <w:ind w:firstLine="640" w:firstLineChars="200"/>
        <w:jc w:val="left"/>
        <w:rPr>
          <w:rFonts w:hint="eastAsia" w:ascii="仿宋_GB2312" w:hAnsi="Calibri" w:eastAsia="仿宋_GB2312" w:cs="Times New Roman"/>
          <w:color w:val="auto"/>
          <w:sz w:val="32"/>
          <w:szCs w:val="32"/>
          <w:lang w:val="en-US" w:eastAsia="zh-CN"/>
        </w:rPr>
      </w:pPr>
      <w:r>
        <w:rPr>
          <w:rFonts w:hint="eastAsia" w:eastAsia="仿宋_GB2312"/>
          <w:color w:val="auto"/>
          <w:sz w:val="32"/>
          <w:szCs w:val="32"/>
          <w:lang w:val="en-US" w:eastAsia="zh-CN"/>
        </w:rPr>
        <w:t>2.支出情况：</w:t>
      </w:r>
      <w:r>
        <w:rPr>
          <w:rFonts w:hint="eastAsia" w:ascii="仿宋_GB2312" w:hAnsi="Calibri" w:eastAsia="仿宋_GB2312" w:cs="Times New Roman"/>
          <w:color w:val="auto"/>
          <w:sz w:val="32"/>
          <w:szCs w:val="32"/>
          <w:lang w:val="en-US" w:eastAsia="zh-CN"/>
        </w:rPr>
        <w:t>2023年支出总计196.33万元，比2022年增加7%，原因为主要是人员经费增加。</w:t>
      </w:r>
    </w:p>
    <w:p w14:paraId="406FF9D6">
      <w:pPr>
        <w:spacing w:line="560" w:lineRule="exact"/>
        <w:ind w:firstLine="640" w:firstLineChars="200"/>
        <w:jc w:val="left"/>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按照中央厉行节约反对浪费的要求，我单位采取了完善制度，把好关口，紧缩支出等有力措施，经费运行实现了良性循环，各项三公经费开支费用控制在县纪委及财政审批数内。“三公”经费财政拨款支出预算为0.45万元，支出决算为0.45万元，完成预算的100%，其中：</w:t>
      </w:r>
    </w:p>
    <w:p w14:paraId="72C932ED">
      <w:pPr>
        <w:spacing w:line="560" w:lineRule="exact"/>
        <w:ind w:firstLine="640" w:firstLineChars="200"/>
        <w:jc w:val="left"/>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因公出国（境）费支出预算为0万元，支出决算为0万元，完成预算的100%。</w:t>
      </w:r>
    </w:p>
    <w:p w14:paraId="17272CBA">
      <w:pPr>
        <w:spacing w:line="560" w:lineRule="exact"/>
        <w:ind w:firstLine="640" w:firstLineChars="200"/>
        <w:jc w:val="left"/>
        <w:rPr>
          <w:rFonts w:hint="eastAsia" w:ascii="仿宋_GB2312" w:hAnsi="Calibri" w:eastAsia="仿宋_GB2312" w:cs="Times New Roman"/>
          <w:color w:val="0000FF"/>
          <w:sz w:val="32"/>
          <w:szCs w:val="32"/>
          <w:lang w:val="en-US" w:eastAsia="zh-CN"/>
        </w:rPr>
      </w:pPr>
      <w:r>
        <w:rPr>
          <w:rFonts w:hint="eastAsia" w:ascii="仿宋_GB2312" w:hAnsi="Calibri" w:eastAsia="仿宋_GB2312" w:cs="Times New Roman"/>
          <w:color w:val="auto"/>
          <w:sz w:val="32"/>
          <w:szCs w:val="32"/>
          <w:lang w:val="en-US" w:eastAsia="zh-CN"/>
        </w:rPr>
        <w:t>公务接待费支出预算为0.45万元，支出决算为0.45万元</w:t>
      </w:r>
      <w:r>
        <w:rPr>
          <w:rFonts w:hint="eastAsia" w:ascii="仿宋_GB2312" w:hAnsi="Calibri" w:eastAsia="仿宋_GB2312" w:cs="Times New Roman"/>
          <w:color w:val="0000FF"/>
          <w:sz w:val="32"/>
          <w:szCs w:val="32"/>
          <w:lang w:val="en-US" w:eastAsia="zh-CN"/>
        </w:rPr>
        <w:t>，</w:t>
      </w:r>
      <w:r>
        <w:rPr>
          <w:rFonts w:hint="eastAsia" w:ascii="仿宋_GB2312" w:hAnsi="Calibri" w:eastAsia="仿宋_GB2312" w:cs="Times New Roman"/>
          <w:color w:val="auto"/>
          <w:sz w:val="32"/>
          <w:szCs w:val="32"/>
          <w:lang w:val="en-US" w:eastAsia="zh-CN"/>
        </w:rPr>
        <w:t>完成预算的100%，原因是单位紧缩支出。</w:t>
      </w:r>
    </w:p>
    <w:p w14:paraId="76008933">
      <w:pPr>
        <w:spacing w:line="560" w:lineRule="exact"/>
        <w:ind w:firstLine="640" w:firstLineChars="200"/>
        <w:jc w:val="left"/>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公务用车购置费及运行维护费支出预算为0万元，支出决算为0万元。</w:t>
      </w:r>
    </w:p>
    <w:p w14:paraId="509DD357">
      <w:pPr>
        <w:numPr>
          <w:ilvl w:val="0"/>
          <w:numId w:val="0"/>
        </w:numPr>
        <w:ind w:firstLine="640" w:firstLineChars="200"/>
        <w:rPr>
          <w:rFonts w:hint="eastAsia" w:ascii="仿宋_GB2312" w:hAnsi="Calibri"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3</w:t>
      </w:r>
      <w:r>
        <w:rPr>
          <w:rFonts w:hint="eastAsia" w:ascii="仿宋_GB2312" w:hAnsi="Calibri" w:eastAsia="仿宋_GB2312" w:cs="Times New Roman"/>
          <w:color w:val="auto"/>
          <w:sz w:val="32"/>
          <w:szCs w:val="32"/>
          <w:lang w:val="en-US" w:eastAsia="zh-CN"/>
        </w:rPr>
        <w:t>.固定资产的管理相关情况</w:t>
      </w:r>
    </w:p>
    <w:p w14:paraId="3A91B290">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color w:val="auto"/>
          <w:kern w:val="0"/>
          <w:sz w:val="23"/>
          <w:szCs w:val="23"/>
        </w:rPr>
      </w:pPr>
      <w:r>
        <w:rPr>
          <w:rFonts w:hint="eastAsia" w:ascii="楷体_GB2312" w:hAnsi="楷体_GB2312" w:eastAsia="楷体_GB2312" w:cs="楷体_GB2312"/>
          <w:b w:val="0"/>
          <w:bCs w:val="0"/>
          <w:color w:val="auto"/>
          <w:kern w:val="0"/>
          <w:sz w:val="32"/>
          <w:szCs w:val="32"/>
          <w:shd w:val="clear" w:color="auto" w:fill="FFFFFF"/>
        </w:rPr>
        <w:t>（</w:t>
      </w:r>
      <w:r>
        <w:rPr>
          <w:rFonts w:hint="eastAsia" w:ascii="楷体_GB2312" w:hAnsi="楷体_GB2312" w:eastAsia="楷体_GB2312" w:cs="楷体_GB2312"/>
          <w:b w:val="0"/>
          <w:bCs w:val="0"/>
          <w:color w:val="auto"/>
          <w:kern w:val="0"/>
          <w:sz w:val="32"/>
          <w:szCs w:val="32"/>
          <w:shd w:val="clear" w:color="auto" w:fill="FFFFFF"/>
          <w:lang w:val="en-US" w:eastAsia="zh-CN"/>
        </w:rPr>
        <w:t>1</w:t>
      </w:r>
      <w:r>
        <w:rPr>
          <w:rFonts w:hint="eastAsia" w:ascii="楷体_GB2312" w:hAnsi="楷体_GB2312" w:eastAsia="楷体_GB2312" w:cs="楷体_GB2312"/>
          <w:b w:val="0"/>
          <w:bCs w:val="0"/>
          <w:color w:val="auto"/>
          <w:kern w:val="0"/>
          <w:sz w:val="32"/>
          <w:szCs w:val="32"/>
          <w:shd w:val="clear" w:color="auto" w:fill="FFFFFF"/>
        </w:rPr>
        <w:t>）</w:t>
      </w:r>
      <w:r>
        <w:rPr>
          <w:rFonts w:hint="eastAsia" w:ascii="楷体_GB2312" w:hAnsi="楷体_GB2312" w:eastAsia="楷体_GB2312" w:cs="楷体_GB2312"/>
          <w:b w:val="0"/>
          <w:bCs w:val="0"/>
          <w:color w:val="auto"/>
          <w:kern w:val="0"/>
          <w:sz w:val="32"/>
          <w:szCs w:val="32"/>
        </w:rPr>
        <w:t>固定资产的购置</w:t>
      </w:r>
    </w:p>
    <w:p w14:paraId="5F70772A">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宋体" w:hAnsi="宋体" w:cs="宋体"/>
          <w:color w:val="000000"/>
          <w:kern w:val="0"/>
          <w:sz w:val="23"/>
          <w:szCs w:val="23"/>
        </w:rPr>
      </w:pPr>
      <w:r>
        <w:rPr>
          <w:rFonts w:hint="eastAsia" w:ascii="仿宋_GB2312" w:hAnsi="Calibri" w:eastAsia="仿宋_GB2312" w:cs="Times New Roman"/>
          <w:sz w:val="32"/>
          <w:szCs w:val="32"/>
          <w:lang w:val="en-US" w:eastAsia="zh-CN"/>
        </w:rPr>
        <w:t>1、每年按照财政预算经费安排设备购置计划，由各组室根据当年办公设备购置需要，制订固定资产购置计划，经领导审定批准后实施。 </w:t>
      </w:r>
      <w:r>
        <w:rPr>
          <w:rFonts w:hint="eastAsia" w:ascii="仿宋_GB2312" w:hAnsi="Calibri" w:eastAsia="仿宋_GB2312" w:cs="Times New Roman"/>
          <w:sz w:val="32"/>
          <w:szCs w:val="32"/>
          <w:lang w:val="en-US" w:eastAsia="zh-CN"/>
        </w:rPr>
        <w:br w:type="textWrapping"/>
      </w:r>
      <w:r>
        <w:rPr>
          <w:rFonts w:hint="eastAsia" w:ascii="仿宋_GB2312" w:hAnsi="Calibri" w:eastAsia="仿宋_GB2312" w:cs="Times New Roman"/>
          <w:sz w:val="32"/>
          <w:szCs w:val="32"/>
          <w:lang w:val="en-US" w:eastAsia="zh-CN"/>
        </w:rPr>
        <w:t>　　2、属政府采购范围内的固定资产，不得自行采购。先由办公室填报设备政府采购申请表，再由财务室根据经费来源，向财政国资股及机关事务中心等部门办理购置、结算等手续。</w:t>
      </w:r>
      <w:r>
        <w:rPr>
          <w:rFonts w:hint="eastAsia" w:ascii="仿宋_GB2312" w:hAnsi="Calibri" w:eastAsia="仿宋_GB2312" w:cs="Times New Roman"/>
          <w:sz w:val="32"/>
          <w:szCs w:val="32"/>
          <w:lang w:val="en-US" w:eastAsia="zh-CN"/>
        </w:rPr>
        <w:br w:type="textWrapping"/>
      </w:r>
      <w:r>
        <w:rPr>
          <w:rFonts w:hint="eastAsia" w:ascii="仿宋_GB2312" w:hAnsi="Calibri" w:eastAsia="仿宋_GB2312" w:cs="Times New Roman"/>
          <w:sz w:val="32"/>
          <w:szCs w:val="32"/>
          <w:lang w:val="en-US" w:eastAsia="zh-CN"/>
        </w:rPr>
        <w:t>　　3、不属于政府采购范围的固定资产，应在进行广泛的市场询价基础上择优购置。</w:t>
      </w:r>
      <w:r>
        <w:rPr>
          <w:rFonts w:hint="eastAsia" w:ascii="仿宋_GB2312" w:hAnsi="Calibri" w:eastAsia="仿宋_GB2312" w:cs="Times New Roman"/>
          <w:sz w:val="32"/>
          <w:szCs w:val="32"/>
          <w:lang w:val="en-US" w:eastAsia="zh-CN"/>
        </w:rPr>
        <w:br w:type="textWrapping"/>
      </w:r>
      <w:r>
        <w:rPr>
          <w:rFonts w:hint="eastAsia" w:ascii="仿宋_GB2312" w:hAnsi="宋体" w:eastAsia="仿宋_GB2312" w:cs="宋体"/>
          <w:color w:val="000000"/>
          <w:kern w:val="0"/>
          <w:sz w:val="32"/>
          <w:szCs w:val="32"/>
        </w:rPr>
        <w:t>　</w:t>
      </w:r>
      <w:r>
        <w:rPr>
          <w:rFonts w:hint="eastAsia" w:ascii="楷体_GB2312" w:hAnsi="楷体_GB2312" w:eastAsia="楷体_GB2312" w:cs="楷体_GB2312"/>
          <w:b/>
          <w:bCs/>
          <w:color w:val="000000"/>
          <w:kern w:val="0"/>
          <w:sz w:val="32"/>
          <w:szCs w:val="32"/>
          <w:shd w:val="clear" w:color="auto" w:fill="FFFFFF"/>
        </w:rPr>
        <w:t>　</w:t>
      </w:r>
      <w:r>
        <w:rPr>
          <w:rFonts w:hint="eastAsia" w:ascii="楷体_GB2312" w:hAnsi="楷体_GB2312" w:eastAsia="楷体_GB2312" w:cs="楷体_GB2312"/>
          <w:b w:val="0"/>
          <w:bCs w:val="0"/>
          <w:color w:val="000000"/>
          <w:kern w:val="0"/>
          <w:sz w:val="32"/>
          <w:szCs w:val="32"/>
          <w:shd w:val="clear" w:color="auto" w:fill="FFFFFF"/>
        </w:rPr>
        <w:t>（</w:t>
      </w:r>
      <w:r>
        <w:rPr>
          <w:rFonts w:hint="eastAsia" w:ascii="楷体_GB2312" w:hAnsi="楷体_GB2312" w:eastAsia="楷体_GB2312" w:cs="楷体_GB2312"/>
          <w:b w:val="0"/>
          <w:bCs w:val="0"/>
          <w:color w:val="000000"/>
          <w:kern w:val="0"/>
          <w:sz w:val="32"/>
          <w:szCs w:val="32"/>
          <w:shd w:val="clear" w:color="auto" w:fill="FFFFFF"/>
          <w:lang w:val="en-US" w:eastAsia="zh-CN"/>
        </w:rPr>
        <w:t>2</w:t>
      </w:r>
      <w:r>
        <w:rPr>
          <w:rFonts w:hint="eastAsia" w:ascii="楷体_GB2312" w:hAnsi="楷体_GB2312" w:eastAsia="楷体_GB2312" w:cs="楷体_GB2312"/>
          <w:b w:val="0"/>
          <w:bCs w:val="0"/>
          <w:color w:val="000000"/>
          <w:kern w:val="0"/>
          <w:sz w:val="32"/>
          <w:szCs w:val="32"/>
          <w:shd w:val="clear" w:color="auto" w:fill="FFFFFF"/>
        </w:rPr>
        <w:t>）固定资产的验收、保管、使用（包括借用、调拨）、报废</w:t>
      </w:r>
      <w:r>
        <w:rPr>
          <w:rFonts w:hint="eastAsia" w:ascii="仿宋_GB2312" w:hAnsi="宋体" w:eastAsia="仿宋_GB2312" w:cs="宋体"/>
          <w:b w:val="0"/>
          <w:bCs w:val="0"/>
          <w:color w:val="000000"/>
          <w:kern w:val="0"/>
          <w:sz w:val="32"/>
          <w:szCs w:val="32"/>
        </w:rPr>
        <w:br w:type="textWrapping"/>
      </w:r>
      <w:r>
        <w:rPr>
          <w:rFonts w:hint="eastAsia" w:ascii="仿宋_GB2312" w:hAnsi="宋体" w:eastAsia="仿宋_GB2312" w:cs="宋体"/>
          <w:color w:val="000000"/>
          <w:kern w:val="0"/>
          <w:sz w:val="32"/>
          <w:szCs w:val="32"/>
        </w:rPr>
        <w:t>　</w:t>
      </w:r>
      <w:r>
        <w:rPr>
          <w:rFonts w:hint="eastAsia" w:ascii="仿宋_GB2312" w:hAnsi="Calibri" w:eastAsia="仿宋_GB2312" w:cs="Times New Roman"/>
          <w:sz w:val="32"/>
          <w:szCs w:val="32"/>
        </w:rPr>
        <w:t>　</w:t>
      </w:r>
      <w:r>
        <w:rPr>
          <w:rFonts w:hint="eastAsia" w:ascii="仿宋_GB2312" w:hAnsi="Calibri" w:eastAsia="仿宋_GB2312" w:cs="Times New Roman"/>
          <w:sz w:val="32"/>
          <w:szCs w:val="32"/>
          <w:lang w:val="en-US" w:eastAsia="zh-CN"/>
        </w:rPr>
        <w:t>1、新购入的固定资产，应先做好验收工作。由使用部门及使用人验收，验收人员要严格把关，对所验固定资产的数量、质量、附件、资料等都要认真检查。经办公室签署意见登记备案后，连同发票交财务室登记核算。</w:t>
      </w:r>
      <w:r>
        <w:rPr>
          <w:rFonts w:hint="eastAsia" w:ascii="仿宋_GB2312" w:hAnsi="Calibri" w:eastAsia="仿宋_GB2312" w:cs="Times New Roman"/>
          <w:sz w:val="32"/>
          <w:szCs w:val="32"/>
          <w:lang w:val="en-US" w:eastAsia="zh-CN"/>
        </w:rPr>
        <w:br w:type="textWrapping"/>
      </w:r>
      <w:r>
        <w:rPr>
          <w:rFonts w:hint="eastAsia" w:ascii="仿宋_GB2312" w:hAnsi="Calibri" w:eastAsia="仿宋_GB2312" w:cs="Times New Roman"/>
          <w:sz w:val="32"/>
          <w:szCs w:val="32"/>
          <w:lang w:val="en-US" w:eastAsia="zh-CN"/>
        </w:rPr>
        <w:t>　　2、各部门使用的固定资产，领用及保管要落实使用责任人。贵重财产除安排专人保管外，还要落实安全保管措施。各部门负责人是本部门固定资产管理的第一责任人。固定资产外借必须经部门负责人批准，未经批准不得随意转借。</w:t>
      </w:r>
      <w:r>
        <w:rPr>
          <w:rFonts w:hint="eastAsia" w:ascii="仿宋_GB2312" w:hAnsi="Calibri" w:eastAsia="仿宋_GB2312" w:cs="Times New Roman"/>
          <w:sz w:val="32"/>
          <w:szCs w:val="32"/>
          <w:lang w:val="en-US" w:eastAsia="zh-CN"/>
        </w:rPr>
        <w:br w:type="textWrapping"/>
      </w:r>
      <w:r>
        <w:rPr>
          <w:rFonts w:hint="eastAsia" w:ascii="仿宋_GB2312" w:hAnsi="Calibri" w:eastAsia="仿宋_GB2312" w:cs="Times New Roman"/>
          <w:sz w:val="32"/>
          <w:szCs w:val="32"/>
          <w:lang w:val="en-US" w:eastAsia="zh-CN"/>
        </w:rPr>
        <w:t>　　3、固定资产变更使用管理部门，必须经办公室同意并办理相关手续。计算机使用及管理根据单位管理规定执行。</w:t>
      </w:r>
      <w:r>
        <w:rPr>
          <w:rFonts w:hint="eastAsia" w:ascii="宋体" w:hAnsi="宋体" w:eastAsia="宋体" w:cs="黑体"/>
          <w:color w:val="000000"/>
          <w:kern w:val="0"/>
          <w:sz w:val="32"/>
          <w:szCs w:val="32"/>
          <w:lang w:val="en-US" w:eastAsia="zh-CN" w:bidi="ar-SA"/>
        </w:rPr>
        <w:br w:type="textWrapping"/>
      </w:r>
      <w:r>
        <w:rPr>
          <w:rFonts w:hint="eastAsia" w:ascii="楷体_GB2312" w:hAnsi="楷体_GB2312" w:eastAsia="楷体_GB2312" w:cs="楷体_GB2312"/>
          <w:b w:val="0"/>
          <w:bCs w:val="0"/>
          <w:color w:val="000000"/>
          <w:kern w:val="0"/>
          <w:sz w:val="32"/>
          <w:szCs w:val="32"/>
          <w:shd w:val="clear" w:color="auto" w:fill="FFFFFF"/>
        </w:rPr>
        <w:t>　　（</w:t>
      </w:r>
      <w:r>
        <w:rPr>
          <w:rFonts w:hint="eastAsia" w:ascii="楷体_GB2312" w:hAnsi="楷体_GB2312" w:eastAsia="楷体_GB2312" w:cs="楷体_GB2312"/>
          <w:b w:val="0"/>
          <w:bCs w:val="0"/>
          <w:color w:val="000000"/>
          <w:kern w:val="0"/>
          <w:sz w:val="32"/>
          <w:szCs w:val="32"/>
          <w:shd w:val="clear" w:color="auto" w:fill="FFFFFF"/>
          <w:lang w:val="en-US" w:eastAsia="zh-CN"/>
        </w:rPr>
        <w:t>3</w:t>
      </w:r>
      <w:r>
        <w:rPr>
          <w:rFonts w:hint="eastAsia" w:ascii="楷体_GB2312" w:hAnsi="楷体_GB2312" w:eastAsia="楷体_GB2312" w:cs="楷体_GB2312"/>
          <w:b w:val="0"/>
          <w:bCs w:val="0"/>
          <w:color w:val="000000"/>
          <w:kern w:val="0"/>
          <w:sz w:val="32"/>
          <w:szCs w:val="32"/>
          <w:shd w:val="clear" w:color="auto" w:fill="FFFFFF"/>
        </w:rPr>
        <w:t>）固定资产处置</w:t>
      </w:r>
    </w:p>
    <w:p w14:paraId="18D3AAE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lang w:val="en-US" w:eastAsia="zh-CN"/>
        </w:rPr>
        <w:t>固定资产的减少变动（调出、变卖、盘亏、报废、丢失、损坏）都必须按规定履行报批手续，由办公室统一进行处理，所得资金全部单位财务入账，不得坐支或直接用于购买物品，估值超过1000元以上的物品处理时，财务室必须参与，并履行国有资产报批程序和手续，上报财政资产科审批、备案。</w:t>
      </w:r>
    </w:p>
    <w:p w14:paraId="5CB80D28">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color w:val="000000"/>
          <w:kern w:val="0"/>
          <w:sz w:val="32"/>
          <w:szCs w:val="32"/>
          <w:shd w:val="clear" w:color="auto" w:fill="FFFFFF"/>
        </w:rPr>
      </w:pPr>
      <w:r>
        <w:rPr>
          <w:rFonts w:hint="eastAsia" w:ascii="楷体_GB2312" w:hAnsi="楷体_GB2312" w:eastAsia="楷体_GB2312" w:cs="楷体_GB2312"/>
          <w:b w:val="0"/>
          <w:bCs w:val="0"/>
          <w:color w:val="000000"/>
          <w:kern w:val="0"/>
          <w:sz w:val="32"/>
          <w:szCs w:val="32"/>
          <w:shd w:val="clear" w:color="auto" w:fill="FFFFFF"/>
        </w:rPr>
        <w:t>（</w:t>
      </w:r>
      <w:r>
        <w:rPr>
          <w:rFonts w:hint="eastAsia" w:ascii="楷体_GB2312" w:hAnsi="楷体_GB2312" w:eastAsia="楷体_GB2312" w:cs="楷体_GB2312"/>
          <w:b w:val="0"/>
          <w:bCs w:val="0"/>
          <w:color w:val="000000"/>
          <w:kern w:val="0"/>
          <w:sz w:val="32"/>
          <w:szCs w:val="32"/>
          <w:shd w:val="clear" w:color="auto" w:fill="FFFFFF"/>
          <w:lang w:val="en-US" w:eastAsia="zh-CN"/>
        </w:rPr>
        <w:t>4</w:t>
      </w:r>
      <w:r>
        <w:rPr>
          <w:rFonts w:hint="eastAsia" w:ascii="楷体_GB2312" w:hAnsi="楷体_GB2312" w:eastAsia="楷体_GB2312" w:cs="楷体_GB2312"/>
          <w:b w:val="0"/>
          <w:bCs w:val="0"/>
          <w:color w:val="000000"/>
          <w:kern w:val="0"/>
          <w:sz w:val="32"/>
          <w:szCs w:val="32"/>
          <w:shd w:val="clear" w:color="auto" w:fill="FFFFFF"/>
        </w:rPr>
        <w:t>）固定资产的清查</w:t>
      </w:r>
    </w:p>
    <w:p w14:paraId="0257CF3A">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仿宋_GB2312" w:hAnsi="Calibri" w:eastAsia="仿宋_GB2312" w:cs="Times New Roman"/>
          <w:sz w:val="32"/>
          <w:szCs w:val="32"/>
          <w:lang w:val="en-US" w:eastAsia="zh-CN"/>
        </w:rPr>
        <w:t>坚持固定资产定期清理、清查制度。各部门使用的固定资产应每年自查一次，每二年全面清查一次，做到账物相符。</w:t>
      </w:r>
      <w:r>
        <w:rPr>
          <w:rFonts w:hint="eastAsia" w:ascii="仿宋_GB2312" w:hAnsi="Calibri" w:eastAsia="仿宋_GB2312" w:cs="Times New Roman"/>
          <w:sz w:val="32"/>
          <w:szCs w:val="32"/>
        </w:rPr>
        <w:br w:type="textWrapping"/>
      </w:r>
      <w:r>
        <w:rPr>
          <w:rFonts w:hint="eastAsia" w:ascii="仿宋_GB2312" w:hAnsi="宋体" w:eastAsia="仿宋_GB2312" w:cs="宋体"/>
          <w:color w:val="000000"/>
          <w:kern w:val="0"/>
          <w:sz w:val="32"/>
          <w:szCs w:val="32"/>
        </w:rPr>
        <w:t>　</w:t>
      </w:r>
      <w:r>
        <w:rPr>
          <w:rFonts w:hint="eastAsia" w:ascii="楷体_GB2312" w:hAnsi="楷体_GB2312" w:eastAsia="楷体_GB2312" w:cs="楷体_GB2312"/>
          <w:b w:val="0"/>
          <w:bCs w:val="0"/>
          <w:color w:val="000000"/>
          <w:kern w:val="0"/>
          <w:sz w:val="32"/>
          <w:szCs w:val="32"/>
          <w:shd w:val="clear" w:color="auto" w:fill="FFFFFF"/>
        </w:rPr>
        <w:t>　（</w:t>
      </w:r>
      <w:r>
        <w:rPr>
          <w:rFonts w:hint="eastAsia" w:ascii="楷体_GB2312" w:hAnsi="楷体_GB2312" w:eastAsia="楷体_GB2312" w:cs="楷体_GB2312"/>
          <w:b w:val="0"/>
          <w:bCs w:val="0"/>
          <w:color w:val="000000"/>
          <w:kern w:val="0"/>
          <w:sz w:val="32"/>
          <w:szCs w:val="32"/>
          <w:shd w:val="clear" w:color="auto" w:fill="FFFFFF"/>
          <w:lang w:val="en-US" w:eastAsia="zh-CN"/>
        </w:rPr>
        <w:t>5</w:t>
      </w:r>
      <w:r>
        <w:rPr>
          <w:rFonts w:hint="eastAsia" w:ascii="楷体_GB2312" w:hAnsi="楷体_GB2312" w:eastAsia="楷体_GB2312" w:cs="楷体_GB2312"/>
          <w:b w:val="0"/>
          <w:bCs w:val="0"/>
          <w:color w:val="000000"/>
          <w:kern w:val="0"/>
          <w:sz w:val="32"/>
          <w:szCs w:val="32"/>
          <w:shd w:val="clear" w:color="auto" w:fill="FFFFFF"/>
        </w:rPr>
        <w:t>）固定资产的赔偿</w:t>
      </w:r>
      <w:r>
        <w:rPr>
          <w:rFonts w:hint="eastAsia" w:ascii="仿宋_GB2312" w:hAnsi="宋体" w:eastAsia="仿宋_GB2312" w:cs="宋体"/>
          <w:color w:val="000000"/>
          <w:kern w:val="0"/>
          <w:sz w:val="32"/>
          <w:szCs w:val="32"/>
        </w:rPr>
        <w:br w:type="textWrapping"/>
      </w:r>
      <w:r>
        <w:rPr>
          <w:rFonts w:hint="eastAsia" w:ascii="仿宋_GB2312" w:hAnsi="宋体" w:eastAsia="仿宋_GB2312" w:cs="宋体"/>
          <w:color w:val="000000"/>
          <w:kern w:val="0"/>
          <w:sz w:val="32"/>
          <w:szCs w:val="32"/>
        </w:rPr>
        <w:t xml:space="preserve">   </w:t>
      </w:r>
      <w:r>
        <w:rPr>
          <w:rFonts w:hint="eastAsia" w:ascii="仿宋_GB2312" w:hAnsi="Calibri" w:eastAsia="仿宋_GB2312" w:cs="Times New Roman"/>
          <w:sz w:val="32"/>
          <w:szCs w:val="32"/>
          <w:lang w:val="en-US" w:eastAsia="zh-CN"/>
        </w:rPr>
        <w:t>各部门的固定资产都应保证安全、完整。由于管理使用不妥，造成损失或者遗失（包括失窃）的，都要按情节轻重给予一定的经济赔偿，情节严重的，给予必要的行政处分。</w:t>
      </w:r>
    </w:p>
    <w:p w14:paraId="03196336">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color w:val="auto"/>
          <w:kern w:val="0"/>
          <w:sz w:val="32"/>
          <w:szCs w:val="32"/>
          <w:shd w:val="clear" w:color="auto" w:fill="FFFFFF"/>
        </w:rPr>
      </w:pPr>
      <w:r>
        <w:rPr>
          <w:rFonts w:hint="eastAsia" w:ascii="楷体_GB2312" w:hAnsi="楷体_GB2312" w:eastAsia="楷体_GB2312" w:cs="楷体_GB2312"/>
          <w:b/>
          <w:bCs/>
          <w:color w:val="auto"/>
          <w:kern w:val="0"/>
          <w:sz w:val="32"/>
          <w:szCs w:val="32"/>
          <w:shd w:val="clear" w:color="auto" w:fill="FFFFFF"/>
        </w:rPr>
        <w:t>二、部门整体支出绩效状况</w:t>
      </w:r>
    </w:p>
    <w:p w14:paraId="64D4C5B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2023年部门支出在满足了单位各项工作的正常开展，确保了各项计划和任务的完成，我单位各项工作取得不错的成绩，本年度我县绩效考核、安全生产、综治维稳等工作先进单位，体现了较好的履职效益。</w:t>
      </w:r>
    </w:p>
    <w:p w14:paraId="59E19A11">
      <w:pPr>
        <w:keepNext w:val="0"/>
        <w:keepLines w:val="0"/>
        <w:pageBreakBefore w:val="0"/>
        <w:widowControl/>
        <w:numPr>
          <w:ilvl w:val="0"/>
          <w:numId w:val="2"/>
        </w:numPr>
        <w:shd w:val="clear" w:color="auto" w:fill="FFFFFF"/>
        <w:kinsoku/>
        <w:wordWrap/>
        <w:overflowPunct/>
        <w:topLinePunct w:val="0"/>
        <w:autoSpaceDE/>
        <w:autoSpaceDN/>
        <w:bidi w:val="0"/>
        <w:adjustRightInd/>
        <w:snapToGrid/>
        <w:spacing w:line="560" w:lineRule="exact"/>
        <w:ind w:firstLine="643" w:firstLineChars="200"/>
        <w:textAlignment w:val="auto"/>
        <w:rPr>
          <w:rFonts w:hint="eastAsia" w:ascii="仿宋_GB2312" w:hAnsi="Calibri" w:eastAsia="仿宋_GB2312" w:cs="Times New Roman"/>
          <w:color w:val="auto"/>
          <w:sz w:val="32"/>
          <w:szCs w:val="32"/>
          <w:lang w:val="en-US" w:eastAsia="zh-CN"/>
        </w:rPr>
      </w:pPr>
      <w:r>
        <w:rPr>
          <w:rFonts w:hint="eastAsia" w:ascii="楷体_GB2312" w:hAnsi="楷体_GB2312" w:eastAsia="楷体_GB2312" w:cs="楷体_GB2312"/>
          <w:b/>
          <w:bCs/>
          <w:color w:val="auto"/>
          <w:kern w:val="0"/>
          <w:sz w:val="32"/>
          <w:szCs w:val="32"/>
          <w:shd w:val="clear" w:color="auto" w:fill="FFFFFF"/>
          <w:lang w:val="en-US" w:eastAsia="zh-CN" w:bidi="ar-SA"/>
        </w:rPr>
        <w:t>经</w:t>
      </w:r>
      <w:r>
        <w:rPr>
          <w:rFonts w:hint="eastAsia" w:ascii="楷体_GB2312" w:hAnsi="楷体_GB2312" w:eastAsia="楷体_GB2312" w:cs="楷体_GB2312"/>
          <w:b/>
          <w:bCs/>
          <w:color w:val="auto"/>
          <w:kern w:val="0"/>
          <w:sz w:val="32"/>
          <w:szCs w:val="32"/>
          <w:shd w:val="clear" w:color="auto" w:fill="FFFFFF"/>
        </w:rPr>
        <w:t>济性方面。</w:t>
      </w:r>
      <w:r>
        <w:rPr>
          <w:rFonts w:hint="eastAsia" w:ascii="仿宋_GB2312" w:hAnsi="Calibri" w:eastAsia="仿宋_GB2312" w:cs="Times New Roman"/>
          <w:color w:val="auto"/>
          <w:sz w:val="32"/>
          <w:szCs w:val="32"/>
          <w:lang w:val="en-US" w:eastAsia="zh-CN"/>
        </w:rPr>
        <w:t>2023年全年按照部门预算进行成本控制，单位的日常性工作开支严格按预算执行，其中：公务接待费0.45万元；车辆购置及运行费0万元，全部控制在厉行节约指标数内。</w:t>
      </w:r>
    </w:p>
    <w:p w14:paraId="4144240E">
      <w:pPr>
        <w:keepNext w:val="0"/>
        <w:keepLines w:val="0"/>
        <w:pageBreakBefore w:val="0"/>
        <w:widowControl/>
        <w:numPr>
          <w:ilvl w:val="0"/>
          <w:numId w:val="0"/>
        </w:numPr>
        <w:shd w:val="clear" w:color="auto" w:fill="FFFFFF"/>
        <w:kinsoku/>
        <w:wordWrap/>
        <w:overflowPunct/>
        <w:topLinePunct w:val="0"/>
        <w:autoSpaceDE w:val="0"/>
        <w:autoSpaceDN/>
        <w:bidi w:val="0"/>
        <w:adjustRightInd/>
        <w:snapToGrid/>
        <w:spacing w:line="600" w:lineRule="exact"/>
        <w:ind w:firstLine="643" w:firstLineChars="200"/>
        <w:textAlignment w:val="auto"/>
        <w:rPr>
          <w:rFonts w:hint="eastAsia" w:ascii="Times New Roman" w:hAnsi="Times New Roman" w:eastAsia="仿宋_GB2312"/>
          <w:color w:val="000000"/>
          <w:sz w:val="32"/>
          <w:szCs w:val="32"/>
          <w:lang w:eastAsia="zh-CN"/>
        </w:rPr>
      </w:pPr>
      <w:r>
        <w:rPr>
          <w:rFonts w:hint="eastAsia" w:ascii="楷体_GB2312" w:hAnsi="楷体_GB2312" w:eastAsia="楷体_GB2312" w:cs="楷体_GB2312"/>
          <w:b/>
          <w:bCs/>
          <w:color w:val="auto"/>
          <w:kern w:val="0"/>
          <w:sz w:val="32"/>
          <w:szCs w:val="32"/>
          <w:shd w:val="clear" w:color="auto" w:fill="FFFFFF"/>
        </w:rPr>
        <w:t>效率性方面。</w:t>
      </w:r>
      <w:r>
        <w:rPr>
          <w:rFonts w:hint="eastAsia" w:ascii="Times New Roman" w:hAnsi="Times New Roman" w:eastAsia="仿宋_GB2312" w:cs="Times New Roman"/>
          <w:color w:val="000000"/>
          <w:sz w:val="32"/>
          <w:szCs w:val="32"/>
          <w:lang w:val="en-US" w:eastAsia="zh-CN"/>
        </w:rPr>
        <w:t>主动作为，紧紧围绕县委“一堡五高地”战略做好机构编制服务保障工作。</w:t>
      </w:r>
      <w:r>
        <w:rPr>
          <w:rFonts w:hint="eastAsia" w:ascii="Times New Roman" w:hAnsi="Times New Roman" w:eastAsia="仿宋_GB2312" w:cs="Times New Roman"/>
          <w:b/>
          <w:bCs/>
          <w:color w:val="000000"/>
          <w:sz w:val="32"/>
          <w:szCs w:val="32"/>
          <w:lang w:val="en-US" w:eastAsia="zh-CN"/>
        </w:rPr>
        <w:t>一是</w:t>
      </w:r>
      <w:r>
        <w:rPr>
          <w:rFonts w:hint="eastAsia" w:ascii="Times New Roman" w:hAnsi="Times New Roman" w:eastAsia="仿宋_GB2312" w:cs="Times New Roman"/>
          <w:color w:val="000000"/>
          <w:sz w:val="32"/>
          <w:szCs w:val="32"/>
          <w:lang w:val="en-US" w:eastAsia="zh-CN"/>
        </w:rPr>
        <w:t>深入落实县委工作要求。制定全县检验检测机构整合方案，并前往东安县、平江县开展检验检测机构调研工作，全力推进全县检验检测机构整合工作</w:t>
      </w:r>
      <w:r>
        <w:rPr>
          <w:rFonts w:hint="eastAsia" w:ascii="Times New Roman" w:hAnsi="Times New Roman" w:eastAsia="仿宋_GB2312"/>
          <w:color w:val="000000"/>
          <w:sz w:val="32"/>
          <w:szCs w:val="32"/>
          <w:lang w:eastAsia="zh-CN"/>
        </w:rPr>
        <w:t>，积极加强我县</w:t>
      </w:r>
      <w:r>
        <w:rPr>
          <w:rFonts w:hAnsi="仿宋_GB2312" w:eastAsia="仿宋_GB2312"/>
          <w:sz w:val="32"/>
          <w:szCs w:val="32"/>
        </w:rPr>
        <w:t>检验检测</w:t>
      </w:r>
      <w:r>
        <w:rPr>
          <w:rFonts w:hint="eastAsia" w:hAnsi="仿宋_GB2312" w:eastAsia="仿宋_GB2312"/>
          <w:sz w:val="32"/>
          <w:szCs w:val="32"/>
          <w:lang w:eastAsia="zh-CN"/>
        </w:rPr>
        <w:t>能力，</w:t>
      </w:r>
      <w:r>
        <w:rPr>
          <w:rFonts w:hAnsi="仿宋_GB2312" w:eastAsia="仿宋_GB2312"/>
          <w:sz w:val="32"/>
          <w:szCs w:val="32"/>
        </w:rPr>
        <w:t>提升产品市场竞争力，</w:t>
      </w:r>
      <w:r>
        <w:rPr>
          <w:rFonts w:hint="eastAsia" w:hAnsi="仿宋_GB2312" w:eastAsia="仿宋_GB2312"/>
          <w:sz w:val="32"/>
          <w:szCs w:val="32"/>
          <w:lang w:eastAsia="zh-CN"/>
        </w:rPr>
        <w:t>为</w:t>
      </w:r>
      <w:r>
        <w:rPr>
          <w:rFonts w:hAnsi="仿宋_GB2312" w:eastAsia="仿宋_GB2312"/>
          <w:sz w:val="32"/>
          <w:szCs w:val="32"/>
        </w:rPr>
        <w:t>产业壮大</w:t>
      </w:r>
      <w:r>
        <w:rPr>
          <w:rFonts w:hint="eastAsia" w:hAnsi="仿宋_GB2312" w:eastAsia="仿宋_GB2312"/>
          <w:sz w:val="32"/>
          <w:szCs w:val="32"/>
          <w:lang w:eastAsia="zh-CN"/>
        </w:rPr>
        <w:t>提供基础支撑</w:t>
      </w:r>
      <w:r>
        <w:rPr>
          <w:rFonts w:hint="eastAsia" w:ascii="Times New Roman" w:hAnsi="Times New Roman" w:eastAsia="仿宋_GB2312"/>
          <w:color w:val="000000"/>
          <w:sz w:val="32"/>
          <w:szCs w:val="32"/>
          <w:lang w:eastAsia="zh-CN"/>
        </w:rPr>
        <w:t>。</w:t>
      </w:r>
      <w:r>
        <w:rPr>
          <w:rFonts w:hint="eastAsia" w:ascii="Times New Roman" w:hAnsi="Times New Roman" w:eastAsia="仿宋_GB2312"/>
          <w:b/>
          <w:bCs/>
          <w:color w:val="000000"/>
          <w:sz w:val="32"/>
          <w:szCs w:val="32"/>
          <w:lang w:eastAsia="zh-CN"/>
        </w:rPr>
        <w:t>二是</w:t>
      </w:r>
      <w:r>
        <w:rPr>
          <w:rFonts w:hint="eastAsia" w:ascii="Times New Roman" w:hAnsi="Times New Roman" w:eastAsia="仿宋_GB2312"/>
          <w:color w:val="000000"/>
          <w:sz w:val="32"/>
          <w:szCs w:val="32"/>
          <w:lang w:eastAsia="zh-CN"/>
        </w:rPr>
        <w:t>加强编制资源向医疗、教育等重点民生部门倾斜。</w:t>
      </w:r>
      <w:r>
        <w:rPr>
          <w:rFonts w:hint="eastAsia" w:ascii="Times New Roman" w:hAnsi="Times New Roman" w:eastAsia="仿宋_GB2312" w:cs="Times New Roman"/>
          <w:b w:val="0"/>
          <w:bCs w:val="0"/>
          <w:kern w:val="0"/>
          <w:sz w:val="31"/>
          <w:szCs w:val="31"/>
          <w:lang w:val="en-US" w:eastAsia="zh-CN" w:bidi="ar"/>
        </w:rPr>
        <w:t>按要求对公立医院、公立学校进行党政分设，经市委编委同意后，新晃一中、人民医院书记、</w:t>
      </w:r>
      <w:r>
        <w:rPr>
          <w:rFonts w:hint="eastAsia" w:hAnsi="仿宋_GB2312" w:eastAsia="仿宋_GB2312"/>
          <w:color w:val="000000"/>
          <w:sz w:val="32"/>
          <w:szCs w:val="36"/>
        </w:rPr>
        <w:t>校长</w:t>
      </w:r>
      <w:r>
        <w:rPr>
          <w:rFonts w:hint="eastAsia" w:hAnsi="仿宋_GB2312" w:eastAsia="仿宋_GB2312"/>
          <w:color w:val="000000"/>
          <w:sz w:val="32"/>
          <w:szCs w:val="36"/>
          <w:lang w:eastAsia="zh-CN"/>
        </w:rPr>
        <w:t>分设，有力加强了</w:t>
      </w:r>
      <w:r>
        <w:rPr>
          <w:rFonts w:hint="eastAsia" w:hAnsi="仿宋_GB2312" w:eastAsia="仿宋_GB2312"/>
          <w:color w:val="000000"/>
          <w:sz w:val="32"/>
          <w:szCs w:val="36"/>
        </w:rPr>
        <w:t>党对</w:t>
      </w:r>
      <w:r>
        <w:rPr>
          <w:rFonts w:hint="eastAsia" w:hAnsi="仿宋_GB2312" w:eastAsia="仿宋_GB2312"/>
          <w:color w:val="000000"/>
          <w:sz w:val="32"/>
          <w:szCs w:val="36"/>
          <w:lang w:eastAsia="zh-CN"/>
        </w:rPr>
        <w:t>医疗、</w:t>
      </w:r>
      <w:r>
        <w:rPr>
          <w:rFonts w:hint="eastAsia" w:hAnsi="仿宋_GB2312" w:eastAsia="仿宋_GB2312"/>
          <w:color w:val="000000"/>
          <w:sz w:val="32"/>
          <w:szCs w:val="36"/>
        </w:rPr>
        <w:t>教育工作的全面领导，健全发挥</w:t>
      </w:r>
      <w:r>
        <w:rPr>
          <w:rFonts w:hint="eastAsia" w:hAnsi="仿宋_GB2312" w:eastAsia="仿宋_GB2312"/>
          <w:color w:val="000000"/>
          <w:sz w:val="32"/>
          <w:szCs w:val="36"/>
          <w:lang w:eastAsia="zh-CN"/>
        </w:rPr>
        <w:t>公立医院、</w:t>
      </w:r>
      <w:r>
        <w:rPr>
          <w:rFonts w:hint="eastAsia" w:hAnsi="仿宋_GB2312" w:eastAsia="仿宋_GB2312"/>
          <w:color w:val="000000"/>
          <w:sz w:val="32"/>
          <w:szCs w:val="36"/>
        </w:rPr>
        <w:t>中小学校党组织领导作用的体制机制</w:t>
      </w:r>
      <w:r>
        <w:rPr>
          <w:rFonts w:hint="eastAsia" w:ascii="Times New Roman" w:hAnsi="Times New Roman" w:eastAsia="仿宋_GB2312" w:cs="Times New Roman"/>
          <w:b w:val="0"/>
          <w:bCs w:val="0"/>
          <w:kern w:val="0"/>
          <w:sz w:val="31"/>
          <w:szCs w:val="31"/>
          <w:lang w:val="en-US" w:eastAsia="zh-CN" w:bidi="ar"/>
        </w:rPr>
        <w:t>。</w:t>
      </w:r>
      <w:r>
        <w:rPr>
          <w:rFonts w:hint="eastAsia" w:ascii="Times New Roman" w:hAnsi="Times New Roman" w:eastAsia="仿宋_GB2312" w:cs="Times New Roman"/>
          <w:b/>
          <w:bCs/>
          <w:sz w:val="32"/>
          <w:szCs w:val="32"/>
          <w:lang w:eastAsia="zh-CN"/>
        </w:rPr>
        <w:t>三</w:t>
      </w:r>
      <w:r>
        <w:rPr>
          <w:rFonts w:hint="default" w:ascii="Times New Roman" w:hAnsi="Times New Roman" w:eastAsia="仿宋_GB2312" w:cs="Times New Roman"/>
          <w:b/>
          <w:bCs/>
          <w:sz w:val="32"/>
          <w:szCs w:val="32"/>
          <w:lang w:eastAsia="zh-CN"/>
        </w:rPr>
        <w:t>是</w:t>
      </w:r>
      <w:r>
        <w:rPr>
          <w:rFonts w:hint="default" w:ascii="Times New Roman" w:hAnsi="Times New Roman" w:eastAsia="仿宋_GB2312" w:cs="Times New Roman"/>
          <w:sz w:val="32"/>
          <w:szCs w:val="32"/>
          <w:lang w:eastAsia="zh-CN"/>
        </w:rPr>
        <w:t>全面</w:t>
      </w:r>
      <w:r>
        <w:rPr>
          <w:rFonts w:hint="default" w:ascii="Times New Roman" w:hAnsi="Times New Roman" w:eastAsia="仿宋_GB2312" w:cs="Times New Roman"/>
          <w:sz w:val="32"/>
          <w:szCs w:val="32"/>
        </w:rPr>
        <w:t>完成</w:t>
      </w:r>
      <w:r>
        <w:rPr>
          <w:rFonts w:hint="default" w:ascii="Times New Roman" w:hAnsi="Times New Roman" w:eastAsia="仿宋_GB2312" w:cs="Times New Roman"/>
          <w:sz w:val="32"/>
          <w:szCs w:val="32"/>
          <w:lang w:eastAsia="zh-CN"/>
        </w:rPr>
        <w:t>了</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年度事业单位法人年度报告工作。</w:t>
      </w:r>
      <w:r>
        <w:rPr>
          <w:rFonts w:hint="default" w:ascii="Times New Roman" w:hAnsi="Times New Roman" w:eastAsia="仿宋_GB2312" w:cs="Times New Roman"/>
          <w:sz w:val="32"/>
          <w:szCs w:val="32"/>
          <w:lang w:eastAsia="zh-CN"/>
        </w:rPr>
        <w:t>全年</w:t>
      </w:r>
      <w:r>
        <w:rPr>
          <w:rFonts w:hint="default" w:ascii="Times New Roman" w:hAnsi="Times New Roman" w:eastAsia="仿宋_GB2312" w:cs="Times New Roman"/>
          <w:sz w:val="32"/>
          <w:szCs w:val="32"/>
        </w:rPr>
        <w:t>应公示事业单位</w:t>
      </w:r>
      <w:r>
        <w:rPr>
          <w:rFonts w:hint="default" w:ascii="Times New Roman" w:hAnsi="Times New Roman" w:eastAsia="仿宋_GB2312" w:cs="Times New Roman"/>
          <w:sz w:val="32"/>
          <w:szCs w:val="32"/>
          <w:lang w:val="en-US" w:eastAsia="zh-CN"/>
        </w:rPr>
        <w:t>233</w:t>
      </w:r>
      <w:r>
        <w:rPr>
          <w:rFonts w:hint="default" w:ascii="Times New Roman" w:hAnsi="Times New Roman" w:eastAsia="仿宋_GB2312" w:cs="Times New Roman"/>
          <w:sz w:val="32"/>
          <w:szCs w:val="32"/>
        </w:rPr>
        <w:t>家，实际公示事业单位</w:t>
      </w:r>
      <w:r>
        <w:rPr>
          <w:rFonts w:hint="default" w:ascii="Times New Roman" w:hAnsi="Times New Roman" w:eastAsia="仿宋_GB2312" w:cs="Times New Roman"/>
          <w:sz w:val="32"/>
          <w:szCs w:val="32"/>
          <w:lang w:val="en-US" w:eastAsia="zh-CN"/>
        </w:rPr>
        <w:t>232</w:t>
      </w:r>
      <w:r>
        <w:rPr>
          <w:rFonts w:hint="default" w:ascii="Times New Roman" w:hAnsi="Times New Roman" w:eastAsia="仿宋_GB2312" w:cs="Times New Roman"/>
          <w:sz w:val="32"/>
          <w:szCs w:val="32"/>
        </w:rPr>
        <w:t>家，完成率100%</w:t>
      </w:r>
      <w:r>
        <w:rPr>
          <w:rFonts w:hint="eastAsia" w:ascii="Times New Roman" w:hAnsi="Times New Roman" w:eastAsia="仿宋_GB2312" w:cs="Times New Roman"/>
          <w:sz w:val="32"/>
          <w:szCs w:val="32"/>
          <w:lang w:val="en-US" w:eastAsia="zh-CN"/>
        </w:rPr>
        <w:t>。序时完成网上域名管理工作，全县共有6个机关事业单位自建网站，其中5个已挂标，1个正在挂标</w:t>
      </w:r>
      <w:r>
        <w:rPr>
          <w:rFonts w:hint="default" w:ascii="Times New Roman" w:hAnsi="Times New Roman" w:eastAsia="仿宋_GB2312" w:cs="Times New Roman"/>
          <w:sz w:val="32"/>
          <w:szCs w:val="32"/>
        </w:rPr>
        <w:t>。</w:t>
      </w:r>
      <w:r>
        <w:rPr>
          <w:rFonts w:hint="eastAsia" w:ascii="Times New Roman" w:hAnsi="Times New Roman" w:eastAsia="仿宋_GB2312" w:cs="Times New Roman"/>
          <w:b/>
          <w:bCs/>
          <w:sz w:val="32"/>
          <w:szCs w:val="32"/>
          <w:lang w:eastAsia="zh-CN"/>
        </w:rPr>
        <w:t>四是</w:t>
      </w:r>
      <w:r>
        <w:rPr>
          <w:rFonts w:hint="eastAsia" w:ascii="Times New Roman" w:hAnsi="Times New Roman" w:eastAsia="仿宋_GB2312" w:cs="Times New Roman"/>
          <w:sz w:val="32"/>
          <w:szCs w:val="32"/>
          <w:lang w:eastAsia="zh-CN"/>
        </w:rPr>
        <w:t>大兴调查研究。根据县委文件要求，深入</w:t>
      </w:r>
      <w:r>
        <w:rPr>
          <w:rFonts w:hint="eastAsia" w:ascii="Times New Roman" w:hAnsi="Times New Roman" w:eastAsia="仿宋_GB2312" w:cs="Times New Roman"/>
          <w:sz w:val="32"/>
          <w:szCs w:val="32"/>
          <w:lang w:val="en-US" w:eastAsia="zh-CN"/>
        </w:rPr>
        <w:t>11个</w:t>
      </w:r>
      <w:r>
        <w:rPr>
          <w:rFonts w:hint="eastAsia" w:ascii="Times New Roman" w:hAnsi="Times New Roman" w:eastAsia="仿宋_GB2312" w:cs="Times New Roman"/>
          <w:sz w:val="32"/>
          <w:szCs w:val="32"/>
          <w:lang w:eastAsia="zh-CN"/>
        </w:rPr>
        <w:t>乡镇农业综合服务中心及县直主管部门开展调查研究，进一步</w:t>
      </w:r>
      <w:r>
        <w:rPr>
          <w:rFonts w:hint="eastAsia" w:ascii="Times New Roman" w:hAnsi="Times New Roman" w:eastAsia="仿宋_GB2312" w:cs="Times New Roman"/>
          <w:sz w:val="32"/>
          <w:szCs w:val="32"/>
          <w:lang w:val="en-US" w:eastAsia="zh-CN"/>
        </w:rPr>
        <w:t>探索县直主管部门与乡镇“三中心”体制机制存在的问题</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找准症结、提出对策，</w:t>
      </w:r>
      <w:r>
        <w:rPr>
          <w:rFonts w:hint="default" w:ascii="Times New Roman" w:hAnsi="Times New Roman" w:eastAsia="仿宋_GB2312" w:cs="Times New Roman"/>
          <w:sz w:val="32"/>
          <w:szCs w:val="32"/>
          <w:lang w:val="en-US" w:eastAsia="zh-CN"/>
        </w:rPr>
        <w:t>进一步理顺我县县直</w:t>
      </w:r>
      <w:r>
        <w:rPr>
          <w:rFonts w:hint="eastAsia"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lang w:val="en-US" w:eastAsia="zh-CN"/>
        </w:rPr>
        <w:t>部门与乡镇事业单位</w:t>
      </w:r>
      <w:r>
        <w:rPr>
          <w:rFonts w:hint="eastAsia" w:ascii="Times New Roman" w:hAnsi="Times New Roman" w:eastAsia="仿宋_GB2312" w:cs="Times New Roman"/>
          <w:sz w:val="32"/>
          <w:szCs w:val="32"/>
          <w:lang w:val="en-US" w:eastAsia="zh-CN"/>
        </w:rPr>
        <w:t>的管理体制，</w:t>
      </w:r>
      <w:r>
        <w:rPr>
          <w:rFonts w:hint="eastAsia" w:ascii="仿宋_GB2312" w:hAnsi="仿宋_GB2312" w:eastAsia="仿宋_GB2312" w:cs="仿宋_GB2312"/>
          <w:sz w:val="32"/>
          <w:szCs w:val="32"/>
          <w:lang w:eastAsia="zh-CN"/>
        </w:rPr>
        <w:t>深化基层管理体制机制创新。</w:t>
      </w:r>
    </w:p>
    <w:p w14:paraId="31D97548">
      <w:pPr>
        <w:pStyle w:val="6"/>
        <w:numPr>
          <w:ilvl w:val="0"/>
          <w:numId w:val="0"/>
        </w:numPr>
        <w:ind w:firstLine="640" w:firstLineChars="200"/>
        <w:rPr>
          <w:rFonts w:hint="eastAsia" w:ascii="仿宋_GB2312" w:hAnsi="Calibri" w:eastAsia="仿宋_GB2312" w:cs="Times New Roman"/>
          <w:color w:val="auto"/>
          <w:sz w:val="32"/>
          <w:szCs w:val="32"/>
          <w:lang w:val="en-US" w:eastAsia="zh-CN" w:bidi="ar-SA"/>
        </w:rPr>
      </w:pPr>
    </w:p>
    <w:p w14:paraId="049D0DDF">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Calibri" w:eastAsia="仿宋_GB2312" w:cs="Times New Roman"/>
          <w:color w:val="auto"/>
          <w:sz w:val="32"/>
          <w:szCs w:val="32"/>
          <w:lang w:val="en-US" w:eastAsia="zh-CN"/>
        </w:rPr>
      </w:pPr>
      <w:r>
        <w:rPr>
          <w:rFonts w:hint="eastAsia" w:ascii="楷体_GB2312" w:hAnsi="楷体_GB2312" w:eastAsia="楷体_GB2312" w:cs="楷体_GB2312"/>
          <w:b/>
          <w:bCs/>
          <w:color w:val="auto"/>
          <w:kern w:val="0"/>
          <w:sz w:val="32"/>
          <w:szCs w:val="32"/>
          <w:shd w:val="clear" w:color="auto" w:fill="FFFFFF"/>
          <w:lang w:val="en-US" w:eastAsia="zh-CN" w:bidi="ar-SA"/>
        </w:rPr>
        <w:t>（三）有效性方面。</w:t>
      </w:r>
      <w:r>
        <w:rPr>
          <w:rFonts w:hint="eastAsia" w:ascii="仿宋_GB2312" w:hAnsi="Calibri" w:eastAsia="仿宋_GB2312" w:cs="Times New Roman"/>
          <w:color w:val="auto"/>
          <w:sz w:val="32"/>
          <w:szCs w:val="32"/>
          <w:lang w:val="en-US" w:eastAsia="zh-CN"/>
        </w:rPr>
        <w:t>部门支出的有效性主要体现在我单位各项工作成效上，组织工作常态化、制度化水平得到提高，规范化建设得到长足发展。</w:t>
      </w:r>
    </w:p>
    <w:p w14:paraId="77E239D6">
      <w:pPr>
        <w:keepNext w:val="0"/>
        <w:keepLines w:val="0"/>
        <w:pageBreakBefore w:val="0"/>
        <w:kinsoku/>
        <w:wordWrap/>
        <w:overflowPunct/>
        <w:topLinePunct w:val="0"/>
        <w:autoSpaceDE w:val="0"/>
        <w:autoSpaceDN/>
        <w:bidi w:val="0"/>
        <w:adjustRightInd/>
        <w:snapToGrid/>
        <w:spacing w:line="580" w:lineRule="exact"/>
        <w:ind w:firstLine="630" w:firstLineChars="196"/>
        <w:textAlignment w:val="auto"/>
        <w:rPr>
          <w:rFonts w:hint="eastAsia" w:ascii="Times New Roman" w:hAnsi="Times New Roman" w:eastAsia="仿宋_GB2312" w:cs="Times New Roman"/>
          <w:color w:val="0000FF"/>
          <w:sz w:val="32"/>
          <w:szCs w:val="32"/>
          <w:lang w:val="en-US" w:eastAsia="zh-CN"/>
        </w:rPr>
      </w:pPr>
      <w:r>
        <w:rPr>
          <w:rFonts w:hint="eastAsia" w:ascii="楷体_GB2312" w:hAnsi="楷体_GB2312" w:eastAsia="楷体_GB2312" w:cs="楷体_GB2312"/>
          <w:b/>
          <w:bCs/>
          <w:color w:val="auto"/>
          <w:kern w:val="0"/>
          <w:sz w:val="32"/>
          <w:szCs w:val="32"/>
          <w:shd w:val="clear" w:color="auto" w:fill="FFFFFF"/>
          <w:lang w:val="en-US" w:eastAsia="zh-CN" w:bidi="ar-SA"/>
        </w:rPr>
        <w:t>（四）可持续性方面。</w:t>
      </w:r>
      <w:r>
        <w:rPr>
          <w:rFonts w:hint="default" w:ascii="Times New Roman" w:hAnsi="Times New Roman" w:eastAsia="仿宋_GB2312" w:cs="Times New Roman"/>
          <w:color w:val="auto"/>
          <w:sz w:val="32"/>
          <w:szCs w:val="32"/>
        </w:rPr>
        <w:t>一是坚持党对机构编制工作的集中统一领导，坚决落实党中央关</w:t>
      </w:r>
      <w:r>
        <w:rPr>
          <w:rFonts w:hint="default" w:ascii="Times New Roman" w:hAnsi="Times New Roman" w:eastAsia="仿宋_GB2312" w:cs="Times New Roman"/>
          <w:color w:val="000000"/>
          <w:sz w:val="32"/>
          <w:szCs w:val="32"/>
        </w:rPr>
        <w:t>于机构编制工作的方针政策和决策部署，自觉把“两个维护”体现到工作实践中。二是继续加强党政机构职能统筹，优化党委有关机构设置、职能配置和编制配备，强化党的组织在同级组织中的领导地位，从体制机制、机构职能上把加强党的领导落实到各领域各环节。三是严格落实归口组织部门管理要求，自觉在党管干部、党管组织的大系统中谋划和推动机构编制工作，强化工作统筹、业务协同，为践行新时代党的组织路线提供保障。</w:t>
      </w:r>
    </w:p>
    <w:p w14:paraId="08858D76">
      <w:pPr>
        <w:spacing w:line="560" w:lineRule="exact"/>
        <w:ind w:firstLine="643" w:firstLineChars="200"/>
        <w:jc w:val="left"/>
        <w:rPr>
          <w:rFonts w:hint="eastAsia" w:ascii="楷体_GB2312" w:hAnsi="楷体_GB2312" w:eastAsia="楷体_GB2312" w:cs="楷体_GB2312"/>
          <w:b/>
          <w:bCs/>
          <w:color w:val="auto"/>
          <w:kern w:val="0"/>
          <w:sz w:val="32"/>
          <w:szCs w:val="32"/>
          <w:shd w:val="clear" w:color="auto" w:fill="FFFFFF"/>
          <w:lang w:val="en-US" w:eastAsia="zh-CN" w:bidi="ar-SA"/>
        </w:rPr>
      </w:pPr>
      <w:r>
        <w:rPr>
          <w:rFonts w:hint="eastAsia" w:ascii="楷体_GB2312" w:hAnsi="楷体_GB2312" w:eastAsia="楷体_GB2312" w:cs="楷体_GB2312"/>
          <w:b/>
          <w:bCs/>
          <w:color w:val="auto"/>
          <w:kern w:val="0"/>
          <w:sz w:val="32"/>
          <w:szCs w:val="32"/>
          <w:shd w:val="clear" w:color="auto" w:fill="FFFFFF"/>
          <w:lang w:val="en-US" w:eastAsia="zh-CN" w:bidi="ar-SA"/>
        </w:rPr>
        <w:t>三、存在的问题及原因</w:t>
      </w:r>
    </w:p>
    <w:p w14:paraId="3395246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color w:val="auto"/>
          <w:sz w:val="32"/>
          <w:szCs w:val="32"/>
          <w:lang w:val="en-US" w:eastAsia="zh-CN"/>
        </w:rPr>
        <w:t>由于单位人员较少，工作任务重，在固定资产管理方面存在不是很规范的情况，在资产管理方面需要加强。</w:t>
      </w:r>
    </w:p>
    <w:p w14:paraId="2EAEC58A">
      <w:pPr>
        <w:spacing w:line="560" w:lineRule="exact"/>
        <w:ind w:firstLine="643" w:firstLineChars="200"/>
        <w:jc w:val="left"/>
        <w:rPr>
          <w:rFonts w:hint="eastAsia" w:ascii="楷体_GB2312" w:hAnsi="楷体_GB2312" w:eastAsia="楷体_GB2312" w:cs="楷体_GB2312"/>
          <w:b/>
          <w:bCs/>
          <w:color w:val="auto"/>
          <w:kern w:val="0"/>
          <w:sz w:val="32"/>
          <w:szCs w:val="32"/>
          <w:shd w:val="clear" w:color="auto" w:fill="FFFFFF"/>
          <w:lang w:val="en-US" w:eastAsia="zh-CN" w:bidi="ar-SA"/>
        </w:rPr>
      </w:pPr>
      <w:r>
        <w:rPr>
          <w:rFonts w:hint="eastAsia" w:ascii="楷体_GB2312" w:hAnsi="楷体_GB2312" w:eastAsia="楷体_GB2312" w:cs="楷体_GB2312"/>
          <w:b/>
          <w:bCs/>
          <w:color w:val="auto"/>
          <w:kern w:val="0"/>
          <w:sz w:val="32"/>
          <w:szCs w:val="32"/>
          <w:shd w:val="clear" w:color="auto" w:fill="FFFFFF"/>
          <w:lang w:val="en-US" w:eastAsia="zh-CN" w:bidi="ar-SA"/>
        </w:rPr>
        <w:t>四、提高财政资金绩效的措施与建议</w:t>
      </w:r>
    </w:p>
    <w:p w14:paraId="6C668A9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Calibri" w:eastAsia="仿宋_GB2312" w:cs="Times New Roman"/>
          <w:color w:val="auto"/>
          <w:sz w:val="32"/>
          <w:szCs w:val="32"/>
          <w:lang w:val="en-US" w:eastAsia="zh-CN"/>
        </w:rPr>
      </w:pPr>
      <w:r>
        <w:rPr>
          <w:rFonts w:hint="eastAsia" w:ascii="仿宋_GB2312" w:hAnsi="Calibri" w:eastAsia="仿宋_GB2312" w:cs="Times New Roman"/>
          <w:sz w:val="32"/>
          <w:szCs w:val="32"/>
          <w:lang w:val="en-US" w:eastAsia="zh-CN"/>
        </w:rPr>
        <w:t>财政预算资金下达时间较晚，再加上财政困难，很多资金往往在年底才能落实，不利于年度预算的执行以及项目支出按计划的正常实施。建议财政及时下达预算资金，确保预算的正常执行</w:t>
      </w:r>
      <w:r>
        <w:rPr>
          <w:rFonts w:hint="eastAsia" w:ascii="仿宋_GB2312" w:hAnsi="Calibri" w:eastAsia="仿宋_GB2312" w:cs="Times New Roman"/>
          <w:color w:val="auto"/>
          <w:sz w:val="32"/>
          <w:szCs w:val="32"/>
          <w:lang w:val="en-US" w:eastAsia="zh-CN"/>
        </w:rPr>
        <w:t>。</w:t>
      </w:r>
    </w:p>
    <w:p w14:paraId="723C8A1E">
      <w:pPr>
        <w:spacing w:line="560" w:lineRule="exact"/>
        <w:ind w:firstLine="640" w:firstLineChars="200"/>
        <w:jc w:val="left"/>
        <w:rPr>
          <w:rFonts w:eastAsia="仿宋_GB2312"/>
          <w:color w:val="0000FF"/>
          <w:sz w:val="32"/>
          <w:szCs w:val="32"/>
        </w:rPr>
      </w:pPr>
    </w:p>
    <w:p w14:paraId="313289B5">
      <w:pPr>
        <w:spacing w:line="400" w:lineRule="exact"/>
        <w:jc w:val="left"/>
        <w:rPr>
          <w:color w:val="auto"/>
        </w:rPr>
      </w:pPr>
      <w:bookmarkStart w:id="0" w:name="_GoBack"/>
      <w:bookmarkEnd w:id="0"/>
    </w:p>
    <w:sectPr>
      <w:pgSz w:w="11906" w:h="16838"/>
      <w:pgMar w:top="1440" w:right="1689" w:bottom="1440" w:left="1689"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粗宋简体">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D67F9"/>
    <w:multiLevelType w:val="singleLevel"/>
    <w:tmpl w:val="1FCD67F9"/>
    <w:lvl w:ilvl="0" w:tentative="0">
      <w:start w:val="2"/>
      <w:numFmt w:val="chineseCounting"/>
      <w:suff w:val="nothing"/>
      <w:lvlText w:val="（%1）"/>
      <w:lvlJc w:val="left"/>
      <w:rPr>
        <w:rFonts w:hint="eastAsia"/>
      </w:rPr>
    </w:lvl>
  </w:abstractNum>
  <w:abstractNum w:abstractNumId="1">
    <w:nsid w:val="3CB6695A"/>
    <w:multiLevelType w:val="singleLevel"/>
    <w:tmpl w:val="3CB6695A"/>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iNzM4ZThjZWYxN2FjMzZhY2I0ZDM1NDViNDQxMDUifQ=="/>
  </w:docVars>
  <w:rsids>
    <w:rsidRoot w:val="00000000"/>
    <w:rsid w:val="007A1658"/>
    <w:rsid w:val="013C246A"/>
    <w:rsid w:val="04A15406"/>
    <w:rsid w:val="05EA2DDC"/>
    <w:rsid w:val="0BA47589"/>
    <w:rsid w:val="0C4B0A7D"/>
    <w:rsid w:val="0D1644B7"/>
    <w:rsid w:val="0D481A5A"/>
    <w:rsid w:val="0E7B6CC7"/>
    <w:rsid w:val="121C431D"/>
    <w:rsid w:val="13904C94"/>
    <w:rsid w:val="158D63B9"/>
    <w:rsid w:val="15CF1017"/>
    <w:rsid w:val="18344137"/>
    <w:rsid w:val="187C5652"/>
    <w:rsid w:val="190F0738"/>
    <w:rsid w:val="1C427076"/>
    <w:rsid w:val="22EA5D72"/>
    <w:rsid w:val="23203542"/>
    <w:rsid w:val="298E7457"/>
    <w:rsid w:val="2FEA1696"/>
    <w:rsid w:val="30896BCA"/>
    <w:rsid w:val="3316226B"/>
    <w:rsid w:val="37022B95"/>
    <w:rsid w:val="3C464938"/>
    <w:rsid w:val="3CCC3105"/>
    <w:rsid w:val="3D612398"/>
    <w:rsid w:val="3E5A3B6A"/>
    <w:rsid w:val="3FB33DB6"/>
    <w:rsid w:val="41831414"/>
    <w:rsid w:val="4183425E"/>
    <w:rsid w:val="42402E61"/>
    <w:rsid w:val="4377225A"/>
    <w:rsid w:val="448E07FB"/>
    <w:rsid w:val="44F87A23"/>
    <w:rsid w:val="453E3FCF"/>
    <w:rsid w:val="4A426CA7"/>
    <w:rsid w:val="4BBA69BC"/>
    <w:rsid w:val="4C7A1C1B"/>
    <w:rsid w:val="54EC4841"/>
    <w:rsid w:val="559B68D4"/>
    <w:rsid w:val="56050C0A"/>
    <w:rsid w:val="58A837F3"/>
    <w:rsid w:val="5B7B51DE"/>
    <w:rsid w:val="5C353A58"/>
    <w:rsid w:val="5F667F53"/>
    <w:rsid w:val="5FE6061C"/>
    <w:rsid w:val="60183D51"/>
    <w:rsid w:val="61BA4586"/>
    <w:rsid w:val="61E15FB7"/>
    <w:rsid w:val="62516C98"/>
    <w:rsid w:val="62AF4A87"/>
    <w:rsid w:val="63F55D49"/>
    <w:rsid w:val="64AC28AC"/>
    <w:rsid w:val="65D5373C"/>
    <w:rsid w:val="66142010"/>
    <w:rsid w:val="672C7CD4"/>
    <w:rsid w:val="67AE06E9"/>
    <w:rsid w:val="699E02E9"/>
    <w:rsid w:val="69AA20B7"/>
    <w:rsid w:val="6A34065C"/>
    <w:rsid w:val="6CF21078"/>
    <w:rsid w:val="6D074F9B"/>
    <w:rsid w:val="6FEF7AF1"/>
    <w:rsid w:val="708954D8"/>
    <w:rsid w:val="71341344"/>
    <w:rsid w:val="73EC4A73"/>
    <w:rsid w:val="76D1633B"/>
    <w:rsid w:val="78A21BA4"/>
    <w:rsid w:val="79E47AF0"/>
    <w:rsid w:val="7A734E92"/>
    <w:rsid w:val="7B42766E"/>
    <w:rsid w:val="7BD03592"/>
    <w:rsid w:val="7BE424D4"/>
    <w:rsid w:val="7C8F68E3"/>
    <w:rsid w:val="7ECD36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paragraph" w:styleId="2">
    <w:name w:val="heading 1"/>
    <w:basedOn w:val="1"/>
    <w:next w:val="1"/>
    <w:qFormat/>
    <w:uiPriority w:val="99"/>
    <w:pPr>
      <w:keepNext/>
      <w:keepLines/>
      <w:spacing w:line="576" w:lineRule="auto"/>
      <w:outlineLvl w:val="0"/>
    </w:pPr>
    <w:rPr>
      <w:b/>
      <w:kern w:val="44"/>
      <w:sz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99"/>
    <w:pPr>
      <w:spacing w:after="120"/>
      <w:ind w:left="420" w:leftChars="200"/>
    </w:pPr>
  </w:style>
  <w:style w:type="paragraph" w:styleId="4">
    <w:name w:val="footer"/>
    <w:basedOn w:val="1"/>
    <w:qFormat/>
    <w:uiPriority w:val="0"/>
    <w:pPr>
      <w:tabs>
        <w:tab w:val="center" w:pos="4153"/>
        <w:tab w:val="right" w:pos="8306"/>
      </w:tabs>
      <w:snapToGrid w:val="0"/>
      <w:spacing w:line="240" w:lineRule="atLeast"/>
      <w:jc w:val="left"/>
    </w:pPr>
    <w:rPr>
      <w:sz w:val="18"/>
      <w:szCs w:val="18"/>
    </w:rPr>
  </w:style>
  <w:style w:type="paragraph" w:styleId="5">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6">
    <w:name w:val="Body Text First Indent 2"/>
    <w:basedOn w:val="3"/>
    <w:next w:val="1"/>
    <w:qFormat/>
    <w:uiPriority w:val="99"/>
    <w:pPr>
      <w:ind w:firstLine="42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bCs/>
    </w:rPr>
  </w:style>
  <w:style w:type="character" w:styleId="11">
    <w:name w:val="page number"/>
    <w:basedOn w:val="9"/>
    <w:qFormat/>
    <w:uiPriority w:val="0"/>
  </w:style>
  <w:style w:type="character" w:customStyle="1" w:styleId="12">
    <w:name w:val="NormalCharacter"/>
    <w:link w:val="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2433</Words>
  <Characters>2520</Characters>
  <Lines>0</Lines>
  <Paragraphs>0</Paragraphs>
  <TotalTime>16</TotalTime>
  <ScaleCrop>false</ScaleCrop>
  <LinksUpToDate>false</LinksUpToDate>
  <CharactersWithSpaces>2577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2022-05-23T04:43:00Z</dcterms:created>
  <dc:creator>Administrator</dc:creator>
  <cp:lastModifiedBy>lucky  star</cp:lastModifiedBy>
  <dcterms:modified xsi:type="dcterms:W3CDTF">2024-10-21T02:56:51Z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F24D25ACFE4E47588A99E7031023AD16</vt:lpwstr>
  </property>
</Properties>
</file>