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sz w:val="24"/>
        </w:rPr>
      </w:pPr>
      <w:r>
        <w:rPr>
          <w:rFonts w:hint="eastAsia" w:ascii="仿宋_GB2312" w:hAnsi="仿宋_GB2312" w:eastAsia="仿宋_GB2312" w:cs="仿宋_GB2312"/>
          <w:sz w:val="24"/>
        </w:rPr>
        <w:t>附件1-1</w:t>
      </w:r>
    </w:p>
    <w:p>
      <w:pPr>
        <w:spacing w:line="500" w:lineRule="exact"/>
        <w:jc w:val="center"/>
        <w:rPr>
          <w:rFonts w:hint="eastAsia" w:eastAsia="方正粗宋简体"/>
          <w:w w:val="85"/>
          <w:sz w:val="36"/>
          <w:szCs w:val="36"/>
        </w:rPr>
      </w:pPr>
      <w:r>
        <w:rPr>
          <w:rFonts w:hint="eastAsia" w:eastAsia="方正粗宋简体"/>
          <w:w w:val="85"/>
          <w:sz w:val="36"/>
          <w:szCs w:val="36"/>
          <w:lang w:eastAsia="zh-CN"/>
        </w:rPr>
        <w:t>202</w:t>
      </w:r>
      <w:r>
        <w:rPr>
          <w:rFonts w:hint="eastAsia" w:eastAsia="方正粗宋简体"/>
          <w:w w:val="85"/>
          <w:sz w:val="36"/>
          <w:szCs w:val="36"/>
          <w:lang w:val="en-US" w:eastAsia="zh-CN"/>
        </w:rPr>
        <w:t>3</w:t>
      </w:r>
      <w:r>
        <w:rPr>
          <w:rFonts w:hAnsi="方正粗宋简体" w:eastAsia="方正粗宋简体"/>
          <w:w w:val="85"/>
          <w:sz w:val="36"/>
          <w:szCs w:val="36"/>
        </w:rPr>
        <w:t>年度新晃县</w:t>
      </w:r>
      <w:r>
        <w:rPr>
          <w:rFonts w:hint="eastAsia" w:hAnsi="方正粗宋简体" w:eastAsia="方正粗宋简体"/>
          <w:w w:val="85"/>
          <w:sz w:val="36"/>
          <w:szCs w:val="36"/>
          <w:lang w:eastAsia="zh-CN"/>
        </w:rPr>
        <w:t>委编办</w:t>
      </w:r>
      <w:r>
        <w:rPr>
          <w:rFonts w:hAnsi="方正粗宋简体" w:eastAsia="方正粗宋简体"/>
          <w:w w:val="85"/>
          <w:sz w:val="36"/>
          <w:szCs w:val="36"/>
        </w:rPr>
        <w:t>整体支出绩效</w:t>
      </w:r>
      <w:r>
        <w:rPr>
          <w:rFonts w:hint="eastAsia" w:hAnsi="方正粗宋简体" w:eastAsia="方正粗宋简体"/>
          <w:w w:val="85"/>
          <w:sz w:val="36"/>
          <w:szCs w:val="36"/>
        </w:rPr>
        <w:t>自评表</w:t>
      </w:r>
    </w:p>
    <w:tbl>
      <w:tblPr>
        <w:tblStyle w:val="6"/>
        <w:tblW w:w="14417"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79"/>
        <w:gridCol w:w="1179"/>
        <w:gridCol w:w="1226"/>
        <w:gridCol w:w="701"/>
        <w:gridCol w:w="4750"/>
        <w:gridCol w:w="3123"/>
        <w:gridCol w:w="1788"/>
        <w:gridCol w:w="57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8" w:hRule="atLeast"/>
          <w:tblHeader/>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一级指标</w:t>
            </w:r>
          </w:p>
        </w:tc>
        <w:tc>
          <w:tcPr>
            <w:tcW w:w="11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二级指标</w:t>
            </w:r>
          </w:p>
        </w:tc>
        <w:tc>
          <w:tcPr>
            <w:tcW w:w="1226"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三级指标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分值</w:t>
            </w:r>
          </w:p>
        </w:tc>
        <w:tc>
          <w:tcPr>
            <w:tcW w:w="4750"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指标内容</w:t>
            </w:r>
          </w:p>
        </w:tc>
        <w:tc>
          <w:tcPr>
            <w:tcW w:w="3123"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指标评价标</w:t>
            </w:r>
            <w:r>
              <w:rPr>
                <w:rFonts w:hint="eastAsia" w:eastAsia="楷体_GB2312"/>
              </w:rPr>
              <w:t>准</w:t>
            </w:r>
            <w:r>
              <w:rPr>
                <w:rFonts w:eastAsia="楷体_GB2312"/>
              </w:rPr>
              <w:t>及对应分值</w:t>
            </w:r>
          </w:p>
        </w:tc>
        <w:tc>
          <w:tcPr>
            <w:tcW w:w="1788"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指标实际完成情况及依据</w:t>
            </w:r>
          </w:p>
        </w:tc>
        <w:tc>
          <w:tcPr>
            <w:tcW w:w="571"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投入</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14</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预算编制(共</w:t>
            </w:r>
            <w:r>
              <w:rPr>
                <w:rFonts w:hint="eastAsia" w:eastAsia="楷体_GB2312"/>
                <w:sz w:val="18"/>
                <w:szCs w:val="18"/>
              </w:rPr>
              <w:t>5</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整体绩效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788" w:type="dxa"/>
            <w:noWrap w:val="0"/>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制定了年度预算整体绩效目标</w:t>
            </w:r>
            <w:r>
              <w:rPr>
                <w:rFonts w:hint="eastAsia" w:eastAsia="楷体_GB2312"/>
                <w:sz w:val="18"/>
                <w:szCs w:val="18"/>
                <w:lang w:eastAsia="zh-CN"/>
              </w:rPr>
              <w:t>，</w:t>
            </w:r>
            <w:r>
              <w:rPr>
                <w:rFonts w:hint="eastAsia" w:eastAsia="楷体_GB2312"/>
                <w:sz w:val="18"/>
                <w:szCs w:val="18"/>
                <w:lang w:val="en-US" w:eastAsia="zh-CN"/>
              </w:rPr>
              <w:t>清晰、细化、可衡量</w:t>
            </w:r>
          </w:p>
        </w:tc>
        <w:tc>
          <w:tcPr>
            <w:tcW w:w="571"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788" w:type="dxa"/>
            <w:noWrap w:val="0"/>
            <w:tcMar>
              <w:top w:w="0" w:type="dxa"/>
              <w:left w:w="105" w:type="dxa"/>
              <w:bottom w:w="0" w:type="dxa"/>
              <w:right w:w="105" w:type="dxa"/>
            </w:tcMar>
            <w:vAlign w:val="center"/>
          </w:tcPr>
          <w:p>
            <w:pPr>
              <w:jc w:val="center"/>
              <w:rPr>
                <w:rFonts w:eastAsia="楷体_GB2312"/>
                <w:sz w:val="18"/>
                <w:szCs w:val="18"/>
              </w:rPr>
            </w:pPr>
            <w:r>
              <w:rPr>
                <w:rFonts w:hint="eastAsia" w:ascii="Times New Roman" w:hAnsi="Times New Roman" w:eastAsia="楷体_GB2312" w:cs="Times New Roman"/>
                <w:sz w:val="18"/>
                <w:szCs w:val="18"/>
                <w:lang w:val="en-US" w:eastAsia="zh-CN"/>
              </w:rPr>
              <w:t>项目均设有绩效目标，目标科学合理，明确、细化、也量化</w:t>
            </w:r>
          </w:p>
        </w:tc>
        <w:tc>
          <w:tcPr>
            <w:tcW w:w="571"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预算配置(共</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在职人员</w:t>
            </w:r>
          </w:p>
          <w:p>
            <w:pPr>
              <w:spacing w:line="300" w:lineRule="exact"/>
              <w:jc w:val="center"/>
              <w:rPr>
                <w:rFonts w:eastAsia="楷体_GB2312"/>
                <w:sz w:val="18"/>
                <w:szCs w:val="18"/>
              </w:rPr>
            </w:pPr>
            <w:r>
              <w:rPr>
                <w:rFonts w:eastAsia="楷体_GB2312"/>
                <w:sz w:val="18"/>
                <w:szCs w:val="18"/>
              </w:rPr>
              <w:t>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在职人员控制率=[在职人员数/编制数]×100%</w:t>
            </w:r>
          </w:p>
          <w:p>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788" w:type="dxa"/>
            <w:noWrap w:val="0"/>
            <w:tcMar>
              <w:top w:w="0" w:type="dxa"/>
              <w:left w:w="105" w:type="dxa"/>
              <w:bottom w:w="0" w:type="dxa"/>
              <w:right w:w="105" w:type="dxa"/>
            </w:tcMar>
            <w:vAlign w:val="center"/>
          </w:tcPr>
          <w:p>
            <w:pPr>
              <w:jc w:val="center"/>
              <w:rPr>
                <w:rFonts w:eastAsia="楷体_GB2312"/>
                <w:sz w:val="18"/>
                <w:szCs w:val="18"/>
              </w:rPr>
            </w:pPr>
            <w:r>
              <w:rPr>
                <w:rFonts w:hint="eastAsia" w:ascii="Times New Roman" w:hAnsi="Times New Roman" w:eastAsia="楷体_GB2312" w:cs="Times New Roman"/>
                <w:sz w:val="18"/>
                <w:szCs w:val="18"/>
                <w:lang w:val="en-US" w:eastAsia="zh-CN"/>
              </w:rPr>
              <w:t>在职人员控制率=</w:t>
            </w:r>
            <w:r>
              <w:rPr>
                <w:rFonts w:hint="eastAsia" w:eastAsia="楷体_GB2312" w:cs="Times New Roman"/>
                <w:sz w:val="18"/>
                <w:szCs w:val="18"/>
                <w:lang w:val="en-US" w:eastAsia="zh-CN"/>
              </w:rPr>
              <w:t>9</w:t>
            </w:r>
            <w:r>
              <w:rPr>
                <w:rFonts w:hint="eastAsia" w:ascii="Times New Roman" w:hAnsi="Times New Roman" w:eastAsia="楷体_GB2312" w:cs="Times New Roman"/>
                <w:sz w:val="18"/>
                <w:szCs w:val="18"/>
                <w:lang w:val="en-US" w:eastAsia="zh-CN"/>
              </w:rPr>
              <w:t>/</w:t>
            </w:r>
            <w:r>
              <w:rPr>
                <w:rFonts w:hint="eastAsia" w:eastAsia="楷体_GB2312" w:cs="Times New Roman"/>
                <w:sz w:val="18"/>
                <w:szCs w:val="18"/>
                <w:lang w:val="en-US" w:eastAsia="zh-CN"/>
              </w:rPr>
              <w:t>10</w:t>
            </w:r>
            <w:r>
              <w:rPr>
                <w:rFonts w:hint="eastAsia" w:ascii="Times New Roman" w:hAnsi="Times New Roman" w:eastAsia="楷体_GB2312" w:cs="Times New Roman"/>
                <w:sz w:val="18"/>
                <w:szCs w:val="18"/>
                <w:lang w:val="en-US" w:eastAsia="zh-CN"/>
              </w:rPr>
              <w:t>*</w:t>
            </w:r>
            <w:r>
              <w:rPr>
                <w:rFonts w:hint="eastAsia" w:eastAsia="楷体_GB2312" w:cs="Times New Roman"/>
                <w:sz w:val="18"/>
                <w:szCs w:val="18"/>
                <w:lang w:val="en-US" w:eastAsia="zh-CN"/>
              </w:rPr>
              <w:t>100</w:t>
            </w:r>
            <w:r>
              <w:rPr>
                <w:rFonts w:hint="eastAsia" w:ascii="Times New Roman" w:hAnsi="Times New Roman" w:eastAsia="楷体_GB2312" w:cs="Times New Roman"/>
                <w:sz w:val="18"/>
                <w:szCs w:val="18"/>
                <w:lang w:val="en-US" w:eastAsia="zh-CN"/>
              </w:rPr>
              <w:t>%=</w:t>
            </w:r>
            <w:r>
              <w:rPr>
                <w:rFonts w:hint="eastAsia" w:eastAsia="楷体_GB2312" w:cs="Times New Roman"/>
                <w:sz w:val="18"/>
                <w:szCs w:val="18"/>
                <w:lang w:val="en-US" w:eastAsia="zh-CN"/>
              </w:rPr>
              <w:t>90</w:t>
            </w:r>
            <w:r>
              <w:rPr>
                <w:rFonts w:hint="eastAsia" w:ascii="Times New Roman" w:hAnsi="Times New Roman" w:eastAsia="楷体_GB2312" w:cs="Times New Roman"/>
                <w:sz w:val="18"/>
                <w:szCs w:val="18"/>
                <w:lang w:val="en-US" w:eastAsia="zh-CN"/>
              </w:rPr>
              <w:t>%</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三公经费</w:t>
            </w:r>
          </w:p>
          <w:p>
            <w:pPr>
              <w:spacing w:line="300" w:lineRule="exact"/>
              <w:jc w:val="center"/>
              <w:rPr>
                <w:rFonts w:eastAsia="楷体_GB2312"/>
                <w:sz w:val="18"/>
                <w:szCs w:val="18"/>
              </w:rPr>
            </w:pPr>
            <w:r>
              <w:rPr>
                <w:rFonts w:eastAsia="楷体_GB2312"/>
                <w:sz w:val="18"/>
                <w:szCs w:val="18"/>
              </w:rPr>
              <w:t>变动率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bookmarkStart w:id="0" w:name="_GoBack"/>
            <w:bookmarkEnd w:id="0"/>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788"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ascii="Times New Roman" w:hAnsi="Times New Roman" w:eastAsia="楷体_GB2312" w:cs="Times New Roman"/>
                <w:sz w:val="18"/>
                <w:szCs w:val="18"/>
                <w:lang w:val="en-US" w:eastAsia="zh-CN"/>
              </w:rPr>
              <w:t>三公经费控制率=</w:t>
            </w:r>
            <w:r>
              <w:rPr>
                <w:rFonts w:hint="eastAsia" w:eastAsia="楷体_GB2312" w:cs="Times New Roman"/>
                <w:sz w:val="18"/>
                <w:szCs w:val="18"/>
                <w:lang w:val="en-US" w:eastAsia="zh-CN"/>
              </w:rPr>
              <w:t>1</w:t>
            </w:r>
            <w:r>
              <w:rPr>
                <w:rFonts w:hint="eastAsia" w:ascii="Times New Roman" w:hAnsi="Times New Roman" w:eastAsia="楷体_GB2312" w:cs="Times New Roman"/>
                <w:sz w:val="18"/>
                <w:szCs w:val="18"/>
                <w:lang w:val="en-US" w:eastAsia="zh-CN"/>
              </w:rPr>
              <w:t>/</w:t>
            </w:r>
            <w:r>
              <w:rPr>
                <w:rFonts w:hint="eastAsia" w:eastAsia="楷体_GB2312" w:cs="Times New Roman"/>
                <w:sz w:val="18"/>
                <w:szCs w:val="18"/>
                <w:lang w:val="en-US" w:eastAsia="zh-CN"/>
              </w:rPr>
              <w:t>4</w:t>
            </w:r>
            <w:r>
              <w:rPr>
                <w:rFonts w:hint="eastAsia" w:ascii="Times New Roman" w:hAnsi="Times New Roman" w:eastAsia="楷体_GB2312" w:cs="Times New Roman"/>
                <w:sz w:val="18"/>
                <w:szCs w:val="18"/>
                <w:lang w:val="en-US" w:eastAsia="zh-CN"/>
              </w:rPr>
              <w:t>*100%=</w:t>
            </w:r>
            <w:r>
              <w:rPr>
                <w:rFonts w:hint="eastAsia" w:eastAsia="楷体_GB2312" w:cs="Times New Roman"/>
                <w:sz w:val="18"/>
                <w:szCs w:val="18"/>
                <w:lang w:val="en-US" w:eastAsia="zh-CN"/>
              </w:rPr>
              <w:t>25</w:t>
            </w:r>
            <w:r>
              <w:rPr>
                <w:rFonts w:hint="eastAsia" w:ascii="Times New Roman" w:hAnsi="Times New Roman" w:eastAsia="楷体_GB2312" w:cs="Times New Roman"/>
                <w:sz w:val="18"/>
                <w:szCs w:val="18"/>
                <w:lang w:val="en-US" w:eastAsia="zh-CN"/>
              </w:rPr>
              <w:t>%</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44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重点项目预算保障率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重点项目预算保障率=（重点项目预算/项目总预算）×100%。</w:t>
            </w:r>
          </w:p>
          <w:p>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80%＞结果≥60%，得2分；</w:t>
            </w:r>
          </w:p>
          <w:p>
            <w:pPr>
              <w:spacing w:line="300" w:lineRule="exact"/>
              <w:jc w:val="left"/>
              <w:rPr>
                <w:rFonts w:eastAsia="楷体_GB2312"/>
                <w:sz w:val="18"/>
                <w:szCs w:val="18"/>
              </w:rPr>
            </w:pPr>
            <w:r>
              <w:rPr>
                <w:rFonts w:eastAsia="楷体_GB2312"/>
                <w:sz w:val="18"/>
                <w:szCs w:val="18"/>
              </w:rPr>
              <w:t>结果＜60%，得0分。</w:t>
            </w:r>
          </w:p>
        </w:tc>
        <w:tc>
          <w:tcPr>
            <w:tcW w:w="1788" w:type="dxa"/>
            <w:noWrap w:val="0"/>
            <w:tcMar>
              <w:top w:w="0" w:type="dxa"/>
              <w:left w:w="105" w:type="dxa"/>
              <w:bottom w:w="0" w:type="dxa"/>
              <w:right w:w="105" w:type="dxa"/>
            </w:tcMar>
            <w:vAlign w:val="center"/>
          </w:tcPr>
          <w:p>
            <w:pPr>
              <w:jc w:val="center"/>
              <w:rPr>
                <w:rFonts w:eastAsia="楷体_GB2312"/>
                <w:sz w:val="18"/>
                <w:szCs w:val="18"/>
              </w:rPr>
            </w:pPr>
            <w:r>
              <w:rPr>
                <w:rFonts w:hint="eastAsia" w:ascii="Times New Roman" w:hAnsi="Times New Roman" w:eastAsia="楷体_GB2312" w:cs="Times New Roman"/>
                <w:sz w:val="18"/>
                <w:szCs w:val="18"/>
                <w:lang w:val="en-US" w:eastAsia="zh-CN"/>
              </w:rPr>
              <w:t>不适用</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ascii="Times New Roman" w:hAnsi="Times New Roman" w:eastAsia="楷体_GB2312" w:cs="Times New Roman"/>
                <w:sz w:val="18"/>
                <w:szCs w:val="18"/>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过程</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26</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预算执行（1</w:t>
            </w:r>
            <w:r>
              <w:rPr>
                <w:rFonts w:hint="eastAsia" w:eastAsia="楷体_GB2312"/>
                <w:sz w:val="18"/>
                <w:szCs w:val="18"/>
              </w:rPr>
              <w:t>2</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项目预算执行率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项目预算执行率=[项目预算执行数/项目预算]×100%。</w:t>
            </w:r>
          </w:p>
          <w:p>
            <w:pPr>
              <w:spacing w:line="300" w:lineRule="exact"/>
              <w:jc w:val="left"/>
              <w:rPr>
                <w:rFonts w:eastAsia="楷体_GB2312"/>
                <w:sz w:val="18"/>
                <w:szCs w:val="18"/>
              </w:rPr>
            </w:pPr>
            <w:r>
              <w:rPr>
                <w:rFonts w:eastAsia="楷体_GB2312"/>
                <w:sz w:val="18"/>
                <w:szCs w:val="18"/>
              </w:rPr>
              <w:t>项目预算执行数：部门本年度实际执行的项目预算。</w:t>
            </w:r>
          </w:p>
          <w:p>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80%≤结果＜90%，得1分；</w:t>
            </w:r>
          </w:p>
          <w:p>
            <w:pPr>
              <w:spacing w:line="300" w:lineRule="exact"/>
              <w:jc w:val="left"/>
              <w:rPr>
                <w:rFonts w:eastAsia="楷体_GB2312"/>
                <w:spacing w:val="-20"/>
                <w:sz w:val="18"/>
                <w:szCs w:val="18"/>
              </w:rPr>
            </w:pPr>
            <w:r>
              <w:rPr>
                <w:rFonts w:eastAsia="楷体_GB2312"/>
                <w:sz w:val="18"/>
                <w:szCs w:val="18"/>
              </w:rPr>
              <w:t>结果＜80%，得0分。</w:t>
            </w:r>
          </w:p>
        </w:tc>
        <w:tc>
          <w:tcPr>
            <w:tcW w:w="1788" w:type="dxa"/>
            <w:noWrap w:val="0"/>
            <w:tcMar>
              <w:top w:w="0" w:type="dxa"/>
              <w:left w:w="105" w:type="dxa"/>
              <w:bottom w:w="0" w:type="dxa"/>
              <w:right w:w="105" w:type="dxa"/>
            </w:tcMar>
            <w:vAlign w:val="center"/>
          </w:tcPr>
          <w:p>
            <w:pPr>
              <w:ind w:left="0" w:leftChars="0" w:firstLine="360" w:firstLineChars="200"/>
              <w:jc w:val="both"/>
              <w:rPr>
                <w:rFonts w:hint="default" w:eastAsia="楷体_GB2312"/>
                <w:sz w:val="18"/>
                <w:szCs w:val="18"/>
                <w:lang w:val="en-US" w:eastAsia="zh-CN"/>
              </w:rPr>
            </w:pPr>
            <w:r>
              <w:rPr>
                <w:rFonts w:hint="eastAsia" w:eastAsia="楷体_GB2312" w:cs="Times New Roman"/>
                <w:sz w:val="18"/>
                <w:szCs w:val="18"/>
                <w:lang w:val="en-US" w:eastAsia="zh-CN"/>
              </w:rPr>
              <w:t>不适用</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预算</w:t>
            </w:r>
          </w:p>
          <w:p>
            <w:pPr>
              <w:spacing w:line="300" w:lineRule="exact"/>
              <w:jc w:val="center"/>
              <w:rPr>
                <w:rFonts w:eastAsia="楷体_GB2312"/>
                <w:sz w:val="18"/>
                <w:szCs w:val="18"/>
              </w:rPr>
            </w:pPr>
            <w:r>
              <w:rPr>
                <w:rFonts w:eastAsia="楷体_GB2312"/>
                <w:sz w:val="18"/>
                <w:szCs w:val="18"/>
              </w:rPr>
              <w:t>调整率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预算调整率=[预算调整数/预算数]×100%</w:t>
            </w:r>
          </w:p>
          <w:p>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5%＜结果≤10%，得1分；</w:t>
            </w:r>
          </w:p>
          <w:p>
            <w:pPr>
              <w:spacing w:line="300" w:lineRule="exact"/>
              <w:jc w:val="left"/>
              <w:rPr>
                <w:rFonts w:eastAsia="楷体_GB2312"/>
                <w:sz w:val="18"/>
                <w:szCs w:val="18"/>
              </w:rPr>
            </w:pPr>
            <w:r>
              <w:rPr>
                <w:rFonts w:eastAsia="楷体_GB2312"/>
                <w:sz w:val="18"/>
                <w:szCs w:val="18"/>
              </w:rPr>
              <w:t>结果＞10%，得0分。</w:t>
            </w:r>
          </w:p>
        </w:tc>
        <w:tc>
          <w:tcPr>
            <w:tcW w:w="1788" w:type="dxa"/>
            <w:noWrap w:val="0"/>
            <w:tcMar>
              <w:top w:w="0" w:type="dxa"/>
              <w:left w:w="105" w:type="dxa"/>
              <w:bottom w:w="0" w:type="dxa"/>
              <w:right w:w="105" w:type="dxa"/>
            </w:tcMar>
            <w:vAlign w:val="center"/>
          </w:tcPr>
          <w:p>
            <w:pPr>
              <w:spacing w:line="300" w:lineRule="exact"/>
              <w:jc w:val="left"/>
              <w:rPr>
                <w:rFonts w:ascii="Times New Roman" w:hAnsi="Times New Roman" w:eastAsia="楷体_GB2312" w:cs="Times New Roman"/>
                <w:sz w:val="18"/>
                <w:szCs w:val="18"/>
              </w:rPr>
            </w:pPr>
            <w:r>
              <w:rPr>
                <w:rFonts w:ascii="Times New Roman" w:hAnsi="Times New Roman" w:eastAsia="楷体_GB2312" w:cs="Times New Roman"/>
                <w:sz w:val="18"/>
                <w:szCs w:val="18"/>
              </w:rPr>
              <w:t>预算调整率≤5%</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公用经费控制率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788" w:type="dxa"/>
            <w:noWrap w:val="0"/>
            <w:tcMar>
              <w:top w:w="0" w:type="dxa"/>
              <w:left w:w="105" w:type="dxa"/>
              <w:bottom w:w="0" w:type="dxa"/>
              <w:right w:w="105" w:type="dxa"/>
            </w:tcMar>
            <w:vAlign w:val="center"/>
          </w:tcPr>
          <w:p>
            <w:pPr>
              <w:spacing w:line="300" w:lineRule="exact"/>
              <w:jc w:val="left"/>
              <w:rPr>
                <w:rFonts w:hint="default" w:ascii="Times New Roman" w:hAnsi="Times New Roman" w:eastAsia="楷体_GB2312" w:cs="Times New Roman"/>
                <w:sz w:val="18"/>
                <w:szCs w:val="18"/>
                <w:lang w:val="en-US" w:eastAsia="zh-CN"/>
              </w:rPr>
            </w:pPr>
            <w:r>
              <w:rPr>
                <w:rFonts w:eastAsia="楷体_GB2312"/>
                <w:sz w:val="18"/>
                <w:szCs w:val="18"/>
              </w:rPr>
              <w:t>结果≤100%</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788" w:type="dxa"/>
            <w:noWrap w:val="0"/>
            <w:tcMar>
              <w:top w:w="0" w:type="dxa"/>
              <w:left w:w="105" w:type="dxa"/>
              <w:bottom w:w="0" w:type="dxa"/>
              <w:right w:w="105" w:type="dxa"/>
            </w:tcMar>
            <w:vAlign w:val="center"/>
          </w:tcPr>
          <w:p>
            <w:pPr>
              <w:spacing w:line="300" w:lineRule="exact"/>
              <w:jc w:val="left"/>
              <w:rPr>
                <w:rFonts w:hint="default" w:ascii="Times New Roman" w:hAnsi="Times New Roman" w:eastAsia="楷体_GB2312" w:cs="Times New Roman"/>
                <w:sz w:val="18"/>
                <w:szCs w:val="18"/>
                <w:lang w:val="en-US" w:eastAsia="zh-CN"/>
              </w:rPr>
            </w:pPr>
            <w:r>
              <w:rPr>
                <w:rFonts w:ascii="Times New Roman" w:hAnsi="Times New Roman" w:eastAsia="楷体_GB2312" w:cs="Times New Roman"/>
                <w:sz w:val="18"/>
                <w:szCs w:val="18"/>
              </w:rPr>
              <w:t>“三公经费”控制率=</w:t>
            </w:r>
            <w:r>
              <w:rPr>
                <w:rFonts w:hint="eastAsia" w:ascii="Times New Roman" w:hAnsi="Times New Roman" w:eastAsia="楷体_GB2312" w:cs="Times New Roman"/>
                <w:sz w:val="18"/>
                <w:szCs w:val="18"/>
                <w:lang w:val="en-US" w:eastAsia="zh-CN"/>
              </w:rPr>
              <w:t>(</w:t>
            </w:r>
            <w:r>
              <w:rPr>
                <w:rFonts w:hint="eastAsia" w:eastAsia="楷体_GB2312" w:cs="Times New Roman"/>
                <w:sz w:val="18"/>
                <w:szCs w:val="18"/>
                <w:lang w:val="en-US" w:eastAsia="zh-CN"/>
              </w:rPr>
              <w:t>4475</w:t>
            </w:r>
            <w:r>
              <w:rPr>
                <w:rFonts w:hint="eastAsia" w:ascii="Times New Roman" w:hAnsi="Times New Roman" w:eastAsia="楷体_GB2312" w:cs="Times New Roman"/>
                <w:sz w:val="18"/>
                <w:szCs w:val="18"/>
                <w:lang w:val="en-US" w:eastAsia="zh-CN"/>
              </w:rPr>
              <w:t>/</w:t>
            </w:r>
            <w:r>
              <w:rPr>
                <w:rFonts w:hint="eastAsia" w:eastAsia="楷体_GB2312" w:cs="Times New Roman"/>
                <w:sz w:val="18"/>
                <w:szCs w:val="18"/>
                <w:lang w:val="en-US" w:eastAsia="zh-CN"/>
              </w:rPr>
              <w:t>1</w:t>
            </w:r>
            <w:r>
              <w:rPr>
                <w:rFonts w:hint="eastAsia" w:ascii="Times New Roman" w:hAnsi="Times New Roman" w:eastAsia="楷体_GB2312" w:cs="Times New Roman"/>
                <w:sz w:val="18"/>
                <w:szCs w:val="18"/>
                <w:lang w:val="en-US" w:eastAsia="zh-CN"/>
              </w:rPr>
              <w:t>0000)*100%=</w:t>
            </w:r>
            <w:r>
              <w:rPr>
                <w:rFonts w:hint="eastAsia" w:eastAsia="楷体_GB2312" w:cs="Times New Roman"/>
                <w:sz w:val="18"/>
                <w:szCs w:val="18"/>
                <w:lang w:val="en-US" w:eastAsia="zh-CN"/>
              </w:rPr>
              <w:t>44.75</w:t>
            </w:r>
            <w:r>
              <w:rPr>
                <w:rFonts w:hint="eastAsia" w:ascii="Times New Roman" w:hAnsi="Times New Roman" w:eastAsia="楷体_GB2312" w:cs="Times New Roman"/>
                <w:sz w:val="18"/>
                <w:szCs w:val="18"/>
                <w:lang w:val="en-US" w:eastAsia="zh-CN"/>
              </w:rPr>
              <w:t>%</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48"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788" w:type="dxa"/>
            <w:noWrap w:val="0"/>
            <w:tcMar>
              <w:top w:w="0" w:type="dxa"/>
              <w:left w:w="105" w:type="dxa"/>
              <w:bottom w:w="0" w:type="dxa"/>
              <w:right w:w="105" w:type="dxa"/>
            </w:tcMar>
            <w:vAlign w:val="center"/>
          </w:tcPr>
          <w:p>
            <w:pPr>
              <w:spacing w:line="300" w:lineRule="exact"/>
              <w:jc w:val="left"/>
              <w:rPr>
                <w:rFonts w:hint="default" w:ascii="Times New Roman" w:hAnsi="Times New Roman" w:eastAsia="楷体_GB2312" w:cs="Times New Roman"/>
                <w:sz w:val="18"/>
                <w:szCs w:val="18"/>
                <w:lang w:val="en-US" w:eastAsia="zh-CN"/>
              </w:rPr>
            </w:pPr>
            <w:r>
              <w:rPr>
                <w:rFonts w:hint="eastAsia" w:ascii="Times New Roman" w:hAnsi="Times New Roman" w:eastAsia="楷体_GB2312" w:cs="Times New Roman"/>
                <w:sz w:val="18"/>
                <w:szCs w:val="18"/>
              </w:rPr>
              <w:t>政府采购执行率100%</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w:t>
            </w:r>
          </w:p>
          <w:p>
            <w:pPr>
              <w:spacing w:before="100" w:beforeAutospacing="1" w:after="100" w:afterAutospacing="1"/>
              <w:jc w:val="center"/>
              <w:rPr>
                <w:rFonts w:eastAsia="楷体_GB2312"/>
                <w:sz w:val="18"/>
                <w:szCs w:val="18"/>
              </w:rPr>
            </w:pPr>
            <w:r>
              <w:rPr>
                <w:rFonts w:eastAsia="楷体_GB2312"/>
                <w:sz w:val="18"/>
                <w:szCs w:val="18"/>
              </w:rPr>
              <w:t>管理（</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每发现一项问题，扣1分，扣完为止。</w:t>
            </w:r>
          </w:p>
        </w:tc>
        <w:tc>
          <w:tcPr>
            <w:tcW w:w="1788" w:type="dxa"/>
            <w:noWrap w:val="0"/>
            <w:tcMar>
              <w:top w:w="0" w:type="dxa"/>
              <w:left w:w="105" w:type="dxa"/>
              <w:bottom w:w="0" w:type="dxa"/>
              <w:right w:w="105" w:type="dxa"/>
            </w:tcMar>
            <w:vAlign w:val="center"/>
          </w:tcPr>
          <w:p>
            <w:pPr>
              <w:spacing w:line="300" w:lineRule="exact"/>
              <w:jc w:val="left"/>
              <w:rPr>
                <w:rFonts w:ascii="Times New Roman" w:hAnsi="Times New Roman" w:eastAsia="楷体_GB2312" w:cs="Times New Roman"/>
                <w:sz w:val="18"/>
                <w:szCs w:val="18"/>
              </w:rPr>
            </w:pPr>
            <w:r>
              <w:rPr>
                <w:rFonts w:hint="eastAsia" w:ascii="Times New Roman" w:hAnsi="Times New Roman" w:eastAsia="楷体_GB2312" w:cs="Times New Roman"/>
                <w:sz w:val="18"/>
                <w:szCs w:val="18"/>
              </w:rPr>
              <w:t>已有预算资金管理办法、机关财务管理办法、</w:t>
            </w:r>
            <w:r>
              <w:rPr>
                <w:rFonts w:ascii="Times New Roman" w:hAnsi="Times New Roman" w:eastAsia="楷体_GB2312" w:cs="Times New Roman"/>
                <w:sz w:val="18"/>
                <w:szCs w:val="18"/>
              </w:rPr>
              <w:t>内控制度、</w:t>
            </w:r>
            <w:r>
              <w:rPr>
                <w:rFonts w:hint="eastAsia" w:ascii="Times New Roman" w:hAnsi="Times New Roman" w:eastAsia="楷体_GB2312" w:cs="Times New Roman"/>
                <w:sz w:val="18"/>
                <w:szCs w:val="18"/>
              </w:rPr>
              <w:t>财务管理制度</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68"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合规性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788" w:type="dxa"/>
            <w:noWrap w:val="0"/>
            <w:tcMar>
              <w:top w:w="0" w:type="dxa"/>
              <w:left w:w="105" w:type="dxa"/>
              <w:bottom w:w="0" w:type="dxa"/>
              <w:right w:w="105" w:type="dxa"/>
            </w:tcMar>
            <w:vAlign w:val="center"/>
          </w:tcPr>
          <w:p>
            <w:pPr>
              <w:spacing w:line="300" w:lineRule="exact"/>
              <w:jc w:val="left"/>
              <w:rPr>
                <w:rFonts w:ascii="Times New Roman" w:hAnsi="Times New Roman" w:eastAsia="楷体_GB2312" w:cs="Times New Roman"/>
                <w:sz w:val="18"/>
                <w:szCs w:val="18"/>
              </w:rPr>
            </w:pPr>
            <w:r>
              <w:rPr>
                <w:rFonts w:ascii="Times New Roman" w:hAnsi="Times New Roman" w:eastAsia="楷体_GB2312" w:cs="Times New Roman"/>
                <w:sz w:val="18"/>
                <w:szCs w:val="18"/>
              </w:rPr>
              <w:t>部门预算资金使用符合相关的预算财务管理制度的规定</w:t>
            </w:r>
          </w:p>
        </w:tc>
        <w:tc>
          <w:tcPr>
            <w:tcW w:w="571" w:type="dxa"/>
            <w:noWrap w:val="0"/>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3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合理性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相符率100%得2分；相符率每下降1%，扣0.5分，扣完为止。</w:t>
            </w:r>
          </w:p>
        </w:tc>
        <w:tc>
          <w:tcPr>
            <w:tcW w:w="1788"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ascii="Times New Roman" w:hAnsi="Times New Roman" w:eastAsia="楷体_GB2312" w:cs="Times New Roman"/>
                <w:sz w:val="18"/>
                <w:szCs w:val="18"/>
                <w:lang w:eastAsia="zh-CN"/>
              </w:rPr>
              <w:t>相符</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8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jc w:val="center"/>
              <w:rPr>
                <w:rFonts w:eastAsia="楷体_GB2312"/>
                <w:sz w:val="18"/>
                <w:szCs w:val="18"/>
              </w:rPr>
            </w:pPr>
            <w:r>
              <w:rPr>
                <w:rFonts w:eastAsia="楷体_GB2312"/>
                <w:sz w:val="18"/>
                <w:szCs w:val="18"/>
              </w:rPr>
              <w:t>落实</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788" w:type="dxa"/>
            <w:noWrap w:val="0"/>
            <w:tcMar>
              <w:top w:w="0" w:type="dxa"/>
              <w:left w:w="105" w:type="dxa"/>
              <w:bottom w:w="0" w:type="dxa"/>
              <w:right w:w="105" w:type="dxa"/>
            </w:tcMar>
            <w:vAlign w:val="center"/>
          </w:tcPr>
          <w:p>
            <w:pPr>
              <w:spacing w:line="300" w:lineRule="exact"/>
              <w:ind w:firstLine="540" w:firstLineChars="300"/>
              <w:jc w:val="left"/>
              <w:rPr>
                <w:rFonts w:hint="eastAsia" w:ascii="Times New Roman" w:hAnsi="Times New Roman" w:eastAsia="楷体_GB2312" w:cs="Times New Roman"/>
                <w:sz w:val="18"/>
                <w:szCs w:val="18"/>
                <w:lang w:val="en-US" w:eastAsia="zh-CN"/>
              </w:rPr>
            </w:pPr>
            <w:r>
              <w:rPr>
                <w:rFonts w:hint="eastAsia" w:ascii="Times New Roman" w:hAnsi="Times New Roman" w:eastAsia="楷体_GB2312" w:cs="Times New Roman"/>
                <w:sz w:val="18"/>
                <w:szCs w:val="18"/>
                <w:lang w:val="en-US" w:eastAsia="zh-CN"/>
              </w:rPr>
              <w:t>未发现</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资产管理（5分）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1</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788" w:type="dxa"/>
            <w:noWrap w:val="0"/>
            <w:tcMar>
              <w:top w:w="0" w:type="dxa"/>
              <w:left w:w="105" w:type="dxa"/>
              <w:bottom w:w="0" w:type="dxa"/>
              <w:right w:w="105" w:type="dxa"/>
            </w:tcMar>
            <w:vAlign w:val="center"/>
          </w:tcPr>
          <w:p>
            <w:pPr>
              <w:spacing w:line="300" w:lineRule="exact"/>
              <w:jc w:val="left"/>
              <w:rPr>
                <w:rFonts w:hint="eastAsia" w:ascii="Times New Roman" w:hAnsi="Times New Roman" w:eastAsia="楷体_GB2312" w:cs="Times New Roman"/>
                <w:sz w:val="18"/>
                <w:szCs w:val="18"/>
                <w:lang w:eastAsia="zh-CN"/>
              </w:rPr>
            </w:pPr>
            <w:r>
              <w:rPr>
                <w:rFonts w:ascii="Times New Roman" w:hAnsi="Times New Roman" w:eastAsia="楷体_GB2312" w:cs="Times New Roman"/>
                <w:sz w:val="18"/>
                <w:szCs w:val="18"/>
              </w:rPr>
              <w:t>管理制度</w:t>
            </w:r>
            <w:r>
              <w:rPr>
                <w:rFonts w:hint="eastAsia" w:ascii="Times New Roman" w:hAnsi="Times New Roman" w:eastAsia="楷体_GB2312" w:cs="Times New Roman"/>
                <w:sz w:val="18"/>
                <w:szCs w:val="18"/>
                <w:lang w:eastAsia="zh-CN"/>
              </w:rPr>
              <w:t>合规并执行到位</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jc w:val="center"/>
              <w:rPr>
                <w:rFonts w:eastAsia="楷体_GB2312"/>
                <w:sz w:val="18"/>
                <w:szCs w:val="18"/>
              </w:rPr>
            </w:pPr>
            <w:r>
              <w:rPr>
                <w:rFonts w:eastAsia="楷体_GB2312"/>
                <w:sz w:val="18"/>
                <w:szCs w:val="18"/>
              </w:rPr>
              <w:t>安全性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788" w:type="dxa"/>
            <w:noWrap w:val="0"/>
            <w:tcMar>
              <w:top w:w="0" w:type="dxa"/>
              <w:left w:w="105" w:type="dxa"/>
              <w:bottom w:w="0" w:type="dxa"/>
              <w:right w:w="105" w:type="dxa"/>
            </w:tcMar>
            <w:vAlign w:val="center"/>
          </w:tcPr>
          <w:p>
            <w:pPr>
              <w:spacing w:line="300" w:lineRule="exact"/>
              <w:jc w:val="left"/>
              <w:rPr>
                <w:rFonts w:ascii="Times New Roman" w:hAnsi="Times New Roman" w:eastAsia="楷体_GB2312" w:cs="Times New Roman"/>
                <w:sz w:val="18"/>
                <w:szCs w:val="18"/>
              </w:rPr>
            </w:pPr>
            <w:r>
              <w:rPr>
                <w:rFonts w:ascii="Times New Roman" w:hAnsi="Times New Roman" w:eastAsia="楷体_GB2312" w:cs="Times New Roman"/>
                <w:sz w:val="18"/>
                <w:szCs w:val="18"/>
              </w:rPr>
              <w:t>部门的资产保存完整、使用合规、配置合理、处置规范、收入及时足额上缴</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99%≤结果≤100%，得2分；</w:t>
            </w:r>
          </w:p>
          <w:p>
            <w:pPr>
              <w:spacing w:line="300" w:lineRule="exact"/>
              <w:jc w:val="left"/>
              <w:rPr>
                <w:rFonts w:eastAsia="楷体_GB2312"/>
                <w:sz w:val="18"/>
                <w:szCs w:val="18"/>
              </w:rPr>
            </w:pPr>
            <w:r>
              <w:rPr>
                <w:rFonts w:eastAsia="楷体_GB2312"/>
                <w:sz w:val="18"/>
                <w:szCs w:val="18"/>
              </w:rPr>
              <w:t>90%≤结果＜99%，得1分；</w:t>
            </w:r>
          </w:p>
          <w:p>
            <w:pPr>
              <w:spacing w:line="300" w:lineRule="exact"/>
              <w:jc w:val="left"/>
              <w:rPr>
                <w:rFonts w:eastAsia="楷体_GB2312"/>
                <w:spacing w:val="-20"/>
                <w:sz w:val="18"/>
                <w:szCs w:val="18"/>
              </w:rPr>
            </w:pPr>
            <w:r>
              <w:rPr>
                <w:rFonts w:eastAsia="楷体_GB2312"/>
                <w:sz w:val="18"/>
                <w:szCs w:val="18"/>
              </w:rPr>
              <w:t>结果＜90%，得0分。</w:t>
            </w:r>
          </w:p>
        </w:tc>
        <w:tc>
          <w:tcPr>
            <w:tcW w:w="1788" w:type="dxa"/>
            <w:noWrap w:val="0"/>
            <w:tcMar>
              <w:top w:w="0" w:type="dxa"/>
              <w:left w:w="105" w:type="dxa"/>
              <w:bottom w:w="0" w:type="dxa"/>
              <w:right w:w="105" w:type="dxa"/>
            </w:tcMar>
            <w:vAlign w:val="center"/>
          </w:tcPr>
          <w:p>
            <w:pPr>
              <w:spacing w:line="300" w:lineRule="exact"/>
              <w:jc w:val="left"/>
              <w:rPr>
                <w:rFonts w:hint="default" w:ascii="Times New Roman" w:hAnsi="Times New Roman" w:eastAsia="楷体_GB2312" w:cs="Times New Roman"/>
                <w:sz w:val="18"/>
                <w:szCs w:val="18"/>
                <w:lang w:val="en-US" w:eastAsia="zh-CN"/>
              </w:rPr>
            </w:pPr>
            <w:r>
              <w:rPr>
                <w:rFonts w:hint="eastAsia" w:ascii="Times New Roman" w:hAnsi="Times New Roman" w:eastAsia="楷体_GB2312" w:cs="Times New Roman"/>
                <w:sz w:val="18"/>
                <w:szCs w:val="18"/>
                <w:lang w:val="en-US" w:eastAsia="zh-CN"/>
              </w:rPr>
              <w:t>100%</w:t>
            </w:r>
          </w:p>
        </w:tc>
        <w:tc>
          <w:tcPr>
            <w:tcW w:w="571"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产出与效果(共</w:t>
            </w:r>
            <w:r>
              <w:rPr>
                <w:rFonts w:hint="eastAsia" w:eastAsia="楷体_GB2312"/>
                <w:sz w:val="18"/>
                <w:szCs w:val="18"/>
              </w:rPr>
              <w:t>6</w:t>
            </w:r>
            <w:r>
              <w:rPr>
                <w:rFonts w:eastAsia="楷体_GB2312"/>
                <w:sz w:val="18"/>
                <w:szCs w:val="18"/>
              </w:rPr>
              <w:t>0分)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p>
            <w:pPr>
              <w:spacing w:before="100" w:beforeAutospacing="1" w:after="100" w:afterAutospacing="1"/>
              <w:jc w:val="center"/>
              <w:rPr>
                <w:rFonts w:eastAsia="楷体_GB2312"/>
                <w:sz w:val="18"/>
                <w:szCs w:val="18"/>
              </w:rPr>
            </w:pPr>
            <w:r>
              <w:rPr>
                <w:rFonts w:eastAsia="楷体_GB2312"/>
                <w:sz w:val="18"/>
                <w:szCs w:val="18"/>
              </w:rPr>
              <w:t>产出指标（30分）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数量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对照绩效目标，按实际产出数量率计算得分</w:t>
            </w:r>
          </w:p>
        </w:tc>
        <w:tc>
          <w:tcPr>
            <w:tcW w:w="1788"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ind w:left="0"/>
              <w:jc w:val="left"/>
              <w:textAlignment w:val="bottom"/>
              <w:rPr>
                <w:rFonts w:hint="eastAsia" w:ascii="Times New Roman" w:hAnsi="Times New Roman" w:eastAsia="楷体_GB2312" w:cs="Times New Roman"/>
                <w:sz w:val="18"/>
                <w:szCs w:val="18"/>
                <w:lang w:val="en-US" w:eastAsia="zh-CN"/>
              </w:rPr>
            </w:pPr>
            <w:r>
              <w:rPr>
                <w:rFonts w:hint="eastAsia" w:eastAsia="楷体_GB2312" w:cs="Times New Roman"/>
                <w:sz w:val="13"/>
                <w:szCs w:val="13"/>
                <w:lang w:val="en-US" w:eastAsia="zh-CN"/>
              </w:rPr>
              <w:t>2023年，县乡利用空余行政编制招考公务员34名，人才引进4名，选调生5名，援藏安置2名，退役士兵安置9名，农业水利基层定向培养入编7名，医疗定向培养入编17名，教育定向培养入编82名，为79名（含2022年招聘人员）招聘事业单位工作人员办理入编手续。</w:t>
            </w:r>
          </w:p>
        </w:tc>
        <w:tc>
          <w:tcPr>
            <w:tcW w:w="571"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质量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对照绩效目标，按实际产出质量计算得分</w:t>
            </w:r>
          </w:p>
        </w:tc>
        <w:tc>
          <w:tcPr>
            <w:tcW w:w="1788" w:type="dxa"/>
            <w:noWrap w:val="0"/>
            <w:tcMar>
              <w:top w:w="0" w:type="dxa"/>
              <w:left w:w="105" w:type="dxa"/>
              <w:bottom w:w="0" w:type="dxa"/>
              <w:right w:w="105" w:type="dxa"/>
            </w:tcMar>
            <w:vAlign w:val="center"/>
          </w:tcPr>
          <w:p>
            <w:pPr>
              <w:spacing w:line="300" w:lineRule="exact"/>
              <w:jc w:val="left"/>
              <w:rPr>
                <w:rFonts w:hint="eastAsia" w:ascii="Times New Roman" w:hAnsi="Times New Roman" w:eastAsia="楷体_GB2312" w:cs="Times New Roman"/>
                <w:sz w:val="18"/>
                <w:szCs w:val="18"/>
                <w:lang w:eastAsia="zh-CN"/>
              </w:rPr>
            </w:pPr>
            <w:r>
              <w:rPr>
                <w:rFonts w:hint="eastAsia" w:eastAsia="楷体_GB2312" w:cs="Times New Roman"/>
                <w:sz w:val="18"/>
                <w:szCs w:val="18"/>
                <w:lang w:val="en-US" w:eastAsia="zh-CN"/>
              </w:rPr>
              <w:t xml:space="preserve"> 加强机构编制管理制度建设，严格按权限和程序审批机构编制，制定出台机构编制事项事前衔接、用编实行计划调控等多项规章制度，并严格执行到位</w:t>
            </w:r>
          </w:p>
        </w:tc>
        <w:tc>
          <w:tcPr>
            <w:tcW w:w="571"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时效</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对照绩效目标，按实际产出时效计算得分</w:t>
            </w:r>
          </w:p>
        </w:tc>
        <w:tc>
          <w:tcPr>
            <w:tcW w:w="1788" w:type="dxa"/>
            <w:noWrap w:val="0"/>
            <w:tcMar>
              <w:top w:w="0" w:type="dxa"/>
              <w:left w:w="105" w:type="dxa"/>
              <w:bottom w:w="0" w:type="dxa"/>
              <w:right w:w="105" w:type="dxa"/>
            </w:tcMar>
            <w:vAlign w:val="center"/>
          </w:tcPr>
          <w:p>
            <w:pPr>
              <w:spacing w:line="300" w:lineRule="exact"/>
              <w:jc w:val="left"/>
              <w:rPr>
                <w:rFonts w:ascii="Times New Roman" w:hAnsi="Times New Roman" w:eastAsia="楷体_GB2312" w:cs="Times New Roman"/>
                <w:sz w:val="18"/>
                <w:szCs w:val="18"/>
              </w:rPr>
            </w:pPr>
            <w:r>
              <w:rPr>
                <w:rFonts w:hint="eastAsia" w:ascii="Times New Roman" w:hAnsi="Times New Roman" w:eastAsia="楷体_GB2312" w:cs="Times New Roman"/>
                <w:sz w:val="18"/>
                <w:szCs w:val="18"/>
              </w:rPr>
              <w:t>20</w:t>
            </w:r>
            <w:r>
              <w:rPr>
                <w:rFonts w:hint="eastAsia" w:ascii="Times New Roman" w:hAnsi="Times New Roman" w:eastAsia="楷体_GB2312" w:cs="Times New Roman"/>
                <w:sz w:val="18"/>
                <w:szCs w:val="18"/>
                <w:lang w:val="en-US" w:eastAsia="zh-CN"/>
              </w:rPr>
              <w:t>2</w:t>
            </w:r>
            <w:r>
              <w:rPr>
                <w:rFonts w:hint="eastAsia" w:eastAsia="楷体_GB2312" w:cs="Times New Roman"/>
                <w:sz w:val="18"/>
                <w:szCs w:val="18"/>
                <w:lang w:val="en-US" w:eastAsia="zh-CN"/>
              </w:rPr>
              <w:t>3</w:t>
            </w:r>
            <w:r>
              <w:rPr>
                <w:rFonts w:hint="eastAsia" w:ascii="Times New Roman" w:hAnsi="Times New Roman" w:eastAsia="楷体_GB2312" w:cs="Times New Roman"/>
                <w:sz w:val="18"/>
                <w:szCs w:val="18"/>
              </w:rPr>
              <w:t>年12月31日之前完成</w:t>
            </w:r>
          </w:p>
        </w:tc>
        <w:tc>
          <w:tcPr>
            <w:tcW w:w="571"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效益指标（</w:t>
            </w:r>
            <w:r>
              <w:rPr>
                <w:rFonts w:hint="eastAsia" w:eastAsia="楷体_GB2312"/>
                <w:sz w:val="18"/>
                <w:szCs w:val="18"/>
              </w:rPr>
              <w:t>3</w:t>
            </w:r>
            <w:r>
              <w:rPr>
                <w:rFonts w:eastAsia="楷体_GB2312"/>
                <w:sz w:val="18"/>
                <w:szCs w:val="18"/>
              </w:rPr>
              <w:t>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经济</w:t>
            </w:r>
          </w:p>
          <w:p>
            <w:pPr>
              <w:spacing w:line="300" w:lineRule="exact"/>
              <w:jc w:val="center"/>
              <w:rPr>
                <w:rFonts w:hint="eastAsia" w:eastAsia="楷体_GB2312"/>
                <w:sz w:val="18"/>
                <w:szCs w:val="18"/>
              </w:rPr>
            </w:pPr>
            <w:r>
              <w:rPr>
                <w:rFonts w:eastAsia="楷体_GB2312"/>
                <w:sz w:val="18"/>
                <w:szCs w:val="18"/>
              </w:rPr>
              <w:t>效益</w:t>
            </w:r>
          </w:p>
        </w:tc>
        <w:tc>
          <w:tcPr>
            <w:tcW w:w="701" w:type="dxa"/>
            <w:vMerge w:val="restart"/>
            <w:tcBorders>
              <w:top w:val="single" w:color="auto" w:sz="4" w:space="0"/>
            </w:tcBorders>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20</w:t>
            </w: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对照绩效目标，按经济效益实现程度计算得分</w:t>
            </w:r>
          </w:p>
        </w:tc>
        <w:tc>
          <w:tcPr>
            <w:tcW w:w="1788" w:type="dxa"/>
            <w:noWrap w:val="0"/>
            <w:tcMar>
              <w:top w:w="0" w:type="dxa"/>
              <w:left w:w="105" w:type="dxa"/>
              <w:bottom w:w="0" w:type="dxa"/>
              <w:right w:w="105" w:type="dxa"/>
            </w:tcMar>
            <w:vAlign w:val="center"/>
          </w:tcPr>
          <w:p>
            <w:pPr>
              <w:spacing w:line="300" w:lineRule="exact"/>
              <w:ind w:firstLine="360" w:firstLineChars="200"/>
              <w:jc w:val="left"/>
              <w:rPr>
                <w:rFonts w:hint="eastAsia" w:ascii="Times New Roman" w:hAnsi="Times New Roman" w:eastAsia="楷体_GB2312" w:cs="Times New Roman"/>
                <w:sz w:val="18"/>
                <w:szCs w:val="18"/>
                <w:lang w:eastAsia="zh-CN"/>
              </w:rPr>
            </w:pPr>
            <w:r>
              <w:rPr>
                <w:rFonts w:hint="eastAsia" w:ascii="Times New Roman" w:hAnsi="Times New Roman" w:eastAsia="楷体_GB2312" w:cs="Times New Roman"/>
                <w:sz w:val="18"/>
                <w:szCs w:val="18"/>
                <w:lang w:eastAsia="zh-CN"/>
              </w:rPr>
              <w:t>无</w:t>
            </w:r>
          </w:p>
        </w:tc>
        <w:tc>
          <w:tcPr>
            <w:tcW w:w="571" w:type="dxa"/>
            <w:noWrap w:val="0"/>
            <w:tcMar>
              <w:top w:w="0" w:type="dxa"/>
              <w:left w:w="105" w:type="dxa"/>
              <w:bottom w:w="0" w:type="dxa"/>
              <w:right w:w="105" w:type="dxa"/>
            </w:tcMar>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tcBorders>
              <w:right w:val="single" w:color="auto" w:sz="4" w:space="0"/>
            </w:tcBorders>
            <w:noWrap w:val="0"/>
            <w:vAlign w:val="center"/>
          </w:tcPr>
          <w:p>
            <w:pPr>
              <w:spacing w:line="300" w:lineRule="exact"/>
              <w:jc w:val="center"/>
              <w:rPr>
                <w:rFonts w:eastAsia="楷体_GB2312"/>
                <w:sz w:val="18"/>
                <w:szCs w:val="18"/>
              </w:rPr>
            </w:pPr>
            <w:r>
              <w:rPr>
                <w:rFonts w:eastAsia="楷体_GB2312"/>
                <w:sz w:val="18"/>
                <w:szCs w:val="18"/>
              </w:rPr>
              <w:t>社会</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对照绩效目标，按社会效益实现程度计算得分</w:t>
            </w:r>
          </w:p>
        </w:tc>
        <w:tc>
          <w:tcPr>
            <w:tcW w:w="1788" w:type="dxa"/>
            <w:noWrap w:val="0"/>
            <w:tcMar>
              <w:top w:w="0" w:type="dxa"/>
              <w:left w:w="105" w:type="dxa"/>
              <w:bottom w:w="0" w:type="dxa"/>
              <w:right w:w="105" w:type="dxa"/>
            </w:tcMar>
            <w:vAlign w:val="center"/>
          </w:tcPr>
          <w:p>
            <w:pPr>
              <w:spacing w:line="300" w:lineRule="exact"/>
              <w:jc w:val="left"/>
              <w:rPr>
                <w:rFonts w:ascii="Times New Roman" w:hAnsi="Times New Roman" w:eastAsia="楷体_GB2312" w:cs="Times New Roman"/>
                <w:sz w:val="18"/>
                <w:szCs w:val="18"/>
              </w:rPr>
            </w:pPr>
            <w:r>
              <w:rPr>
                <w:rFonts w:hint="default" w:ascii="Times New Roman" w:hAnsi="Times New Roman" w:eastAsia="楷体_GB2312" w:cs="Times New Roman"/>
                <w:sz w:val="18"/>
                <w:szCs w:val="18"/>
              </w:rPr>
              <w:t>规范机构编制日常管理</w:t>
            </w:r>
          </w:p>
        </w:tc>
        <w:tc>
          <w:tcPr>
            <w:tcW w:w="571"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环境</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right w:val="nil"/>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w:t>
            </w:r>
          </w:p>
          <w:p>
            <w:pPr>
              <w:spacing w:line="300" w:lineRule="exact"/>
              <w:jc w:val="left"/>
              <w:rPr>
                <w:rFonts w:eastAsia="楷体_GB2312"/>
                <w:sz w:val="18"/>
                <w:szCs w:val="18"/>
              </w:rPr>
            </w:pPr>
            <w:r>
              <w:rPr>
                <w:rFonts w:eastAsia="楷体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对照绩效目标，按对环境所产生的实际影响程度计算得分</w:t>
            </w:r>
          </w:p>
        </w:tc>
        <w:tc>
          <w:tcPr>
            <w:tcW w:w="1788" w:type="dxa"/>
            <w:noWrap w:val="0"/>
            <w:tcMar>
              <w:top w:w="0" w:type="dxa"/>
              <w:left w:w="105" w:type="dxa"/>
              <w:bottom w:w="0" w:type="dxa"/>
              <w:right w:w="105" w:type="dxa"/>
            </w:tcMar>
            <w:vAlign w:val="center"/>
          </w:tcPr>
          <w:p>
            <w:pPr>
              <w:spacing w:line="300" w:lineRule="exact"/>
              <w:jc w:val="left"/>
              <w:rPr>
                <w:rFonts w:hint="eastAsia" w:ascii="Times New Roman" w:hAnsi="Times New Roman" w:eastAsia="楷体_GB2312" w:cs="Times New Roman"/>
                <w:sz w:val="18"/>
                <w:szCs w:val="18"/>
                <w:lang w:eastAsia="zh-CN"/>
              </w:rPr>
            </w:pPr>
            <w:r>
              <w:rPr>
                <w:rFonts w:hint="eastAsia" w:eastAsia="楷体_GB2312" w:cs="Times New Roman"/>
                <w:sz w:val="18"/>
                <w:szCs w:val="18"/>
                <w:lang w:eastAsia="zh-CN"/>
              </w:rPr>
              <w:t>不适用</w:t>
            </w:r>
          </w:p>
        </w:tc>
        <w:tc>
          <w:tcPr>
            <w:tcW w:w="571" w:type="dxa"/>
            <w:noWrap w:val="0"/>
            <w:tcMar>
              <w:top w:w="0" w:type="dxa"/>
              <w:left w:w="105" w:type="dxa"/>
              <w:bottom w:w="0" w:type="dxa"/>
              <w:right w:w="105" w:type="dxa"/>
            </w:tcMar>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可持续性</w:t>
            </w:r>
          </w:p>
        </w:tc>
        <w:tc>
          <w:tcPr>
            <w:tcW w:w="701" w:type="dxa"/>
            <w:vMerge w:val="continue"/>
            <w:noWrap w:val="0"/>
            <w:vAlign w:val="center"/>
          </w:tcPr>
          <w:p>
            <w:pPr>
              <w:jc w:val="center"/>
              <w:rPr>
                <w:rFonts w:hint="eastAsia" w:eastAsia="楷体_GB2312"/>
                <w:sz w:val="18"/>
                <w:szCs w:val="18"/>
              </w:rPr>
            </w:pP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对照绩效目标，按实际情况计算得分</w:t>
            </w:r>
          </w:p>
        </w:tc>
        <w:tc>
          <w:tcPr>
            <w:tcW w:w="1788" w:type="dxa"/>
            <w:noWrap w:val="0"/>
            <w:tcMar>
              <w:top w:w="0" w:type="dxa"/>
              <w:left w:w="105" w:type="dxa"/>
              <w:bottom w:w="0" w:type="dxa"/>
              <w:right w:w="105" w:type="dxa"/>
            </w:tcMar>
            <w:vAlign w:val="center"/>
          </w:tcPr>
          <w:p>
            <w:pPr>
              <w:spacing w:line="300" w:lineRule="exact"/>
              <w:jc w:val="left"/>
              <w:rPr>
                <w:rFonts w:hint="eastAsia" w:ascii="Times New Roman" w:hAnsi="Times New Roman" w:eastAsia="楷体_GB2312" w:cs="Times New Roman"/>
                <w:sz w:val="18"/>
                <w:szCs w:val="18"/>
                <w:lang w:eastAsia="zh-CN"/>
              </w:rPr>
            </w:pPr>
            <w:r>
              <w:rPr>
                <w:rFonts w:hint="eastAsia" w:eastAsia="楷体_GB2312" w:cs="Times New Roman"/>
                <w:sz w:val="18"/>
                <w:szCs w:val="18"/>
                <w:lang w:eastAsia="zh-CN"/>
              </w:rPr>
              <w:t>长期</w:t>
            </w:r>
            <w:r>
              <w:rPr>
                <w:rFonts w:hint="default" w:ascii="Times New Roman" w:hAnsi="Times New Roman" w:eastAsia="楷体_GB2312" w:cs="Times New Roman"/>
                <w:sz w:val="18"/>
                <w:szCs w:val="18"/>
              </w:rPr>
              <w:t>规范机构编制</w:t>
            </w:r>
          </w:p>
        </w:tc>
        <w:tc>
          <w:tcPr>
            <w:tcW w:w="571" w:type="dxa"/>
            <w:noWrap w:val="0"/>
            <w:tcMar>
              <w:top w:w="0" w:type="dxa"/>
              <w:left w:w="105" w:type="dxa"/>
              <w:bottom w:w="0" w:type="dxa"/>
              <w:right w:w="105" w:type="dxa"/>
            </w:tcMar>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260" w:lineRule="exact"/>
              <w:jc w:val="center"/>
              <w:rPr>
                <w:rFonts w:eastAsia="楷体_GB2312"/>
                <w:sz w:val="18"/>
                <w:szCs w:val="18"/>
              </w:rPr>
            </w:pPr>
            <w:r>
              <w:rPr>
                <w:rFonts w:eastAsia="楷体_GB2312"/>
                <w:sz w:val="18"/>
                <w:szCs w:val="18"/>
              </w:rPr>
              <w:t>社会公众与服务对象满意度</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hint="eastAsia" w:eastAsia="楷体_GB2312"/>
                <w:sz w:val="18"/>
                <w:szCs w:val="18"/>
              </w:rPr>
              <w:t>90%≤满意度≤100%记10分，</w:t>
            </w:r>
          </w:p>
          <w:p>
            <w:pPr>
              <w:spacing w:line="300" w:lineRule="exact"/>
              <w:jc w:val="left"/>
              <w:rPr>
                <w:rFonts w:hint="eastAsia" w:eastAsia="楷体_GB2312"/>
                <w:sz w:val="18"/>
                <w:szCs w:val="18"/>
              </w:rPr>
            </w:pPr>
            <w:r>
              <w:rPr>
                <w:rFonts w:hint="eastAsia" w:eastAsia="楷体_GB2312"/>
                <w:sz w:val="18"/>
                <w:szCs w:val="18"/>
              </w:rPr>
              <w:t>80%≤满意度&lt;90%记8分，</w:t>
            </w:r>
          </w:p>
          <w:p>
            <w:pPr>
              <w:spacing w:line="300" w:lineRule="exact"/>
              <w:jc w:val="left"/>
              <w:rPr>
                <w:rFonts w:hint="eastAsia" w:eastAsia="楷体_GB2312"/>
                <w:sz w:val="18"/>
                <w:szCs w:val="18"/>
              </w:rPr>
            </w:pPr>
            <w:r>
              <w:rPr>
                <w:rFonts w:hint="eastAsia" w:eastAsia="楷体_GB2312"/>
                <w:sz w:val="18"/>
                <w:szCs w:val="18"/>
              </w:rPr>
              <w:t>70%≤满意度&lt;80% 记6分，</w:t>
            </w:r>
          </w:p>
          <w:p>
            <w:pPr>
              <w:spacing w:line="300" w:lineRule="exact"/>
              <w:jc w:val="left"/>
              <w:rPr>
                <w:rFonts w:hint="eastAsia" w:eastAsia="楷体_GB2312"/>
                <w:sz w:val="18"/>
                <w:szCs w:val="18"/>
              </w:rPr>
            </w:pPr>
            <w:r>
              <w:rPr>
                <w:rFonts w:hint="eastAsia" w:eastAsia="楷体_GB2312"/>
                <w:sz w:val="18"/>
                <w:szCs w:val="18"/>
              </w:rPr>
              <w:t>60%≤满意度&lt;70%记4分，</w:t>
            </w:r>
          </w:p>
          <w:p>
            <w:pPr>
              <w:spacing w:line="300" w:lineRule="exact"/>
              <w:jc w:val="left"/>
              <w:rPr>
                <w:rFonts w:eastAsia="楷体_GB2312"/>
                <w:sz w:val="18"/>
                <w:szCs w:val="18"/>
              </w:rPr>
            </w:pPr>
            <w:r>
              <w:rPr>
                <w:rFonts w:hint="eastAsia" w:eastAsia="楷体_GB2312"/>
                <w:sz w:val="18"/>
                <w:szCs w:val="18"/>
              </w:rPr>
              <w:t>满意度&lt;60%记0分。</w:t>
            </w:r>
          </w:p>
        </w:tc>
        <w:tc>
          <w:tcPr>
            <w:tcW w:w="1788" w:type="dxa"/>
            <w:noWrap w:val="0"/>
            <w:tcMar>
              <w:top w:w="0" w:type="dxa"/>
              <w:left w:w="105" w:type="dxa"/>
              <w:bottom w:w="0" w:type="dxa"/>
              <w:right w:w="105" w:type="dxa"/>
            </w:tcMar>
            <w:vAlign w:val="center"/>
          </w:tcPr>
          <w:p>
            <w:pPr>
              <w:spacing w:line="300" w:lineRule="exact"/>
              <w:jc w:val="left"/>
              <w:rPr>
                <w:rFonts w:hint="default" w:ascii="Times New Roman" w:hAnsi="Times New Roman" w:eastAsia="楷体_GB2312" w:cs="Times New Roman"/>
                <w:sz w:val="18"/>
                <w:szCs w:val="18"/>
                <w:lang w:val="en-US" w:eastAsia="zh-CN"/>
              </w:rPr>
            </w:pPr>
            <w:r>
              <w:rPr>
                <w:rFonts w:hint="eastAsia" w:ascii="Times New Roman" w:hAnsi="Times New Roman" w:eastAsia="楷体_GB2312" w:cs="Times New Roman"/>
                <w:sz w:val="18"/>
                <w:szCs w:val="18"/>
                <w:lang w:eastAsia="zh-CN"/>
              </w:rPr>
              <w:t>满意度</w:t>
            </w:r>
            <w:r>
              <w:rPr>
                <w:rFonts w:hint="eastAsia" w:ascii="Times New Roman" w:hAnsi="Times New Roman" w:eastAsia="楷体_GB2312" w:cs="Times New Roman"/>
                <w:sz w:val="18"/>
                <w:szCs w:val="18"/>
                <w:lang w:val="en-US" w:eastAsia="zh-CN"/>
              </w:rPr>
              <w:t>95%</w:t>
            </w:r>
          </w:p>
        </w:tc>
        <w:tc>
          <w:tcPr>
            <w:tcW w:w="571"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6"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4750"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3123"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1788"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w:t>
            </w:r>
          </w:p>
        </w:tc>
        <w:tc>
          <w:tcPr>
            <w:tcW w:w="571" w:type="dxa"/>
            <w:noWrap w:val="0"/>
            <w:tcMar>
              <w:top w:w="0" w:type="dxa"/>
              <w:left w:w="105" w:type="dxa"/>
              <w:bottom w:w="0" w:type="dxa"/>
              <w:right w:w="105" w:type="dxa"/>
            </w:tcMar>
            <w:vAlign w:val="center"/>
          </w:tcPr>
          <w:p>
            <w:pPr>
              <w:rPr>
                <w:rFonts w:hint="default" w:eastAsia="楷体_GB2312"/>
                <w:lang w:val="en-US" w:eastAsia="zh-CN"/>
              </w:rPr>
            </w:pPr>
            <w:r>
              <w:rPr>
                <w:rFonts w:hint="eastAsia" w:eastAsia="楷体_GB2312"/>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30"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评价</w:t>
            </w:r>
          </w:p>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等级</w:t>
            </w:r>
          </w:p>
        </w:tc>
        <w:tc>
          <w:tcPr>
            <w:tcW w:w="13338" w:type="dxa"/>
            <w:gridSpan w:val="7"/>
            <w:noWrap w:val="0"/>
            <w:tcMar>
              <w:top w:w="0" w:type="dxa"/>
              <w:left w:w="105" w:type="dxa"/>
              <w:bottom w:w="0" w:type="dxa"/>
              <w:right w:w="105" w:type="dxa"/>
            </w:tcMar>
            <w:vAlign w:val="center"/>
          </w:tcPr>
          <w:p>
            <w:pPr>
              <w:spacing w:line="400" w:lineRule="exact"/>
              <w:ind w:firstLine="210" w:firstLineChars="100"/>
              <w:rPr>
                <w:rFonts w:hint="eastAsia" w:ascii="楷体_GB2312" w:hAnsi="楷体_GB2312" w:eastAsia="楷体_GB2312" w:cs="楷体_GB2312"/>
                <w:sz w:val="21"/>
                <w:szCs w:val="16"/>
              </w:rPr>
            </w:pPr>
            <w:r>
              <w:rPr>
                <w:rFonts w:hint="eastAsia" w:ascii="楷体_GB2312" w:hAnsi="楷体_GB2312" w:eastAsia="楷体_GB2312" w:cs="楷体_GB2312"/>
                <w:sz w:val="21"/>
                <w:szCs w:val="16"/>
                <w:lang w:eastAsia="zh-CN"/>
              </w:rPr>
              <w:t>☑</w:t>
            </w:r>
            <w:r>
              <w:rPr>
                <w:rFonts w:hint="eastAsia" w:ascii="楷体_GB2312" w:hAnsi="楷体_GB2312" w:eastAsia="楷体_GB2312" w:cs="楷体_GB2312"/>
                <w:sz w:val="21"/>
                <w:szCs w:val="16"/>
              </w:rPr>
              <w:t xml:space="preserve">优秀  90分≤得分≤100分；   □良好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spacing w:line="320" w:lineRule="exact"/>
        <w:ind w:firstLine="6490" w:firstLineChars="2950"/>
        <w:jc w:val="center"/>
        <w:rPr>
          <w:rFonts w:ascii="华文中宋" w:hAnsi="华文中宋" w:eastAsia="华文中宋"/>
          <w:sz w:val="22"/>
          <w:szCs w:val="24"/>
        </w:rPr>
      </w:pPr>
    </w:p>
    <w:p>
      <w:pPr>
        <w:spacing w:line="320" w:lineRule="exact"/>
        <w:ind w:firstLine="6490" w:firstLineChars="2950"/>
        <w:jc w:val="center"/>
        <w:rPr>
          <w:rFonts w:hint="eastAsia" w:ascii="楷体" w:hAnsi="楷体" w:eastAsia="楷体" w:cs="楷体"/>
          <w:sz w:val="22"/>
          <w:szCs w:val="24"/>
        </w:rPr>
      </w:pPr>
      <w:r>
        <w:rPr>
          <w:rFonts w:hint="eastAsia" w:ascii="楷体" w:hAnsi="楷体" w:eastAsia="楷体" w:cs="楷体"/>
          <w:sz w:val="22"/>
          <w:szCs w:val="24"/>
        </w:rPr>
        <w:t>单位负责人（签字）：</w:t>
      </w:r>
    </w:p>
    <w:p>
      <w:pPr>
        <w:spacing w:line="320" w:lineRule="exact"/>
        <w:ind w:firstLine="6270" w:firstLineChars="2850"/>
        <w:jc w:val="center"/>
        <w:rPr>
          <w:rFonts w:hint="eastAsia" w:ascii="楷体" w:hAnsi="楷体" w:eastAsia="楷体" w:cs="楷体"/>
          <w:sz w:val="22"/>
          <w:szCs w:val="24"/>
        </w:rPr>
        <w:sectPr>
          <w:pgSz w:w="16838" w:h="11906" w:orient="landscape"/>
          <w:pgMar w:top="1800" w:right="1440" w:bottom="1800" w:left="1440" w:header="851" w:footer="992" w:gutter="0"/>
          <w:cols w:space="720" w:num="1"/>
          <w:docGrid w:type="lines" w:linePitch="312" w:charSpace="0"/>
        </w:sectPr>
      </w:pPr>
      <w:r>
        <w:rPr>
          <w:rFonts w:hint="eastAsia" w:ascii="楷体" w:hAnsi="楷体" w:eastAsia="楷体" w:cs="楷体"/>
          <w:sz w:val="22"/>
          <w:szCs w:val="24"/>
        </w:rPr>
        <w:t>填表日期：  年   月   日</w:t>
      </w:r>
    </w:p>
    <w:p>
      <w:pPr>
        <w:spacing w:line="400" w:lineRule="exact"/>
        <w:ind w:left="0" w:leftChars="0" w:firstLine="0" w:firstLineChars="0"/>
        <w:jc w:val="left"/>
        <w:rPr>
          <w:color w:val="auto"/>
        </w:rPr>
      </w:pPr>
    </w:p>
    <w:sectPr>
      <w:pgSz w:w="11906" w:h="16838"/>
      <w:pgMar w:top="1440" w:right="1689" w:bottom="1440" w:left="1689"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zM4ZThjZWYxN2FjMzZhY2I0ZDM1NDViNDQxMDUifQ=="/>
  </w:docVars>
  <w:rsids>
    <w:rsidRoot w:val="00000000"/>
    <w:rsid w:val="007A1658"/>
    <w:rsid w:val="04A15406"/>
    <w:rsid w:val="13904C94"/>
    <w:rsid w:val="158D63B9"/>
    <w:rsid w:val="18344137"/>
    <w:rsid w:val="187C5652"/>
    <w:rsid w:val="1C427076"/>
    <w:rsid w:val="285E0D94"/>
    <w:rsid w:val="2FEA1696"/>
    <w:rsid w:val="307F244F"/>
    <w:rsid w:val="377A49F0"/>
    <w:rsid w:val="3C464938"/>
    <w:rsid w:val="3CFC1B24"/>
    <w:rsid w:val="3D612398"/>
    <w:rsid w:val="3E0364F8"/>
    <w:rsid w:val="3F2006FA"/>
    <w:rsid w:val="4377225A"/>
    <w:rsid w:val="4A426CA7"/>
    <w:rsid w:val="4BBA69BC"/>
    <w:rsid w:val="4C7A1C1B"/>
    <w:rsid w:val="54EC4841"/>
    <w:rsid w:val="58A837F3"/>
    <w:rsid w:val="5B05362C"/>
    <w:rsid w:val="5C353A58"/>
    <w:rsid w:val="5D704AEA"/>
    <w:rsid w:val="5FE6061C"/>
    <w:rsid w:val="60863167"/>
    <w:rsid w:val="64300B2F"/>
    <w:rsid w:val="66142010"/>
    <w:rsid w:val="6720097D"/>
    <w:rsid w:val="6A37610C"/>
    <w:rsid w:val="6D074F9B"/>
    <w:rsid w:val="71341344"/>
    <w:rsid w:val="73EC4A73"/>
    <w:rsid w:val="7A734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1"/>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qFormat/>
    <w:uiPriority w:val="99"/>
    <w:pPr>
      <w:ind w:firstLine="420" w:firstLineChars="200"/>
    </w:pPr>
  </w:style>
  <w:style w:type="paragraph" w:styleId="3">
    <w:name w:val="Body Text Indent"/>
    <w:basedOn w:val="1"/>
    <w:autoRedefine/>
    <w:qFormat/>
    <w:uiPriority w:val="99"/>
    <w:pPr>
      <w:spacing w:after="120"/>
      <w:ind w:left="420" w:leftChars="200"/>
    </w:pPr>
  </w:style>
  <w:style w:type="paragraph" w:styleId="4">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5">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autoRedefine/>
    <w:qFormat/>
    <w:uiPriority w:val="0"/>
    <w:rPr>
      <w:b/>
      <w:bCs/>
    </w:rPr>
  </w:style>
  <w:style w:type="character" w:styleId="10">
    <w:name w:val="page number"/>
    <w:basedOn w:val="8"/>
    <w:autoRedefine/>
    <w:qFormat/>
    <w:uiPriority w:val="0"/>
  </w:style>
  <w:style w:type="character" w:customStyle="1" w:styleId="11">
    <w:name w:val="NormalCharacter"/>
    <w:link w:val="1"/>
    <w:autoRedefine/>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5289</Words>
  <Characters>5714</Characters>
  <Lines>0</Lines>
  <Paragraphs>0</Paragraphs>
  <TotalTime>5</TotalTime>
  <ScaleCrop>false</ScaleCrop>
  <LinksUpToDate>false</LinksUpToDate>
  <CharactersWithSpaces>5830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2022-05-23T04:43:00Z</dcterms:created>
  <dc:creator>Administrator</dc:creator>
  <cp:lastModifiedBy>lucky  star</cp:lastModifiedBy>
  <cp:lastPrinted>2024-04-30T00:47:36Z</cp:lastPrinted>
  <dcterms:modified xsi:type="dcterms:W3CDTF">2024-04-30T01:41:26Z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F24D25ACFE4E47588A99E7031023AD16</vt:lpwstr>
  </property>
</Properties>
</file>