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bidi w:val="0"/>
        <w:snapToGrid/>
        <w:spacing w:line="600" w:lineRule="exact"/>
        <w:ind w:firstLine="883" w:firstLineChars="200"/>
        <w:jc w:val="center"/>
        <w:rPr>
          <w:rFonts w:ascii="黑体" w:hAnsi="宋体" w:eastAsia="黑体" w:cs="宋体"/>
          <w:b/>
          <w:bCs/>
          <w:color w:val="000000"/>
          <w:kern w:val="0"/>
          <w:sz w:val="44"/>
          <w:szCs w:val="44"/>
          <w:shd w:val="clear" w:color="auto" w:fill="FFFFFF"/>
        </w:rPr>
      </w:pPr>
    </w:p>
    <w:p>
      <w:pPr>
        <w:keepNext w:val="0"/>
        <w:keepLines w:val="0"/>
        <w:pageBreakBefore w:val="0"/>
        <w:widowControl/>
        <w:shd w:val="clear" w:color="auto" w:fill="FFFFFF"/>
        <w:kinsoku/>
        <w:wordWrap/>
        <w:overflowPunct/>
        <w:topLinePunct w:val="0"/>
        <w:bidi w:val="0"/>
        <w:snapToGrid/>
        <w:spacing w:line="600" w:lineRule="exact"/>
        <w:ind w:firstLine="883" w:firstLineChars="200"/>
        <w:jc w:val="center"/>
        <w:rPr>
          <w:rFonts w:hint="eastAsia" w:ascii="宋体" w:hAnsi="宋体" w:eastAsia="宋体" w:cs="宋体"/>
          <w:b/>
          <w:bCs/>
          <w:color w:val="000000"/>
          <w:kern w:val="0"/>
          <w:sz w:val="44"/>
          <w:szCs w:val="44"/>
          <w:shd w:val="clear" w:color="auto" w:fill="FFFFFF"/>
        </w:rPr>
      </w:pPr>
      <w:r>
        <w:rPr>
          <w:rFonts w:hint="eastAsia" w:ascii="宋体" w:hAnsi="宋体" w:eastAsia="宋体" w:cs="宋体"/>
          <w:b/>
          <w:bCs/>
          <w:color w:val="000000"/>
          <w:kern w:val="0"/>
          <w:sz w:val="44"/>
          <w:szCs w:val="44"/>
          <w:shd w:val="clear" w:color="auto" w:fill="FFFFFF"/>
        </w:rPr>
        <w:t>新晃县财政局</w:t>
      </w:r>
    </w:p>
    <w:p>
      <w:pPr>
        <w:keepNext w:val="0"/>
        <w:keepLines w:val="0"/>
        <w:pageBreakBefore w:val="0"/>
        <w:widowControl/>
        <w:shd w:val="clear" w:color="auto" w:fill="FFFFFF"/>
        <w:kinsoku/>
        <w:wordWrap/>
        <w:overflowPunct/>
        <w:topLinePunct w:val="0"/>
        <w:bidi w:val="0"/>
        <w:snapToGrid/>
        <w:spacing w:line="600" w:lineRule="exact"/>
        <w:ind w:firstLine="883" w:firstLineChars="200"/>
        <w:jc w:val="center"/>
        <w:rPr>
          <w:rFonts w:hint="eastAsia" w:ascii="宋体" w:hAnsi="宋体" w:eastAsia="宋体" w:cs="宋体"/>
          <w:b/>
          <w:bCs/>
          <w:color w:val="000000"/>
          <w:kern w:val="0"/>
          <w:sz w:val="44"/>
          <w:szCs w:val="44"/>
          <w:shd w:val="clear" w:color="auto" w:fill="FFFFFF"/>
        </w:rPr>
      </w:pPr>
      <w:r>
        <w:rPr>
          <w:rFonts w:hint="eastAsia" w:ascii="宋体" w:hAnsi="宋体" w:eastAsia="宋体" w:cs="宋体"/>
          <w:b/>
          <w:bCs/>
          <w:color w:val="000000"/>
          <w:kern w:val="0"/>
          <w:sz w:val="44"/>
          <w:szCs w:val="44"/>
          <w:shd w:val="clear" w:color="auto" w:fill="FFFFFF"/>
        </w:rPr>
        <w:t>20</w:t>
      </w:r>
      <w:r>
        <w:rPr>
          <w:rFonts w:hint="eastAsia" w:ascii="宋体" w:hAnsi="宋体" w:eastAsia="宋体" w:cs="宋体"/>
          <w:b/>
          <w:bCs/>
          <w:color w:val="000000"/>
          <w:kern w:val="0"/>
          <w:sz w:val="44"/>
          <w:szCs w:val="44"/>
          <w:shd w:val="clear" w:color="auto" w:fill="FFFFFF"/>
          <w:lang w:val="en-US" w:eastAsia="zh-CN"/>
        </w:rPr>
        <w:t>23</w:t>
      </w:r>
      <w:r>
        <w:rPr>
          <w:rFonts w:hint="eastAsia" w:ascii="宋体" w:hAnsi="宋体" w:eastAsia="宋体" w:cs="宋体"/>
          <w:b/>
          <w:bCs/>
          <w:color w:val="000000"/>
          <w:kern w:val="0"/>
          <w:sz w:val="44"/>
          <w:szCs w:val="44"/>
          <w:shd w:val="clear" w:color="auto" w:fill="FFFFFF"/>
        </w:rPr>
        <w:t>年度部门整体支出绩效</w:t>
      </w:r>
      <w:r>
        <w:rPr>
          <w:rFonts w:hint="eastAsia" w:ascii="宋体" w:hAnsi="宋体" w:eastAsia="宋体" w:cs="宋体"/>
          <w:b/>
          <w:bCs/>
          <w:color w:val="000000"/>
          <w:kern w:val="0"/>
          <w:sz w:val="44"/>
          <w:szCs w:val="44"/>
          <w:shd w:val="clear" w:color="auto" w:fill="FFFFFF"/>
          <w:lang w:eastAsia="zh-CN"/>
        </w:rPr>
        <w:t>自评</w:t>
      </w:r>
      <w:r>
        <w:rPr>
          <w:rFonts w:hint="eastAsia" w:ascii="宋体" w:hAnsi="宋体" w:eastAsia="宋体" w:cs="宋体"/>
          <w:b/>
          <w:bCs/>
          <w:color w:val="000000"/>
          <w:kern w:val="0"/>
          <w:sz w:val="44"/>
          <w:szCs w:val="44"/>
          <w:shd w:val="clear" w:color="auto" w:fill="FFFFFF"/>
        </w:rPr>
        <w:t>报告</w:t>
      </w:r>
    </w:p>
    <w:p>
      <w:pPr>
        <w:keepNext w:val="0"/>
        <w:keepLines w:val="0"/>
        <w:pageBreakBefore w:val="0"/>
        <w:widowControl/>
        <w:shd w:val="clear" w:color="auto" w:fill="FFFFFF"/>
        <w:kinsoku/>
        <w:wordWrap/>
        <w:overflowPunct/>
        <w:topLinePunct w:val="0"/>
        <w:bidi w:val="0"/>
        <w:snapToGrid/>
        <w:spacing w:line="600" w:lineRule="exact"/>
        <w:ind w:firstLine="880" w:firstLineChars="200"/>
        <w:jc w:val="center"/>
        <w:rPr>
          <w:rFonts w:ascii="宋体" w:hAnsi="宋体" w:cs="宋体"/>
          <w:color w:val="000000"/>
          <w:kern w:val="0"/>
          <w:sz w:val="44"/>
          <w:szCs w:val="44"/>
        </w:rPr>
      </w:pPr>
    </w:p>
    <w:p>
      <w:pPr>
        <w:pStyle w:val="8"/>
        <w:keepNext w:val="0"/>
        <w:keepLines w:val="0"/>
        <w:pageBreakBefore w:val="0"/>
        <w:numPr>
          <w:ilvl w:val="0"/>
          <w:numId w:val="0"/>
        </w:numPr>
        <w:kinsoku/>
        <w:wordWrap/>
        <w:overflowPunct/>
        <w:topLinePunct w:val="0"/>
        <w:bidi w:val="0"/>
        <w:snapToGrid/>
        <w:spacing w:line="600" w:lineRule="exact"/>
        <w:ind w:firstLine="643" w:firstLineChars="200"/>
        <w:rPr>
          <w:rFonts w:hint="eastAsia" w:ascii="宋体" w:hAnsi="宋体" w:eastAsia="宋体" w:cs="宋体"/>
          <w:b/>
          <w:bCs/>
          <w:sz w:val="32"/>
          <w:szCs w:val="32"/>
        </w:rPr>
      </w:pPr>
      <w:r>
        <w:rPr>
          <w:rFonts w:hint="default" w:ascii="宋体" w:hAnsi="宋体" w:eastAsia="宋体" w:cs="宋体"/>
          <w:b/>
          <w:bCs/>
          <w:kern w:val="2"/>
          <w:sz w:val="32"/>
          <w:szCs w:val="32"/>
          <w:lang w:val="en-US" w:eastAsia="zh-CN" w:bidi="ar-SA"/>
        </w:rPr>
        <w:t>一、</w:t>
      </w:r>
      <w:r>
        <w:rPr>
          <w:rFonts w:hint="eastAsia" w:ascii="宋体" w:hAnsi="宋体" w:eastAsia="宋体" w:cs="宋体"/>
          <w:b/>
          <w:bCs/>
          <w:sz w:val="32"/>
          <w:szCs w:val="32"/>
        </w:rPr>
        <w:t>部门（单位）基本概况:</w:t>
      </w:r>
    </w:p>
    <w:p>
      <w:pPr>
        <w:keepNext w:val="0"/>
        <w:keepLines w:val="0"/>
        <w:pageBreakBefore w:val="0"/>
        <w:widowControl/>
        <w:numPr>
          <w:ilvl w:val="0"/>
          <w:numId w:val="0"/>
        </w:numPr>
        <w:kinsoku/>
        <w:wordWrap/>
        <w:overflowPunct/>
        <w:topLinePunct w:val="0"/>
        <w:bidi w:val="0"/>
        <w:snapToGrid/>
        <w:spacing w:line="600" w:lineRule="exact"/>
        <w:ind w:left="0" w:leftChars="0" w:firstLine="643" w:firstLineChars="200"/>
        <w:rPr>
          <w:rFonts w:hint="eastAsia" w:ascii="楷体" w:hAnsi="楷体" w:eastAsia="楷体" w:cs="楷体"/>
          <w:b/>
          <w:bCs/>
          <w:sz w:val="32"/>
          <w:szCs w:val="32"/>
          <w:lang w:val="zh-CN"/>
        </w:rPr>
      </w:pPr>
      <w:r>
        <w:rPr>
          <w:rFonts w:hint="eastAsia" w:ascii="楷体" w:hAnsi="楷体" w:eastAsia="楷体" w:cs="楷体"/>
          <w:b/>
          <w:bCs/>
          <w:kern w:val="2"/>
          <w:sz w:val="32"/>
          <w:szCs w:val="32"/>
          <w:lang w:val="zh-CN" w:eastAsia="zh-CN" w:bidi="ar-SA"/>
        </w:rPr>
        <w:t>（一）</w:t>
      </w:r>
      <w:r>
        <w:rPr>
          <w:rFonts w:hint="eastAsia" w:ascii="楷体" w:hAnsi="楷体" w:eastAsia="楷体" w:cs="楷体"/>
          <w:b/>
          <w:bCs/>
          <w:sz w:val="32"/>
          <w:szCs w:val="32"/>
          <w:lang w:val="zh-CN" w:eastAsia="zh-CN"/>
        </w:rPr>
        <w:t>单位基本情况</w:t>
      </w:r>
    </w:p>
    <w:p>
      <w:pPr>
        <w:keepNext w:val="0"/>
        <w:keepLines w:val="0"/>
        <w:pageBreakBefore w:val="0"/>
        <w:widowControl/>
        <w:kinsoku/>
        <w:wordWrap/>
        <w:overflowPunct/>
        <w:topLinePunct w:val="0"/>
        <w:bidi w:val="0"/>
        <w:snapToGrid/>
        <w:spacing w:line="600" w:lineRule="exact"/>
        <w:ind w:firstLine="640" w:firstLineChars="200"/>
        <w:textAlignment w:val="auto"/>
        <w:rPr>
          <w:rFonts w:ascii="宋体" w:hAnsi="宋体" w:cs="仿宋"/>
          <w:sz w:val="28"/>
          <w:szCs w:val="28"/>
          <w:lang w:val="zh-CN"/>
        </w:rPr>
      </w:pPr>
      <w:r>
        <w:rPr>
          <w:rFonts w:hint="eastAsia" w:ascii="Times New Roman" w:hAnsi="Times New Roman" w:eastAsia="仿宋_GB2312" w:cs="Times New Roman"/>
          <w:sz w:val="32"/>
          <w:szCs w:val="32"/>
          <w:lang w:val="zh-CN" w:eastAsia="zh-CN"/>
        </w:rPr>
        <w:t>新晃县财政局内设行政股室15个，人员编制</w:t>
      </w:r>
      <w:r>
        <w:rPr>
          <w:rFonts w:hint="eastAsia" w:ascii="Times New Roman" w:hAnsi="Times New Roman" w:eastAsia="仿宋_GB2312" w:cs="Times New Roman"/>
          <w:sz w:val="32"/>
          <w:szCs w:val="32"/>
          <w:lang w:val="en-US" w:eastAsia="zh-CN"/>
        </w:rPr>
        <w:t>17个；</w:t>
      </w:r>
      <w:r>
        <w:rPr>
          <w:rFonts w:hint="eastAsia" w:ascii="Times New Roman" w:hAnsi="Times New Roman" w:eastAsia="仿宋_GB2312" w:cs="Times New Roman"/>
          <w:sz w:val="32"/>
          <w:szCs w:val="32"/>
          <w:lang w:val="zh-CN" w:eastAsia="zh-CN"/>
        </w:rPr>
        <w:t>事业机构</w:t>
      </w:r>
      <w:r>
        <w:rPr>
          <w:rFonts w:hint="eastAsia" w:ascii="Times New Roman" w:hAnsi="Times New Roman" w:eastAsia="仿宋_GB2312" w:cs="Times New Roman"/>
          <w:sz w:val="32"/>
          <w:szCs w:val="32"/>
          <w:lang w:val="en-US" w:eastAsia="zh-CN"/>
        </w:rPr>
        <w:t>14个,人员编制97个,实际在职人数114人。</w:t>
      </w:r>
      <w:r>
        <w:rPr>
          <w:rFonts w:hint="eastAsia" w:ascii="宋体" w:hAnsi="宋体" w:cs="仿宋"/>
          <w:sz w:val="28"/>
          <w:szCs w:val="28"/>
          <w:lang w:val="zh-CN"/>
        </w:rPr>
        <w:t xml:space="preserve"> </w:t>
      </w:r>
    </w:p>
    <w:p>
      <w:pPr>
        <w:keepNext w:val="0"/>
        <w:keepLines w:val="0"/>
        <w:pageBreakBefore w:val="0"/>
        <w:widowControl/>
        <w:kinsoku/>
        <w:wordWrap/>
        <w:overflowPunct/>
        <w:topLinePunct w:val="0"/>
        <w:bidi w:val="0"/>
        <w:snapToGrid/>
        <w:spacing w:line="600" w:lineRule="exact"/>
        <w:ind w:firstLine="562" w:firstLineChars="200"/>
        <w:textAlignment w:val="auto"/>
        <w:rPr>
          <w:rFonts w:ascii="宋体" w:hAnsi="宋体" w:cs="仿宋"/>
          <w:b/>
          <w:bCs/>
          <w:sz w:val="28"/>
          <w:szCs w:val="28"/>
          <w:lang w:val="zh-CN"/>
        </w:rPr>
      </w:pPr>
      <w:r>
        <w:rPr>
          <w:rFonts w:hint="eastAsia" w:ascii="宋体" w:hAnsi="宋体" w:cs="仿宋"/>
          <w:b/>
          <w:bCs/>
          <w:sz w:val="28"/>
          <w:szCs w:val="28"/>
          <w:lang w:val="zh-CN"/>
        </w:rPr>
        <w:t>单位主要职能：</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ascii="宋体" w:hAnsi="宋体" w:cs="仿宋"/>
          <w:sz w:val="28"/>
          <w:szCs w:val="28"/>
          <w:lang w:val="zh-CN"/>
        </w:rPr>
      </w:pPr>
      <w:r>
        <w:rPr>
          <w:rFonts w:hint="eastAsia" w:ascii="Times New Roman" w:hAnsi="Times New Roman" w:eastAsia="仿宋_GB2312" w:cs="Times New Roman"/>
          <w:kern w:val="2"/>
          <w:sz w:val="32"/>
          <w:szCs w:val="32"/>
          <w:lang w:val="zh-CN" w:eastAsia="zh-CN" w:bidi="ar-SA"/>
        </w:rPr>
        <w:t>1.</w:t>
      </w:r>
      <w:r>
        <w:rPr>
          <w:rFonts w:hint="eastAsia" w:eastAsia="仿宋_GB2312" w:cs="Times New Roman"/>
          <w:kern w:val="2"/>
          <w:sz w:val="32"/>
          <w:szCs w:val="32"/>
          <w:lang w:val="en-US" w:eastAsia="zh-CN" w:bidi="ar-SA"/>
        </w:rPr>
        <w:t xml:space="preserve"> </w:t>
      </w:r>
      <w:r>
        <w:rPr>
          <w:rFonts w:hint="eastAsia" w:ascii="Times New Roman" w:hAnsi="Times New Roman" w:eastAsia="仿宋_GB2312" w:cs="Times New Roman"/>
          <w:kern w:val="2"/>
          <w:sz w:val="32"/>
          <w:szCs w:val="32"/>
          <w:lang w:val="zh-CN" w:eastAsia="zh-CN" w:bidi="ar-SA"/>
        </w:rPr>
        <w:t>组织</w:t>
      </w:r>
      <w:r>
        <w:rPr>
          <w:rFonts w:hint="eastAsia" w:ascii="Times New Roman" w:hAnsi="Times New Roman" w:eastAsia="仿宋_GB2312" w:cs="Times New Roman"/>
          <w:sz w:val="32"/>
          <w:szCs w:val="32"/>
          <w:lang w:val="zh-CN" w:eastAsia="zh-CN"/>
        </w:rPr>
        <w:t xml:space="preserve">贯彻执行国家财税方针政策，拟订和执行全县财政政策、改革方案，指导全县财政工作；分析预测宏观经济形势，参与制定各项宏观经济政策；提出运用财税政策实施宏观调控和综合平衡社会财力的建议；拟订和执行县政府与企业的分配政策，完善鼓励公益事业发展的财税政策。         </w:t>
      </w:r>
      <w:r>
        <w:rPr>
          <w:rFonts w:hint="eastAsia" w:ascii="宋体" w:hAnsi="宋体" w:cs="仿宋"/>
          <w:sz w:val="28"/>
          <w:szCs w:val="28"/>
          <w:lang w:val="zh-CN"/>
        </w:rPr>
        <w:t xml:space="preserve">    </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kern w:val="2"/>
          <w:sz w:val="32"/>
          <w:szCs w:val="32"/>
          <w:lang w:val="zh-CN" w:eastAsia="zh-CN" w:bidi="ar-SA"/>
        </w:rPr>
        <w:t>2.</w:t>
      </w:r>
      <w:r>
        <w:rPr>
          <w:rFonts w:hint="eastAsia" w:eastAsia="仿宋_GB2312" w:cs="Times New Roman"/>
          <w:kern w:val="2"/>
          <w:sz w:val="32"/>
          <w:szCs w:val="32"/>
          <w:lang w:val="en-US" w:eastAsia="zh-CN" w:bidi="ar-SA"/>
        </w:rPr>
        <w:t xml:space="preserve"> </w:t>
      </w:r>
      <w:r>
        <w:rPr>
          <w:rFonts w:hint="eastAsia" w:ascii="Times New Roman" w:hAnsi="Times New Roman" w:eastAsia="仿宋_GB2312" w:cs="Times New Roman"/>
          <w:sz w:val="32"/>
          <w:szCs w:val="32"/>
          <w:lang w:val="zh-CN" w:eastAsia="zh-CN"/>
        </w:rPr>
        <w:t>制定和执行财政、财务、会议管理的制度及办法。</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kern w:val="2"/>
          <w:sz w:val="32"/>
          <w:szCs w:val="32"/>
          <w:lang w:val="zh-CN" w:eastAsia="zh-CN" w:bidi="ar-SA"/>
        </w:rPr>
        <w:t>3.</w:t>
      </w:r>
      <w:r>
        <w:rPr>
          <w:rFonts w:hint="eastAsia" w:eastAsia="仿宋_GB2312" w:cs="Times New Roman"/>
          <w:kern w:val="2"/>
          <w:sz w:val="32"/>
          <w:szCs w:val="32"/>
          <w:lang w:val="en-US" w:eastAsia="zh-CN" w:bidi="ar-SA"/>
        </w:rPr>
        <w:t xml:space="preserve"> </w:t>
      </w:r>
      <w:r>
        <w:rPr>
          <w:rFonts w:hint="eastAsia" w:ascii="Times New Roman" w:hAnsi="Times New Roman" w:eastAsia="仿宋_GB2312" w:cs="Times New Roman"/>
          <w:sz w:val="32"/>
          <w:szCs w:val="32"/>
          <w:lang w:val="zh-CN" w:eastAsia="zh-CN"/>
        </w:rPr>
        <w:t>承担县本级各项财政收支管理的责任。负责编制年度县本级预决算草案并组织执行。代编全县财政收支预算，汇总全县财政总决算；受县人民政府委托，向县人民代表大会报告县本级、全县预算及其执行情况，向县人大常委会报告决算。组织制订县本级经费开支标准、定额，负责审核批复部门（单位）的年度预决算。完善转移支付制度，推进省直管县财政体制改革。</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kern w:val="2"/>
          <w:sz w:val="32"/>
          <w:szCs w:val="32"/>
          <w:lang w:val="zh-CN" w:eastAsia="zh-CN" w:bidi="ar-SA"/>
        </w:rPr>
        <w:t>4.</w:t>
      </w:r>
      <w:r>
        <w:rPr>
          <w:rFonts w:hint="eastAsia" w:eastAsia="仿宋_GB2312" w:cs="Times New Roman"/>
          <w:kern w:val="2"/>
          <w:sz w:val="32"/>
          <w:szCs w:val="32"/>
          <w:lang w:val="en-US" w:eastAsia="zh-CN" w:bidi="ar-SA"/>
        </w:rPr>
        <w:t xml:space="preserve"> </w:t>
      </w:r>
      <w:r>
        <w:rPr>
          <w:rFonts w:hint="eastAsia" w:ascii="Times New Roman" w:hAnsi="Times New Roman" w:eastAsia="仿宋_GB2312" w:cs="Times New Roman"/>
          <w:sz w:val="32"/>
          <w:szCs w:val="32"/>
          <w:lang w:val="zh-CN" w:eastAsia="zh-CN"/>
        </w:rPr>
        <w:t>负责政府非税收入管理，负责政府性基金管理，按规定管理行政事业性收费。管理财政票据。制定彩票管理政策和有关办法，管理彩票市场，按规定管理彩票资金。</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kern w:val="2"/>
          <w:sz w:val="32"/>
          <w:szCs w:val="32"/>
          <w:lang w:val="zh-CN" w:eastAsia="zh-CN" w:bidi="ar-SA"/>
        </w:rPr>
        <w:t>5.</w:t>
      </w:r>
      <w:r>
        <w:rPr>
          <w:rFonts w:hint="eastAsia" w:eastAsia="仿宋_GB2312" w:cs="Times New Roman"/>
          <w:kern w:val="2"/>
          <w:sz w:val="32"/>
          <w:szCs w:val="32"/>
          <w:lang w:val="en-US" w:eastAsia="zh-CN" w:bidi="ar-SA"/>
        </w:rPr>
        <w:t xml:space="preserve"> </w:t>
      </w:r>
      <w:r>
        <w:rPr>
          <w:rFonts w:hint="eastAsia" w:ascii="Times New Roman" w:hAnsi="Times New Roman" w:eastAsia="仿宋_GB2312" w:cs="Times New Roman"/>
          <w:sz w:val="32"/>
          <w:szCs w:val="32"/>
          <w:lang w:val="zh-CN" w:eastAsia="zh-CN"/>
        </w:rPr>
        <w:t>组织制定国库管理制度、国库集中收付制度，指导和监督全县国库业务，按规定开展国库现金管理工作。负责制定政府采购制度并监督管理。</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6．</w:t>
      </w:r>
      <w:r>
        <w:rPr>
          <w:rFonts w:hint="eastAsia" w:ascii="Times New Roman" w:hAnsi="Times New Roman" w:eastAsia="仿宋_GB2312" w:cs="Times New Roman"/>
          <w:sz w:val="32"/>
          <w:szCs w:val="32"/>
          <w:lang w:val="zh-CN" w:eastAsia="zh-CN"/>
        </w:rPr>
        <w:t>贯彻执行国家税收法律、行政法规和税收调整政策，反馈政策执行情况，提出调整建议。参与县管理权限内有关税收政策及税收政策调整方案的调查研究，提出对策建议。</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7．</w:t>
      </w:r>
      <w:r>
        <w:rPr>
          <w:rFonts w:hint="eastAsia" w:ascii="Times New Roman" w:hAnsi="Times New Roman" w:eastAsia="仿宋_GB2312" w:cs="Times New Roman"/>
          <w:sz w:val="32"/>
          <w:szCs w:val="32"/>
          <w:lang w:val="zh-CN" w:eastAsia="zh-CN"/>
        </w:rPr>
        <w:t>负责制定全县行政事业单位国有资产管理规章制度，按规定管理行政事业单位国有资产，制定全县统一规定的开支标准和支出政策。</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8．</w:t>
      </w:r>
      <w:r>
        <w:rPr>
          <w:rFonts w:hint="eastAsia" w:ascii="Times New Roman" w:hAnsi="Times New Roman" w:eastAsia="仿宋_GB2312" w:cs="Times New Roman"/>
          <w:sz w:val="32"/>
          <w:szCs w:val="32"/>
          <w:lang w:val="zh-CN" w:eastAsia="zh-CN"/>
        </w:rPr>
        <w:t>负责审核和汇总编制全县国有资本经营预决算草案，制定国有资本经营预算的制度和办法，收取县本级企业国有资本收益，组织实施企业财务制度，按规定管理地方金融类企业国有资产，参与拟订企业国有资产管理相关制度，负责未纳入国资委监管企业的国有资产管理，管理资产评估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9</w:t>
      </w:r>
      <w:r>
        <w:rPr>
          <w:rFonts w:hint="eastAsia" w:eastAsia="仿宋_GB2312" w:cs="Times New Roman"/>
          <w:sz w:val="32"/>
          <w:szCs w:val="32"/>
          <w:lang w:val="en-US" w:eastAsia="zh-CN"/>
        </w:rPr>
        <w:t xml:space="preserve">. </w:t>
      </w:r>
      <w:r>
        <w:rPr>
          <w:rFonts w:hint="eastAsia" w:ascii="Times New Roman" w:hAnsi="Times New Roman" w:eastAsia="仿宋_GB2312" w:cs="Times New Roman"/>
          <w:sz w:val="32"/>
          <w:szCs w:val="32"/>
          <w:lang w:val="zh-CN" w:eastAsia="zh-CN"/>
        </w:rPr>
        <w:t>负责办理和监督县财政的经济发展支出、县级政府性投资项目的财政拨款，参与拟订县建设投资的有关政策，组织实施基本建设财务制度，负责有关政策性补贴和专项储备资金财政管理工作。负责农业综合开发管理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10．</w:t>
      </w:r>
      <w:r>
        <w:rPr>
          <w:rFonts w:hint="eastAsia" w:ascii="Times New Roman" w:hAnsi="Times New Roman" w:eastAsia="仿宋_GB2312" w:cs="Times New Roman"/>
          <w:sz w:val="32"/>
          <w:szCs w:val="32"/>
          <w:lang w:val="zh-CN" w:eastAsia="zh-CN"/>
        </w:rPr>
        <w:t>会同有关部门管理县财政社会保障和就业及医疗卫生支出，组织实施社会保障资金（基金）的财务管理制度，编制县社会保障预决算草案。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11．</w:t>
      </w:r>
      <w:r>
        <w:rPr>
          <w:rFonts w:hint="eastAsia" w:ascii="Times New Roman" w:hAnsi="Times New Roman" w:eastAsia="仿宋_GB2312" w:cs="Times New Roman"/>
          <w:sz w:val="32"/>
          <w:szCs w:val="32"/>
          <w:lang w:val="zh-CN" w:eastAsia="zh-CN"/>
        </w:rPr>
        <w:t>贯</w:t>
      </w:r>
      <w:r>
        <w:rPr>
          <w:rFonts w:hint="eastAsia" w:ascii="Times New Roman" w:hAnsi="Times New Roman" w:eastAsia="仿宋_GB2312" w:cs="Times New Roman"/>
          <w:sz w:val="32"/>
          <w:szCs w:val="32"/>
          <w:lang w:val="zh-CN" w:eastAsia="zh-CN"/>
        </w:rPr>
        <w:t>彻执行政府内外债务管理的政策、制度和办法，防范财政风险。负责统一管理县政府外债，制定基本管理制度，按规定管理外国政府和国际金融组织贷（赠）款。承担财税领域交流与合作的具体工作。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ascii="宋体" w:hAnsi="宋体" w:cs="仿宋"/>
          <w:sz w:val="28"/>
          <w:szCs w:val="28"/>
          <w:lang w:val="zh-CN"/>
        </w:rPr>
      </w:pPr>
      <w:r>
        <w:rPr>
          <w:rFonts w:hint="default" w:ascii="Times New Roman" w:hAnsi="Times New Roman" w:eastAsia="仿宋_GB2312" w:cs="Times New Roman"/>
          <w:sz w:val="32"/>
          <w:szCs w:val="32"/>
          <w:lang w:val="zh-CN" w:eastAsia="zh-CN"/>
        </w:rPr>
        <w:t>12．</w:t>
      </w:r>
      <w:r>
        <w:rPr>
          <w:rFonts w:hint="eastAsia" w:ascii="Times New Roman" w:hAnsi="Times New Roman" w:eastAsia="仿宋_GB2312" w:cs="Times New Roman"/>
          <w:sz w:val="32"/>
          <w:szCs w:val="32"/>
          <w:lang w:val="zh-CN" w:eastAsia="zh-CN"/>
        </w:rPr>
        <w:t>负责管理全县的会计工作，监督和规范会计行为，组织实施国家统一的会计制度，组织实施会计行政法规规章，指导和监督注册会计师和会计师事务所的业务，指导和管理社会审计。</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13．</w:t>
      </w:r>
      <w:r>
        <w:rPr>
          <w:rFonts w:hint="eastAsia" w:ascii="Times New Roman" w:hAnsi="Times New Roman" w:eastAsia="仿宋_GB2312" w:cs="Times New Roman"/>
          <w:sz w:val="32"/>
          <w:szCs w:val="32"/>
          <w:lang w:val="zh-CN" w:eastAsia="zh-CN"/>
        </w:rPr>
        <w:t>监督检查财税法规、政策的执行情况，反映财政收支管理中的重大问题，提出加强财政管理的政策和建议。</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14．</w:t>
      </w:r>
      <w:r>
        <w:rPr>
          <w:rFonts w:hint="eastAsia" w:ascii="Times New Roman" w:hAnsi="Times New Roman" w:eastAsia="仿宋_GB2312" w:cs="Times New Roman"/>
          <w:sz w:val="32"/>
          <w:szCs w:val="32"/>
          <w:lang w:val="zh-CN" w:eastAsia="zh-CN"/>
        </w:rPr>
        <w:t>承</w:t>
      </w:r>
      <w:r>
        <w:rPr>
          <w:rFonts w:hint="eastAsia" w:ascii="Times New Roman" w:hAnsi="Times New Roman" w:eastAsia="仿宋_GB2312" w:cs="Times New Roman"/>
          <w:sz w:val="32"/>
          <w:szCs w:val="32"/>
          <w:lang w:val="zh-CN" w:eastAsia="zh-CN"/>
        </w:rPr>
        <w:t>办县人民政府交办的其他事项。</w:t>
      </w:r>
    </w:p>
    <w:p>
      <w:pPr>
        <w:keepNext w:val="0"/>
        <w:keepLines w:val="0"/>
        <w:pageBreakBefore w:val="0"/>
        <w:widowControl/>
        <w:numPr>
          <w:ilvl w:val="0"/>
          <w:numId w:val="0"/>
        </w:numPr>
        <w:kinsoku/>
        <w:wordWrap/>
        <w:overflowPunct/>
        <w:topLinePunct w:val="0"/>
        <w:bidi w:val="0"/>
        <w:snapToGrid/>
        <w:spacing w:line="600" w:lineRule="exact"/>
        <w:ind w:left="0" w:leftChars="0" w:firstLine="643" w:firstLineChars="200"/>
        <w:rPr>
          <w:rFonts w:hint="eastAsia" w:ascii="楷体" w:hAnsi="楷体" w:eastAsia="楷体" w:cs="楷体"/>
          <w:b/>
          <w:bCs/>
          <w:kern w:val="2"/>
          <w:sz w:val="32"/>
          <w:szCs w:val="32"/>
          <w:lang w:val="zh-CN" w:eastAsia="zh-CN" w:bidi="ar-SA"/>
        </w:rPr>
      </w:pPr>
      <w:r>
        <w:rPr>
          <w:rFonts w:hint="eastAsia" w:ascii="楷体" w:hAnsi="楷体" w:eastAsia="楷体" w:cs="楷体"/>
          <w:b/>
          <w:bCs/>
          <w:kern w:val="2"/>
          <w:sz w:val="32"/>
          <w:szCs w:val="32"/>
          <w:lang w:val="en-US" w:eastAsia="zh-CN" w:bidi="ar-SA"/>
        </w:rPr>
        <w:t>（二）</w:t>
      </w:r>
      <w:r>
        <w:rPr>
          <w:rFonts w:hint="eastAsia" w:ascii="楷体" w:hAnsi="楷体" w:eastAsia="楷体" w:cs="楷体"/>
          <w:b/>
          <w:bCs/>
          <w:kern w:val="2"/>
          <w:sz w:val="32"/>
          <w:szCs w:val="32"/>
          <w:lang w:val="zh-CN" w:eastAsia="zh-CN" w:bidi="ar-SA"/>
        </w:rPr>
        <w:t>财务管理制度及执行情况</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局经费主要来源均是县本级财政预算安排。按照县要求，通过建立健全一系列内部管理办法和制度，一直坚持收支预算制度、民主理财制度、目标管理制度。在有限财力情况下，能保证机关正常运转，各项事业得到全面发展。</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eastAsia" w:eastAsia="仿宋_GB2312" w:cs="Times New Roman"/>
          <w:kern w:val="2"/>
          <w:sz w:val="32"/>
          <w:szCs w:val="32"/>
          <w:lang w:val="en-US" w:eastAsia="zh-CN" w:bidi="ar-SA"/>
        </w:rPr>
        <w:t>1</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b/>
          <w:bCs/>
          <w:sz w:val="32"/>
          <w:szCs w:val="32"/>
          <w:lang w:val="zh-CN" w:eastAsia="zh-CN"/>
        </w:rPr>
        <w:t>财务管理。</w:t>
      </w:r>
      <w:r>
        <w:rPr>
          <w:rFonts w:hint="eastAsia" w:ascii="Times New Roman" w:hAnsi="Times New Roman" w:eastAsia="仿宋_GB2312" w:cs="Times New Roman"/>
          <w:sz w:val="32"/>
          <w:szCs w:val="32"/>
          <w:lang w:val="zh-CN" w:eastAsia="zh-CN"/>
        </w:rPr>
        <w:t>严格按照有关规定，加强对财政各项资金的监督管理，确保资金及时、足额到位，并做到专款专用，资金支付依据和开支标准合法合规，未出现截留和挤占挪用现象。按规定对财政拨付的专项资金进行自检自查，做好资金项目的使用效益管理工作，充分发挥各项资金的使用效益，财政各项专项工作按时高质量完成。</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b/>
          <w:bCs/>
          <w:sz w:val="32"/>
          <w:szCs w:val="32"/>
          <w:lang w:val="zh-CN" w:eastAsia="zh-CN"/>
        </w:rPr>
        <w:t>政府采购实施计划。</w:t>
      </w:r>
      <w:r>
        <w:rPr>
          <w:rFonts w:hint="eastAsia" w:ascii="Times New Roman" w:hAnsi="Times New Roman" w:eastAsia="仿宋_GB2312" w:cs="Times New Roman"/>
          <w:sz w:val="32"/>
          <w:szCs w:val="32"/>
          <w:lang w:val="zh-CN" w:eastAsia="zh-CN"/>
        </w:rPr>
        <w:t>对需要经过政府采购的项目均进行了政府采购。</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kern w:val="2"/>
          <w:sz w:val="32"/>
          <w:szCs w:val="32"/>
          <w:lang w:val="en-US" w:eastAsia="zh-CN" w:bidi="ar-SA"/>
        </w:rPr>
        <w:t>3．</w:t>
      </w:r>
      <w:r>
        <w:rPr>
          <w:rFonts w:hint="eastAsia" w:ascii="Times New Roman" w:hAnsi="Times New Roman" w:eastAsia="仿宋_GB2312" w:cs="Times New Roman"/>
          <w:b/>
          <w:bCs/>
          <w:sz w:val="32"/>
          <w:szCs w:val="32"/>
          <w:lang w:val="zh-CN" w:eastAsia="zh-CN"/>
        </w:rPr>
        <w:t>资产管理。</w:t>
      </w:r>
      <w:r>
        <w:rPr>
          <w:rFonts w:hint="eastAsia" w:ascii="Times New Roman" w:hAnsi="Times New Roman" w:eastAsia="仿宋_GB2312" w:cs="Times New Roman"/>
          <w:sz w:val="32"/>
          <w:szCs w:val="32"/>
          <w:lang w:val="zh-CN" w:eastAsia="zh-CN"/>
        </w:rPr>
        <w:t>我局的国有资产均作了登记管理，建立资产登记台账，并落实专人负责，及时更新登记资产变动情况，定期对资产进行了盘点和清理，及时上报各类资产报表、数据，保障信息系统完整性。</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kern w:val="2"/>
          <w:sz w:val="32"/>
          <w:szCs w:val="32"/>
          <w:lang w:val="en-US" w:eastAsia="zh-CN" w:bidi="ar-SA"/>
        </w:rPr>
        <w:t>4．</w:t>
      </w:r>
      <w:r>
        <w:rPr>
          <w:rFonts w:hint="eastAsia" w:ascii="Times New Roman" w:hAnsi="Times New Roman" w:eastAsia="仿宋_GB2312" w:cs="Times New Roman"/>
          <w:b/>
          <w:bCs/>
          <w:sz w:val="32"/>
          <w:szCs w:val="32"/>
          <w:lang w:val="zh-CN" w:eastAsia="zh-CN"/>
        </w:rPr>
        <w:t>内控制度管理。</w:t>
      </w:r>
      <w:r>
        <w:rPr>
          <w:rFonts w:hint="eastAsia" w:ascii="Times New Roman" w:hAnsi="Times New Roman" w:eastAsia="仿宋_GB2312" w:cs="Times New Roman"/>
          <w:sz w:val="32"/>
          <w:szCs w:val="32"/>
          <w:lang w:val="zh-CN" w:eastAsia="zh-CN"/>
        </w:rPr>
        <w:t>根据省、市、县财政部门有关财务规章的规定，我局制订了《新晃县财政局财务制度》、《新晃县财政局内部控制制度》，明确了经费审批权限及程序，经费预算、核算管理、资产购置与处置、财务监督等。针对“三公”经费的管理主要遵照省、市、县的要求，我局规范了公务用车、公务接待、公务出差的审批管理，严控“三公经费”支出。目前，上述制度规定基本得到执行。</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kern w:val="2"/>
          <w:sz w:val="32"/>
          <w:szCs w:val="32"/>
          <w:lang w:val="en-US" w:eastAsia="zh-CN" w:bidi="ar-SA"/>
        </w:rPr>
        <w:t>5．</w:t>
      </w:r>
      <w:r>
        <w:rPr>
          <w:rFonts w:hint="eastAsia" w:ascii="Times New Roman" w:hAnsi="Times New Roman" w:eastAsia="仿宋_GB2312" w:cs="Times New Roman"/>
          <w:b/>
          <w:bCs/>
          <w:sz w:val="32"/>
          <w:szCs w:val="32"/>
          <w:lang w:val="zh-CN" w:eastAsia="zh-CN"/>
        </w:rPr>
        <w:t>信息公开。</w:t>
      </w:r>
      <w:r>
        <w:rPr>
          <w:rFonts w:hint="eastAsia" w:ascii="Times New Roman" w:hAnsi="Times New Roman" w:eastAsia="仿宋_GB2312" w:cs="Times New Roman"/>
          <w:sz w:val="32"/>
          <w:szCs w:val="32"/>
          <w:lang w:val="en-US" w:eastAsia="zh-CN"/>
        </w:rPr>
        <w:t>根据《中华人民共和国政府信息公开条例》等相关法规文件的要求，</w:t>
      </w:r>
      <w:r>
        <w:rPr>
          <w:rFonts w:hint="eastAsia" w:ascii="Times New Roman" w:hAnsi="Times New Roman" w:eastAsia="仿宋_GB2312" w:cs="Times New Roman"/>
          <w:sz w:val="32"/>
          <w:szCs w:val="32"/>
          <w:lang w:val="zh-CN" w:eastAsia="zh-CN"/>
        </w:rPr>
        <w:t>将部门预、决算信息、绩效评价等信息以及其他按要求应公开的信息均在新晃侗族自治县人民政府网及时对外公开，接受社会监督。</w:t>
      </w:r>
    </w:p>
    <w:p>
      <w:pPr>
        <w:keepNext w:val="0"/>
        <w:keepLines w:val="0"/>
        <w:pageBreakBefore w:val="0"/>
        <w:widowControl/>
        <w:numPr>
          <w:ilvl w:val="0"/>
          <w:numId w:val="0"/>
        </w:numPr>
        <w:kinsoku/>
        <w:wordWrap/>
        <w:overflowPunct/>
        <w:topLinePunct w:val="0"/>
        <w:bidi w:val="0"/>
        <w:snapToGrid/>
        <w:spacing w:line="600" w:lineRule="exact"/>
        <w:ind w:left="0" w:leftChars="0" w:firstLine="643" w:firstLineChars="200"/>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（三）财政收支情况</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以来，面对错综复杂的经济形势，我局财政工作在县委、县政府和上级财政部门的坚强领导下，以习近平新时代中国特色社会主义思想为指导，聚焦县委、县政府重点任务，牢牢把握新发展阶段的新使命新任务，科学研判经济形势，积极应对风险挑战，积极发挥财政职能，推进我县民生事业发展，全力以赴保障社会和谐稳定，助力全县高质量发展。</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2023年全年收入2415.51万元，其中财政拨款收入2415.51万元，占收入100%。</w:t>
      </w:r>
    </w:p>
    <w:p>
      <w:pPr>
        <w:keepNext w:val="0"/>
        <w:keepLines w:val="0"/>
        <w:pageBreakBefore w:val="0"/>
        <w:widowControl/>
        <w:numPr>
          <w:ilvl w:val="0"/>
          <w:numId w:val="0"/>
        </w:numPr>
        <w:shd w:val="clear" w:color="auto" w:fill="FFFFFF"/>
        <w:kinsoku/>
        <w:wordWrap/>
        <w:overflowPunct/>
        <w:topLinePunct w:val="0"/>
        <w:bidi w:val="0"/>
        <w:snapToGrid/>
        <w:spacing w:line="600" w:lineRule="exact"/>
        <w:ind w:left="0" w:leftChars="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2023年全年支出2415.51万元，其中基本支出2403.82万元，项目支出11.68万元，本年无收支结转结余。</w:t>
      </w:r>
    </w:p>
    <w:p>
      <w:pPr>
        <w:pStyle w:val="8"/>
        <w:keepNext w:val="0"/>
        <w:keepLines w:val="0"/>
        <w:pageBreakBefore w:val="0"/>
        <w:numPr>
          <w:ilvl w:val="0"/>
          <w:numId w:val="0"/>
        </w:numPr>
        <w:kinsoku/>
        <w:wordWrap/>
        <w:overflowPunct/>
        <w:topLinePunct w:val="0"/>
        <w:bidi w:val="0"/>
        <w:snapToGrid/>
        <w:spacing w:line="600" w:lineRule="exact"/>
        <w:ind w:firstLine="643" w:firstLineChars="200"/>
        <w:rPr>
          <w:rFonts w:hint="eastAsia" w:ascii="宋体" w:hAnsi="宋体" w:eastAsia="宋体" w:cs="宋体"/>
          <w:b/>
          <w:bCs/>
          <w:sz w:val="32"/>
          <w:szCs w:val="32"/>
        </w:rPr>
      </w:pPr>
      <w:r>
        <w:rPr>
          <w:rFonts w:hint="default" w:ascii="宋体" w:hAnsi="宋体" w:eastAsia="宋体" w:cs="宋体"/>
          <w:b/>
          <w:bCs/>
          <w:kern w:val="2"/>
          <w:sz w:val="32"/>
          <w:szCs w:val="32"/>
          <w:lang w:val="en-US" w:eastAsia="zh-CN" w:bidi="ar-SA"/>
        </w:rPr>
        <w:t>二、</w:t>
      </w:r>
      <w:r>
        <w:rPr>
          <w:rFonts w:hint="eastAsia" w:ascii="宋体" w:hAnsi="宋体" w:eastAsia="宋体" w:cs="宋体"/>
          <w:b/>
          <w:bCs/>
          <w:sz w:val="32"/>
          <w:szCs w:val="32"/>
        </w:rPr>
        <w:t>部门（单位）整体支出绩效状况</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0" w:firstLineChars="200"/>
        <w:textAlignment w:val="baseline"/>
        <w:rPr>
          <w:rFonts w:hint="default" w:ascii="Times New Roman" w:hAnsi="Times New Roman" w:eastAsia="仿宋_GB2312" w:cs="Times New Roman"/>
          <w:i w:val="0"/>
          <w:iCs w:val="0"/>
          <w:caps w:val="0"/>
          <w:color w:val="333333"/>
          <w:spacing w:val="0"/>
          <w:sz w:val="32"/>
          <w:szCs w:val="32"/>
          <w:shd w:val="clear" w:fill="FFFFFF"/>
        </w:rPr>
      </w:pPr>
      <w:r>
        <w:rPr>
          <w:rFonts w:hint="default" w:ascii="Times New Roman" w:hAnsi="Times New Roman" w:eastAsia="仿宋_GB2312" w:cs="Times New Roman"/>
          <w:sz w:val="32"/>
          <w:szCs w:val="32"/>
        </w:rPr>
        <w:t>2023年以来，面对错综复杂的经济形势，我</w:t>
      </w:r>
      <w:r>
        <w:rPr>
          <w:rFonts w:hint="default" w:ascii="Times New Roman" w:hAnsi="Times New Roman" w:eastAsia="仿宋_GB2312" w:cs="Times New Roman"/>
          <w:sz w:val="32"/>
          <w:szCs w:val="32"/>
          <w:lang w:val="en-US" w:eastAsia="zh-CN"/>
        </w:rPr>
        <w:t>局</w:t>
      </w:r>
      <w:r>
        <w:rPr>
          <w:rFonts w:hint="default" w:ascii="Times New Roman" w:hAnsi="Times New Roman" w:eastAsia="仿宋_GB2312" w:cs="Times New Roman"/>
          <w:sz w:val="32"/>
          <w:szCs w:val="32"/>
        </w:rPr>
        <w:t>财政工作在</w:t>
      </w:r>
      <w:r>
        <w:rPr>
          <w:rFonts w:hint="default" w:ascii="Times New Roman" w:hAnsi="Times New Roman" w:eastAsia="仿宋_GB2312" w:cs="Times New Roman"/>
          <w:sz w:val="32"/>
          <w:szCs w:val="32"/>
          <w:lang w:val="en-US" w:eastAsia="zh-CN"/>
        </w:rPr>
        <w:t>县</w:t>
      </w:r>
      <w:r>
        <w:rPr>
          <w:rFonts w:hint="default" w:ascii="Times New Roman" w:hAnsi="Times New Roman" w:eastAsia="仿宋_GB2312" w:cs="Times New Roman"/>
          <w:sz w:val="32"/>
          <w:szCs w:val="32"/>
        </w:rPr>
        <w:t>委、</w:t>
      </w:r>
      <w:r>
        <w:rPr>
          <w:rFonts w:hint="default" w:ascii="Times New Roman" w:hAnsi="Times New Roman" w:eastAsia="仿宋_GB2312" w:cs="Times New Roman"/>
          <w:sz w:val="32"/>
          <w:szCs w:val="32"/>
          <w:lang w:val="en-US" w:eastAsia="zh-CN"/>
        </w:rPr>
        <w:t>县</w:t>
      </w:r>
      <w:r>
        <w:rPr>
          <w:rFonts w:hint="default" w:ascii="Times New Roman" w:hAnsi="Times New Roman" w:eastAsia="仿宋_GB2312" w:cs="Times New Roman"/>
          <w:sz w:val="32"/>
          <w:szCs w:val="32"/>
        </w:rPr>
        <w:t>政府和上级财政部门的坚强领导下，以习近平新时代中国特色社会主义思想为指导，聚焦县委、县政府重点任务，牢牢把握新发展阶段的新使命新任务，科学研判经济形势，积极应对风险挑战，积极发挥财政职能，推进我县民生事业发展，全力以赴保障社会和谐稳定，助力全县高质量发展。</w:t>
      </w:r>
    </w:p>
    <w:p>
      <w:pPr>
        <w:keepNext w:val="0"/>
        <w:keepLines w:val="0"/>
        <w:pageBreakBefore w:val="0"/>
        <w:widowControl/>
        <w:numPr>
          <w:ilvl w:val="0"/>
          <w:numId w:val="0"/>
        </w:numPr>
        <w:kinsoku/>
        <w:wordWrap/>
        <w:overflowPunct/>
        <w:topLinePunct w:val="0"/>
        <w:bidi w:val="0"/>
        <w:snapToGrid/>
        <w:spacing w:line="600" w:lineRule="exact"/>
        <w:ind w:left="0" w:leftChars="0" w:firstLine="643" w:firstLineChars="200"/>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（一）聚焦基层党建，担当落实主体责任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leftChars="0" w:right="0" w:firstLine="643" w:firstLineChars="200"/>
        <w:jc w:val="left"/>
        <w:textAlignment w:val="auto"/>
        <w:rPr>
          <w:rFonts w:hint="default" w:ascii="Times New Roman" w:hAnsi="Times New Roman" w:eastAsia="楷体" w:cs="Times New Roman"/>
          <w:b/>
          <w:bCs/>
          <w:kern w:val="2"/>
          <w:sz w:val="32"/>
          <w:szCs w:val="32"/>
          <w:lang w:val="en-US" w:eastAsia="zh-CN" w:bidi="ar-SA"/>
        </w:rPr>
      </w:pP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一是全面落实党建工作责任制。</w:t>
      </w:r>
      <w:r>
        <w:rPr>
          <w:rFonts w:hint="default" w:ascii="Times New Roman" w:hAnsi="Times New Roman" w:eastAsia="仿宋_GB2312" w:cs="Times New Roman"/>
          <w:sz w:val="32"/>
          <w:szCs w:val="32"/>
          <w:lang w:val="en-US" w:eastAsia="zh-CN"/>
        </w:rPr>
        <w:t>坚持做到党建工作与业务工作一起研究部署、一起推动落实，局党组每个季度召开一次会议专题研究党建重点工作，局机关党委坚持每月召开会议安排、部署当月党建工作。坚持党员领导干部带头示范，带头上好党课，带头参加组织生活，带头开展批评和自我批评，给党员群众作出表率。</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二是持续强化党员政治理论学习。</w:t>
      </w:r>
      <w:r>
        <w:rPr>
          <w:rFonts w:hint="default" w:ascii="Times New Roman" w:hAnsi="Times New Roman" w:eastAsia="仿宋_GB2312" w:cs="Times New Roman"/>
          <w:sz w:val="32"/>
          <w:szCs w:val="32"/>
        </w:rPr>
        <w:t>坚持把学习贯彻习近平新时代中国特色社会主义思想和党的二十大精神作为首要政治任务</w:t>
      </w:r>
      <w:r>
        <w:rPr>
          <w:rFonts w:hint="default" w:ascii="Times New Roman" w:hAnsi="Times New Roman" w:eastAsia="仿宋_GB2312" w:cs="Times New Roman"/>
          <w:sz w:val="32"/>
          <w:szCs w:val="32"/>
          <w:lang w:val="en-US" w:eastAsia="zh-CN"/>
        </w:rPr>
        <w:t>，严格落实“第一议题”制度。举办党的二十大精神集中培训班1期，召开党的二十大精神宣讲报告会2次，坚持理论中心组专题学习研讨12次，强化党员干部政治理论武装，推动习近平新时代中国特色社会主义思想及党的二十大精神入脑入心，引导党员干部不断增强“四个意识”，坚定“四个自信”，做到“两个维护”，深刻领会“两个确立”的决定性意义，不断提高政治判断力、政治领悟力、政治执行力。</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三是深入推动“清廉机关”建设。</w:t>
      </w:r>
      <w:r>
        <w:rPr>
          <w:rFonts w:hint="default" w:ascii="Times New Roman" w:hAnsi="Times New Roman" w:eastAsia="仿宋_GB2312" w:cs="Times New Roman"/>
          <w:sz w:val="32"/>
          <w:szCs w:val="32"/>
          <w:lang w:val="en-US" w:eastAsia="zh-CN"/>
        </w:rPr>
        <w:t>党组书记和局党组成员带头上廉政党课，严格落实“一岗双责”，把“两个责任”的压力传导到位；开展多种形式的党员教育活动，</w:t>
      </w:r>
      <w:r>
        <w:rPr>
          <w:rFonts w:hint="default" w:ascii="Times New Roman" w:hAnsi="Times New Roman" w:eastAsia="仿宋_GB2312" w:cs="Times New Roman"/>
          <w:sz w:val="32"/>
          <w:szCs w:val="32"/>
          <w:lang w:val="en" w:eastAsia="zh-CN"/>
        </w:rPr>
        <w:t>组织党员到通道转兵、向警予纪念馆、安江农校杂交水稻纪念园等清廉文化教育基地参观学习，引领传承红色文化。</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3" w:firstLineChars="200"/>
        <w:textAlignment w:val="baseline"/>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（二）聚焦财力保障，科学统筹财政收支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leftChars="0" w:right="0" w:firstLine="640" w:firstLineChars="200"/>
        <w:jc w:val="left"/>
        <w:textAlignment w:val="auto"/>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pPr>
      <w:r>
        <w:rPr>
          <w:rFonts w:hint="default" w:ascii="Times New Roman" w:hAnsi="Times New Roman" w:eastAsia="仿宋_GB2312" w:cs="Times New Roman"/>
          <w:sz w:val="32"/>
          <w:szCs w:val="32"/>
          <w:lang w:val="en-US" w:eastAsia="zh-CN"/>
        </w:rPr>
        <w:t>紧紧围绕财政收入预期目标实现，不断推进科学化、精细化管理，确保财政收入平稳增长。</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一是积极向上对接。</w:t>
      </w:r>
      <w:r>
        <w:rPr>
          <w:rFonts w:hint="default" w:ascii="Times New Roman" w:hAnsi="Times New Roman" w:eastAsia="仿宋_GB2312" w:cs="Times New Roman"/>
          <w:sz w:val="32"/>
          <w:szCs w:val="32"/>
          <w:lang w:val="en-US" w:eastAsia="zh-CN"/>
        </w:rPr>
        <w:t>深入研究上级政策变化导向，及早摸清资金扶持方向，夯实项目争取基础，高频率“赴市进厅”对接，全力争取上级财政转移支付资金和债券资金支持，目前已争取</w:t>
      </w:r>
      <w:r>
        <w:rPr>
          <w:rFonts w:hint="default" w:ascii="Times New Roman" w:hAnsi="Times New Roman" w:eastAsia="仿宋_GB2312" w:cs="Times New Roman"/>
          <w:sz w:val="32"/>
          <w:szCs w:val="32"/>
        </w:rPr>
        <w:t>各类债券资金 10.76亿元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收到</w:t>
      </w:r>
      <w:r>
        <w:rPr>
          <w:rFonts w:hint="default" w:ascii="Times New Roman" w:hAnsi="Times New Roman" w:eastAsia="仿宋_GB2312" w:cs="Times New Roman"/>
          <w:sz w:val="32"/>
          <w:szCs w:val="32"/>
        </w:rPr>
        <w:t>上级资金17.93 亿元</w:t>
      </w:r>
      <w:r>
        <w:rPr>
          <w:rFonts w:hint="default" w:ascii="Times New Roman" w:hAnsi="Times New Roman" w:eastAsia="仿宋_GB2312" w:cs="Times New Roman"/>
          <w:sz w:val="32"/>
          <w:szCs w:val="32"/>
          <w:lang w:eastAsia="zh-CN"/>
        </w:rPr>
        <w:t>。</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二是强化税收管理。</w:t>
      </w:r>
      <w:r>
        <w:rPr>
          <w:rFonts w:hint="default" w:ascii="Times New Roman" w:hAnsi="Times New Roman" w:eastAsia="仿宋_GB2312" w:cs="Times New Roman"/>
          <w:sz w:val="32"/>
          <w:szCs w:val="32"/>
          <w:lang w:val="en-US" w:eastAsia="zh-CN"/>
        </w:rPr>
        <w:t>面临经济下行压力大、房地产市场持续降温、落实减税降费政策、审计署查处退税整改等不利因素影响，虽然我县地方财政收入总体下降30.14%，但这只是收入在进行结构性调整，剔除退税因素，财政收入同比增长1.64%，县域经济企稳向好的基本盘未变。主要体现在真实反映经济发展的共享税收同比增长4.94%，连续三年保持稳定增长；税占比达74.34%，比上年提升0.76个百分点，结构持续优化；财政部门加大“三资”清理盘活力度，河道采砂经营权、公共停车经营权均实现收入，抵销了县级收入减收带来压力。</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三是优化支出结构。</w:t>
      </w:r>
      <w:r>
        <w:rPr>
          <w:rFonts w:hint="default" w:ascii="Times New Roman" w:hAnsi="Times New Roman" w:eastAsia="仿宋_GB2312" w:cs="Times New Roman"/>
          <w:sz w:val="32"/>
          <w:szCs w:val="32"/>
        </w:rPr>
        <w:t>落实好政府过紧日子要求，大力压减一般性支出，细化预算编制，强化预算约束</w:t>
      </w:r>
      <w:r>
        <w:rPr>
          <w:rFonts w:hint="default" w:ascii="Times New Roman" w:hAnsi="Times New Roman" w:eastAsia="仿宋_GB2312" w:cs="Times New Roman"/>
          <w:sz w:val="32"/>
          <w:szCs w:val="32"/>
          <w:lang w:val="en-US" w:eastAsia="zh-CN"/>
        </w:rPr>
        <w:t>。全年民生相关支出占一般公共预算支出比重达92%，比上年增加38156万元;全年教育总投入达52712万元，比上年增加6920万元，支持学生营养改善计划、校车安全运营补贴、学校生均公用经费等资金保障,落实教育投入“两个只增不减”政策;安排6527万元,连续提高城乡居民基础养老金发放水平，每人每月增至143.26元；安排6963万元，及时足额保障城乡低保、特困救助等补助发放；安排12634万元，支持提升城乡居民医疗保障水平，城乡居民医保报销比率提升至68%。</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四是全力保障乡村振兴战略实施。</w:t>
      </w:r>
      <w:r>
        <w:rPr>
          <w:rFonts w:hint="default" w:ascii="Times New Roman" w:hAnsi="Times New Roman" w:eastAsia="仿宋_GB2312" w:cs="Times New Roman"/>
          <w:sz w:val="32"/>
          <w:szCs w:val="32"/>
          <w:lang w:val="en-US" w:eastAsia="zh-CN"/>
        </w:rPr>
        <w:t>安排统筹整合财政涉农资金</w:t>
      </w:r>
      <w:r>
        <w:rPr>
          <w:rFonts w:hint="default" w:ascii="Times New Roman" w:hAnsi="Times New Roman" w:eastAsia="仿宋_GB2312" w:cs="Times New Roman"/>
          <w:sz w:val="32"/>
          <w:szCs w:val="32"/>
        </w:rPr>
        <w:t>14572.74万元</w:t>
      </w:r>
      <w:r>
        <w:rPr>
          <w:rFonts w:hint="default" w:ascii="Times New Roman" w:hAnsi="Times New Roman" w:eastAsia="仿宋_GB2312" w:cs="Times New Roman"/>
          <w:sz w:val="32"/>
          <w:szCs w:val="32"/>
          <w:lang w:val="en-US" w:eastAsia="zh-CN"/>
        </w:rPr>
        <w:t>，支持“三农”事业良性发展。投入4135万元，建成覆盖9个乡镇11.71万亩的高标准农田，改善农业生产条件，实</w:t>
      </w:r>
      <w:r>
        <w:rPr>
          <w:rFonts w:hint="default" w:ascii="Times New Roman" w:hAnsi="Times New Roman" w:eastAsia="仿宋_GB2312" w:cs="Times New Roman"/>
          <w:sz w:val="32"/>
          <w:szCs w:val="32"/>
        </w:rPr>
        <w:t>现耕地高效利用</w:t>
      </w:r>
      <w:r>
        <w:rPr>
          <w:rFonts w:hint="default" w:ascii="Times New Roman" w:hAnsi="Times New Roman" w:eastAsia="仿宋_GB2312" w:cs="Times New Roman"/>
          <w:sz w:val="32"/>
          <w:szCs w:val="32"/>
          <w:lang w:eastAsia="zh-CN"/>
        </w:rPr>
        <w:t>及</w:t>
      </w:r>
      <w:r>
        <w:rPr>
          <w:rFonts w:hint="default" w:ascii="Times New Roman" w:hAnsi="Times New Roman" w:eastAsia="仿宋_GB2312" w:cs="Times New Roman"/>
          <w:sz w:val="32"/>
          <w:szCs w:val="32"/>
        </w:rPr>
        <w:t>保障农民增收，保障我县粮食安全和食品安全</w:t>
      </w:r>
      <w:r>
        <w:rPr>
          <w:rFonts w:hint="default" w:ascii="Times New Roman" w:hAnsi="Times New Roman" w:eastAsia="仿宋_GB2312" w:cs="Times New Roman"/>
          <w:sz w:val="32"/>
          <w:szCs w:val="32"/>
          <w:lang w:val="en-US" w:eastAsia="zh-CN"/>
        </w:rPr>
        <w:t>；安排3508万元，大力扶持龙头企业、专业合作社、家庭家场、庭院经济示范户等，与村集体联动发展特色产业，带动农民增收；为2000户贫困户提供贷款贴息资金400万元，稳定贫困人口持续增收；</w:t>
      </w:r>
      <w:r>
        <w:rPr>
          <w:rFonts w:hint="default" w:ascii="Times New Roman" w:hAnsi="Times New Roman" w:eastAsia="仿宋_GB2312" w:cs="Times New Roman"/>
          <w:sz w:val="32"/>
          <w:szCs w:val="32"/>
        </w:rPr>
        <w:t>投入人居环境整治资金</w:t>
      </w:r>
      <w:r>
        <w:rPr>
          <w:rFonts w:hint="default" w:ascii="Times New Roman" w:hAnsi="Times New Roman" w:eastAsia="仿宋_GB2312" w:cs="Times New Roman"/>
          <w:sz w:val="32"/>
          <w:szCs w:val="32"/>
          <w:lang w:val="en-US" w:eastAsia="zh-CN"/>
        </w:rPr>
        <w:t>1210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，农村卫生厕所改造526万元，</w:t>
      </w:r>
      <w:r>
        <w:rPr>
          <w:rFonts w:hint="default" w:ascii="Times New Roman" w:hAnsi="Times New Roman" w:eastAsia="仿宋_GB2312" w:cs="Times New Roman"/>
          <w:sz w:val="32"/>
          <w:szCs w:val="32"/>
        </w:rPr>
        <w:t>实施“百村千寨万户和美工程”示范创建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乡村振兴示范创建</w:t>
      </w:r>
      <w:r>
        <w:rPr>
          <w:rFonts w:hint="default" w:ascii="Times New Roman" w:hAnsi="Times New Roman" w:eastAsia="仿宋_GB2312" w:cs="Times New Roman"/>
          <w:sz w:val="32"/>
          <w:szCs w:val="32"/>
          <w:lang w:eastAsia="zh-CN"/>
        </w:rPr>
        <w:t>、农村人居环境整治提升等项目，</w:t>
      </w:r>
      <w:r>
        <w:rPr>
          <w:rFonts w:hint="default" w:ascii="Times New Roman" w:hAnsi="Times New Roman" w:eastAsia="仿宋_GB2312" w:cs="Times New Roman"/>
          <w:sz w:val="32"/>
          <w:szCs w:val="32"/>
        </w:rPr>
        <w:t>波洲镇江口桂花岛、晃州镇向家</w:t>
      </w:r>
      <w:r>
        <w:rPr>
          <w:rFonts w:hint="default" w:ascii="Times New Roman" w:hAnsi="Times New Roman" w:eastAsia="仿宋_GB2312" w:cs="Times New Roman"/>
          <w:sz w:val="32"/>
          <w:szCs w:val="32"/>
          <w:lang w:eastAsia="zh-CN"/>
        </w:rPr>
        <w:t>成功地</w:t>
      </w:r>
      <w:r>
        <w:rPr>
          <w:rFonts w:hint="default" w:ascii="Times New Roman" w:hAnsi="Times New Roman" w:eastAsia="仿宋_GB2312" w:cs="Times New Roman"/>
          <w:sz w:val="32"/>
          <w:szCs w:val="32"/>
        </w:rPr>
        <w:t>入列怀化市和美乡村建设“十大网红打卡点”</w:t>
      </w:r>
      <w:r>
        <w:rPr>
          <w:rFonts w:hint="default" w:ascii="Times New Roman" w:hAnsi="Times New Roman" w:eastAsia="仿宋_GB2312" w:cs="Times New Roman"/>
          <w:sz w:val="32"/>
          <w:szCs w:val="32"/>
          <w:lang w:eastAsia="zh-CN"/>
        </w:rPr>
        <w:t>；安排整合资金</w:t>
      </w:r>
      <w:r>
        <w:rPr>
          <w:rFonts w:hint="default" w:ascii="Times New Roman" w:hAnsi="Times New Roman" w:eastAsia="仿宋_GB2312" w:cs="Times New Roman"/>
          <w:sz w:val="32"/>
          <w:szCs w:val="32"/>
          <w:lang w:val="en-US" w:eastAsia="zh-CN"/>
        </w:rPr>
        <w:t>3798万元用于农村供水保障设施建设、中小河流治理、重点山洪沟防洪治理、小水源建设及水库除险加固及小型农业水利设施建设等，切实提升农村饮水安全及水利基础设施。</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3" w:firstLineChars="200"/>
        <w:textAlignment w:val="baseline"/>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（三）聚焦制度建设，锚定财政工作目标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一是</w:t>
      </w:r>
      <w:r>
        <w:rPr>
          <w:rFonts w:hint="default" w:ascii="Times New Roman" w:hAnsi="Times New Roman" w:eastAsia="仿宋_GB2312" w:cs="Times New Roman"/>
          <w:sz w:val="32"/>
          <w:szCs w:val="32"/>
        </w:rPr>
        <w:t>认真贯彻落实打好发展“六仗”部署，建立县本级服务打好“发展六仗”财政政策制度体系，修订完善《新晃县政府投资项目管理办法》，严格遏制新增政府隐性债务，加强财政承债能力评估，开展违规举债、虚假化债专项整治</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出台《打好防范化解风险阻击战工作方案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打好防范化解风险阻击战专班工作规则》，用活“六个一批”措施，制定“四转四打包”方案，建立债务风险防范、化解、处置红黄牌预警机制，防范化解债务风险</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预计到今年年底完成政府隐性债务化解任务1.64亿元，历年累计完成化债14.48亿元，债务余额8.41亿元</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实施财源建设“八大攻坚”，收回在欠税款432万元；盘活存量资产，增强自身造血功能；加大两违整治力度，实现罚没收入200余万元；</w:t>
      </w:r>
      <w:r>
        <w:rPr>
          <w:rFonts w:hint="default" w:ascii="Times New Roman" w:hAnsi="Times New Roman" w:eastAsia="仿宋_GB2312" w:cs="Times New Roman"/>
          <w:sz w:val="32"/>
          <w:szCs w:val="32"/>
          <w:lang w:val="en-US" w:eastAsia="zh-CN"/>
        </w:rPr>
        <w:t>三是</w:t>
      </w:r>
      <w:r>
        <w:rPr>
          <w:rFonts w:hint="default" w:ascii="Times New Roman" w:hAnsi="Times New Roman" w:eastAsia="仿宋_GB2312" w:cs="Times New Roman"/>
          <w:sz w:val="32"/>
          <w:szCs w:val="32"/>
        </w:rPr>
        <w:t>加强政策引导，发展本土烟叶产业，持续培育骨干财源。2023年，烤烟种植6106亩，可收购烟叶1.5万担，将创烟叶税收450万元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强化重点税源培植，出台《县工业集区鼓励投资兴业的若干政策规定》</w:t>
      </w:r>
      <w:r>
        <w:rPr>
          <w:rFonts w:hint="default" w:ascii="Times New Roman" w:hAnsi="Times New Roman" w:eastAsia="仿宋_GB2312" w:cs="Times New Roman"/>
          <w:sz w:val="32"/>
          <w:szCs w:val="32"/>
          <w:lang w:eastAsia="zh-CN"/>
        </w:rPr>
        <w:t>；</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四是大力加强财会监督。</w:t>
      </w:r>
      <w:r>
        <w:rPr>
          <w:rFonts w:hint="default" w:ascii="Times New Roman" w:hAnsi="Times New Roman" w:eastAsia="仿宋_GB2312" w:cs="Times New Roman"/>
          <w:sz w:val="32"/>
          <w:szCs w:val="32"/>
        </w:rPr>
        <w:t>深入学习宣传贯彻中办、国办印发的《关于进一步加强财会监督工作的意见》，制定我县2023年财会监督检查工作方案，并按季度细化监督检查工作重点，</w:t>
      </w:r>
      <w:r>
        <w:rPr>
          <w:rFonts w:hint="default" w:ascii="Times New Roman" w:hAnsi="Times New Roman" w:eastAsia="仿宋_GB2312" w:cs="Times New Roman"/>
          <w:sz w:val="32"/>
          <w:szCs w:val="32"/>
          <w:lang w:val="en-US" w:eastAsia="zh-CN"/>
        </w:rPr>
        <w:t>完成了5个行政事业单位会计信息质量检查，完成对税友财务咨询有限公司代理记账的信息质量、执业水平和综合管理水平的检查。完成了对县就业服务中心创业担保贷款贴息资金的专项检查和对农业局高标准农田建设项目的预决算执行情况检查。协助县纪委、县委巡察办对步头降乡、禾滩镇、凉伞镇等9个乡镇的“三湘护农”专项监督检查对县教育局、县卫健局等单位“三公”经费的监督检查。</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3" w:firstLineChars="200"/>
        <w:textAlignment w:val="baseline"/>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（四）聚焦摸清家产，切实提升“三资”效益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600" w:lineRule="exact"/>
        <w:ind w:left="0" w:leftChars="0" w:right="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加强制度设计，出台《2023年度国有“三资”清查处置与管理改革行动方案》《行政事业单位国有资产配置管理暂行办法》《行政事业单位国有资产处置管理暂行办法》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全面摸清了辖区内国有“三资”，成立六个工作专班，明确工作责任分工，确保强力推动、协调推进清查处置工作</w:t>
      </w:r>
      <w:r>
        <w:rPr>
          <w:rFonts w:hint="default" w:ascii="Times New Roman" w:hAnsi="Times New Roman" w:eastAsia="仿宋_GB2312" w:cs="Times New Roman"/>
          <w:sz w:val="32"/>
          <w:szCs w:val="32"/>
        </w:rPr>
        <w:t>；创新盘活方式，沉淀闲置资产转行盘活利用；招商引资开发地产、矿产等自然资源。截至</w:t>
      </w:r>
      <w:r>
        <w:rPr>
          <w:rFonts w:hint="default" w:ascii="Times New Roman" w:hAnsi="Times New Roman" w:eastAsia="仿宋_GB2312" w:cs="Times New Roman"/>
          <w:sz w:val="32"/>
          <w:szCs w:val="32"/>
          <w:lang w:val="en-US" w:eastAsia="zh-CN"/>
        </w:rPr>
        <w:t>目前</w:t>
      </w:r>
      <w:r>
        <w:rPr>
          <w:rFonts w:hint="default" w:ascii="Times New Roman" w:hAnsi="Times New Roman" w:eastAsia="仿宋_GB2312" w:cs="Times New Roman"/>
          <w:sz w:val="32"/>
          <w:szCs w:val="32"/>
        </w:rPr>
        <w:t>，清查行政事业单位</w:t>
      </w:r>
      <w:r>
        <w:rPr>
          <w:rFonts w:hint="default" w:ascii="Times New Roman" w:hAnsi="Times New Roman" w:eastAsia="仿宋_GB2312" w:cs="Times New Roman"/>
          <w:sz w:val="32"/>
          <w:szCs w:val="32"/>
          <w:lang w:eastAsia="en-US"/>
        </w:rPr>
        <w:t>闲置低效国有资产</w:t>
      </w:r>
      <w:r>
        <w:rPr>
          <w:rFonts w:hint="default" w:ascii="Times New Roman" w:hAnsi="Times New Roman" w:eastAsia="仿宋_GB2312" w:cs="Times New Roman"/>
          <w:sz w:val="32"/>
          <w:szCs w:val="32"/>
        </w:rPr>
        <w:t>资源227处，账面原值69225.49万元；全县累计盘活资产78项，完成收益142300万元，其中入库收益51350万元。</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3" w:firstLineChars="200"/>
        <w:textAlignment w:val="baseline"/>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（五）聚焦绩效指挥棒，推动预算绩效全过程管理</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600" w:lineRule="exact"/>
        <w:ind w:firstLine="643" w:firstLineChars="200"/>
        <w:textAlignment w:val="baseline"/>
        <w:rPr>
          <w:rFonts w:hint="eastAsia"/>
          <w:b/>
          <w:bCs/>
          <w:sz w:val="28"/>
          <w:szCs w:val="28"/>
        </w:rPr>
      </w:pP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一是推动事前绩效评估。</w:t>
      </w:r>
      <w:r>
        <w:rPr>
          <w:rFonts w:hint="default" w:ascii="Times New Roman" w:hAnsi="Times New Roman" w:eastAsia="仿宋_GB2312" w:cs="Times New Roman"/>
          <w:sz w:val="32"/>
          <w:szCs w:val="32"/>
        </w:rPr>
        <w:t>根据出台的《县本级预算事前绩效评估管理暂行办法》，对2023年拟申报财政安排的污水处理厂提质改造及中水回用工程等项目开展财政事前绩效评估，涉及申报财政资金11620.82万元；对老旧小区燃气管道老化更新改造、旧城区排水防涝雨污分流管网建设等项目开展部门事前评估，涉及申报预算资金3191.28万元。</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二是严把绩效目标编审。</w:t>
      </w:r>
      <w:r>
        <w:rPr>
          <w:rFonts w:hint="default" w:ascii="Times New Roman" w:hAnsi="Times New Roman" w:eastAsia="仿宋_GB2312" w:cs="Times New Roman"/>
          <w:sz w:val="32"/>
          <w:szCs w:val="32"/>
        </w:rPr>
        <w:t>前移预算管理重心，建立健全资金分配源头管控机制，严格绩效目标编审，落实绩效目标“三方会审”制度，全面完成135个预算单位2023年绩效目标编审、公开、报送、批复工作。</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三是推进事中绩效监控。</w:t>
      </w:r>
      <w:r>
        <w:rPr>
          <w:rFonts w:hint="default" w:ascii="Times New Roman" w:hAnsi="Times New Roman" w:eastAsia="仿宋_GB2312" w:cs="Times New Roman"/>
          <w:sz w:val="32"/>
          <w:szCs w:val="32"/>
        </w:rPr>
        <w:t>组织135个预算单位开展1-7月预算支出部门绩效运行监控，涉及预算资金110081.89万元。</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四是提质扩围事后评价。</w:t>
      </w:r>
      <w:r>
        <w:rPr>
          <w:rFonts w:hint="default" w:ascii="Times New Roman" w:hAnsi="Times New Roman" w:eastAsia="仿宋_GB2312" w:cs="Times New Roman"/>
          <w:sz w:val="32"/>
          <w:szCs w:val="32"/>
        </w:rPr>
        <w:t>组织135个预算单位对2022年度部门预算支出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全覆盖开展整体支出、项目支出绩效自评；实施13个财政绩效评价，涉及一般公共预算、政府性基金预算等十大类34492.77万元财政资金；同步组织10个预算单位开展部门绩效评价，涉及农、林、水、文、卫、教、商、发改、环保、就业等民生重点领域9486.237万元项目资金。</w:t>
      </w:r>
      <w:r>
        <w:rPr>
          <w:rFonts w:hint="default" w:ascii="Times New Roman" w:hAnsi="Times New Roman" w:eastAsia="仿宋" w:cs="Times New Roman"/>
          <w:b/>
          <w:bCs/>
          <w:i w:val="0"/>
          <w:iCs w:val="0"/>
          <w:caps w:val="0"/>
          <w:color w:val="auto"/>
          <w:spacing w:val="0"/>
          <w:kern w:val="0"/>
          <w:sz w:val="32"/>
          <w:szCs w:val="32"/>
          <w:shd w:val="clear" w:color="auto" w:fill="FFFFFF"/>
          <w:lang w:val="en-US" w:eastAsia="zh-CN" w:bidi="ar"/>
        </w:rPr>
        <w:t>五是严格绩效结果应用。</w:t>
      </w:r>
      <w:r>
        <w:rPr>
          <w:rFonts w:hint="default" w:ascii="Times New Roman" w:hAnsi="Times New Roman" w:eastAsia="仿宋_GB2312" w:cs="Times New Roman"/>
          <w:sz w:val="32"/>
          <w:szCs w:val="32"/>
        </w:rPr>
        <w:t>认真落实绩效结果与预算安排、政策调整和工作考核挂钩机制：编制下年度部门预算，将上年度绩效评价结果作为项目预算安排要素，根据绩效评价结果等次优先安排预算</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编制</w:t>
      </w:r>
      <w:r>
        <w:rPr>
          <w:rFonts w:hint="default" w:ascii="Times New Roman" w:hAnsi="Times New Roman" w:eastAsia="仿宋_GB2312" w:cs="Times New Roman"/>
          <w:sz w:val="32"/>
          <w:szCs w:val="32"/>
        </w:rPr>
        <w:t>转移支付分配方案</w:t>
      </w:r>
      <w:r>
        <w:rPr>
          <w:rFonts w:hint="default" w:ascii="Times New Roman" w:hAnsi="Times New Roman" w:eastAsia="仿宋_GB2312" w:cs="Times New Roman"/>
          <w:sz w:val="32"/>
          <w:szCs w:val="32"/>
          <w:lang w:eastAsia="zh-CN"/>
        </w:rPr>
        <w:t>。</w:t>
      </w:r>
    </w:p>
    <w:p>
      <w:pPr>
        <w:pStyle w:val="8"/>
        <w:keepNext w:val="0"/>
        <w:keepLines w:val="0"/>
        <w:pageBreakBefore w:val="0"/>
        <w:numPr>
          <w:ilvl w:val="0"/>
          <w:numId w:val="0"/>
        </w:numPr>
        <w:kinsoku/>
        <w:wordWrap/>
        <w:overflowPunct/>
        <w:topLinePunct w:val="0"/>
        <w:bidi w:val="0"/>
        <w:snapToGrid/>
        <w:spacing w:line="600"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lang w:eastAsia="zh-CN"/>
        </w:rPr>
        <w:t>三、</w:t>
      </w:r>
      <w:r>
        <w:rPr>
          <w:rFonts w:hint="eastAsia" w:ascii="宋体" w:hAnsi="宋体" w:eastAsia="宋体" w:cs="宋体"/>
          <w:b/>
          <w:bCs/>
          <w:sz w:val="32"/>
          <w:szCs w:val="32"/>
        </w:rPr>
        <w:t>存在的问题及原因：</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600" w:lineRule="exact"/>
        <w:ind w:firstLine="640" w:firstLineChars="200"/>
        <w:textAlignment w:val="baseline"/>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经费保障不足，</w:t>
      </w:r>
      <w:r>
        <w:rPr>
          <w:rFonts w:hint="eastAsia" w:ascii="Times New Roman" w:hAnsi="Times New Roman" w:eastAsia="仿宋_GB2312" w:cs="Times New Roman"/>
          <w:sz w:val="32"/>
          <w:szCs w:val="32"/>
        </w:rPr>
        <w:t>由于财政下拨的年初预算只按平均每人每年1.5万元的标准安排单位人头经费，远远小于人员支出以及公用支出的刚性需求，必须使用财政的其他拨款弥补人员支出。</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600" w:lineRule="exact"/>
        <w:ind w:firstLine="640" w:firstLineChars="200"/>
        <w:textAlignment w:val="baseline"/>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2、由于单位人员变动较大，固定资产使用人交接程序存在不规范的情况，造成固定资产的登记、管理不便，资产管理需要加强。</w:t>
      </w:r>
    </w:p>
    <w:p>
      <w:pPr>
        <w:pStyle w:val="8"/>
        <w:keepNext w:val="0"/>
        <w:keepLines w:val="0"/>
        <w:pageBreakBefore w:val="0"/>
        <w:numPr>
          <w:ilvl w:val="0"/>
          <w:numId w:val="0"/>
        </w:numPr>
        <w:kinsoku/>
        <w:wordWrap/>
        <w:overflowPunct/>
        <w:topLinePunct w:val="0"/>
        <w:bidi w:val="0"/>
        <w:snapToGrid/>
        <w:spacing w:line="600" w:lineRule="exact"/>
        <w:ind w:firstLine="643" w:firstLineChars="200"/>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四、提高财政资金绩效的措施与建议：</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600" w:lineRule="exact"/>
        <w:ind w:firstLine="640" w:firstLineChars="200"/>
        <w:textAlignment w:val="baseline"/>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600" w:lineRule="exact"/>
        <w:ind w:firstLine="640" w:firstLineChars="200"/>
        <w:textAlignment w:val="baseline"/>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进一步贯彻落实中央“八项规定”和湖南省委“九条规定”，建立本部门“三公经费”等公务支出管理制度及厉行节约制度，加强经费审批和控制，规范支出标准与范围，并严格执行。</w:t>
      </w:r>
    </w:p>
    <w:p>
      <w:pPr>
        <w:pStyle w:val="8"/>
        <w:keepNext w:val="0"/>
        <w:keepLines w:val="0"/>
        <w:pageBreakBefore w:val="0"/>
        <w:numPr>
          <w:ilvl w:val="0"/>
          <w:numId w:val="0"/>
        </w:numPr>
        <w:kinsoku/>
        <w:wordWrap/>
        <w:overflowPunct/>
        <w:topLinePunct w:val="0"/>
        <w:bidi w:val="0"/>
        <w:snapToGrid/>
        <w:spacing w:line="600" w:lineRule="exact"/>
        <w:ind w:firstLine="643" w:firstLineChars="200"/>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五、附件（佐证依据）</w:t>
      </w:r>
    </w:p>
    <w:p>
      <w:pPr>
        <w:pStyle w:val="8"/>
        <w:keepNext w:val="0"/>
        <w:keepLines w:val="0"/>
        <w:pageBreakBefore w:val="0"/>
        <w:kinsoku/>
        <w:wordWrap/>
        <w:overflowPunct/>
        <w:topLinePunct w:val="0"/>
        <w:bidi w:val="0"/>
        <w:snapToGrid/>
        <w:spacing w:line="600" w:lineRule="exact"/>
        <w:ind w:firstLine="560" w:firstLineChars="200"/>
        <w:rPr>
          <w:rFonts w:ascii="宋体" w:hAnsi="宋体"/>
          <w:kern w:val="0"/>
          <w:sz w:val="28"/>
          <w:szCs w:val="28"/>
        </w:rPr>
      </w:pPr>
      <w:r>
        <w:rPr>
          <w:rFonts w:hint="eastAsia" w:ascii="宋体" w:hAnsi="宋体"/>
          <w:kern w:val="0"/>
          <w:sz w:val="28"/>
          <w:szCs w:val="28"/>
        </w:rPr>
        <w:t>无</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600" w:lineRule="exact"/>
        <w:ind w:firstLine="560" w:firstLineChars="200"/>
        <w:textAlignment w:val="baseline"/>
        <w:rPr>
          <w:rFonts w:hint="eastAsia" w:ascii="Times New Roman" w:hAnsi="Times New Roman" w:eastAsia="仿宋_GB2312" w:cs="Times New Roman"/>
          <w:sz w:val="32"/>
          <w:szCs w:val="32"/>
          <w:lang w:eastAsia="zh-CN"/>
        </w:rPr>
      </w:pPr>
      <w:r>
        <w:rPr>
          <w:rFonts w:hint="eastAsia"/>
          <w:sz w:val="28"/>
          <w:szCs w:val="28"/>
          <w:lang w:val="en-US" w:eastAsia="zh-CN"/>
        </w:rPr>
        <w:t xml:space="preserve">                              </w:t>
      </w:r>
      <w:bookmarkStart w:id="0" w:name="_GoBack"/>
      <w:bookmarkEnd w:id="0"/>
      <w:r>
        <w:rPr>
          <w:rFonts w:hint="eastAsia" w:ascii="Times New Roman" w:hAnsi="Times New Roman" w:eastAsia="仿宋_GB2312" w:cs="Times New Roman"/>
          <w:sz w:val="32"/>
          <w:szCs w:val="32"/>
          <w:lang w:eastAsia="zh-CN"/>
        </w:rPr>
        <w:t>新晃侗族自治县财政局</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600" w:lineRule="exact"/>
        <w:ind w:firstLine="640" w:firstLineChars="200"/>
        <w:textAlignment w:val="baseline"/>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eastAsia"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2024</w:t>
      </w:r>
      <w:r>
        <w:rPr>
          <w:rFonts w:hint="eastAsia" w:ascii="Times New Roman" w:hAnsi="Times New Roman" w:eastAsia="仿宋_GB2312" w:cs="Times New Roman"/>
          <w:sz w:val="32"/>
          <w:szCs w:val="32"/>
        </w:rPr>
        <w:t xml:space="preserve">年 </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 xml:space="preserve">月 </w:t>
      </w:r>
      <w:r>
        <w:rPr>
          <w:rFonts w:hint="eastAsia" w:ascii="Times New Roman" w:hAnsi="Times New Roman" w:eastAsia="仿宋_GB2312" w:cs="Times New Roman"/>
          <w:sz w:val="32"/>
          <w:szCs w:val="32"/>
          <w:lang w:val="en-US" w:eastAsia="zh-CN"/>
        </w:rPr>
        <w:t>15</w:t>
      </w:r>
      <w:r>
        <w:rPr>
          <w:rFonts w:hint="eastAsia" w:ascii="Times New Roman" w:hAnsi="Times New Roman" w:eastAsia="仿宋_GB2312" w:cs="Times New Roman"/>
          <w:sz w:val="32"/>
          <w:szCs w:val="32"/>
        </w:rPr>
        <w:t xml:space="preserve"> 日</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4OTVmMDU1OTE1MGY2MTI1NTk2MTNhNTc0ZmEyOWQifQ=="/>
  </w:docVars>
  <w:rsids>
    <w:rsidRoot w:val="009440A8"/>
    <w:rsid w:val="00000115"/>
    <w:rsid w:val="00065C7C"/>
    <w:rsid w:val="000810AC"/>
    <w:rsid w:val="000A6AEC"/>
    <w:rsid w:val="0010728A"/>
    <w:rsid w:val="00142798"/>
    <w:rsid w:val="00143BE8"/>
    <w:rsid w:val="00176834"/>
    <w:rsid w:val="00196228"/>
    <w:rsid w:val="00197289"/>
    <w:rsid w:val="0021075E"/>
    <w:rsid w:val="002244E6"/>
    <w:rsid w:val="0023734B"/>
    <w:rsid w:val="002500B0"/>
    <w:rsid w:val="00250FBD"/>
    <w:rsid w:val="00251241"/>
    <w:rsid w:val="00266CB2"/>
    <w:rsid w:val="0027545D"/>
    <w:rsid w:val="002A4C23"/>
    <w:rsid w:val="002E31F4"/>
    <w:rsid w:val="002F0B75"/>
    <w:rsid w:val="003041A3"/>
    <w:rsid w:val="00351690"/>
    <w:rsid w:val="00365415"/>
    <w:rsid w:val="003E60B7"/>
    <w:rsid w:val="00423EC6"/>
    <w:rsid w:val="00474B2C"/>
    <w:rsid w:val="00474FD9"/>
    <w:rsid w:val="0047787B"/>
    <w:rsid w:val="004B61B4"/>
    <w:rsid w:val="004F5EA4"/>
    <w:rsid w:val="005245C5"/>
    <w:rsid w:val="0053543A"/>
    <w:rsid w:val="00537E34"/>
    <w:rsid w:val="00575CF6"/>
    <w:rsid w:val="00576870"/>
    <w:rsid w:val="005834CB"/>
    <w:rsid w:val="005D2CA8"/>
    <w:rsid w:val="005D5A67"/>
    <w:rsid w:val="005F569F"/>
    <w:rsid w:val="0060732D"/>
    <w:rsid w:val="006948A2"/>
    <w:rsid w:val="006C4B38"/>
    <w:rsid w:val="006F0650"/>
    <w:rsid w:val="006F6BBE"/>
    <w:rsid w:val="00740C19"/>
    <w:rsid w:val="0076168A"/>
    <w:rsid w:val="007D530D"/>
    <w:rsid w:val="007E4A61"/>
    <w:rsid w:val="007F73C2"/>
    <w:rsid w:val="008031E6"/>
    <w:rsid w:val="008472E6"/>
    <w:rsid w:val="00856BF4"/>
    <w:rsid w:val="008911B8"/>
    <w:rsid w:val="008A5789"/>
    <w:rsid w:val="008C1DB8"/>
    <w:rsid w:val="008C4807"/>
    <w:rsid w:val="008E0E7D"/>
    <w:rsid w:val="008F23B6"/>
    <w:rsid w:val="009014FD"/>
    <w:rsid w:val="0090359A"/>
    <w:rsid w:val="00911485"/>
    <w:rsid w:val="009440A8"/>
    <w:rsid w:val="0094648C"/>
    <w:rsid w:val="009575A4"/>
    <w:rsid w:val="00962CA5"/>
    <w:rsid w:val="009911FF"/>
    <w:rsid w:val="009B47A4"/>
    <w:rsid w:val="009D2FD3"/>
    <w:rsid w:val="009D797A"/>
    <w:rsid w:val="009E54BA"/>
    <w:rsid w:val="009F5CBB"/>
    <w:rsid w:val="00A22BD2"/>
    <w:rsid w:val="00A26712"/>
    <w:rsid w:val="00A26CDA"/>
    <w:rsid w:val="00A347C4"/>
    <w:rsid w:val="00A37A41"/>
    <w:rsid w:val="00AB6EB8"/>
    <w:rsid w:val="00AE045A"/>
    <w:rsid w:val="00AE1D44"/>
    <w:rsid w:val="00AE2296"/>
    <w:rsid w:val="00B15588"/>
    <w:rsid w:val="00B24523"/>
    <w:rsid w:val="00B73C3A"/>
    <w:rsid w:val="00B77C2B"/>
    <w:rsid w:val="00BA2886"/>
    <w:rsid w:val="00BA37B3"/>
    <w:rsid w:val="00BA495F"/>
    <w:rsid w:val="00BF4B97"/>
    <w:rsid w:val="00C815AC"/>
    <w:rsid w:val="00CB4555"/>
    <w:rsid w:val="00CC3969"/>
    <w:rsid w:val="00CE11FA"/>
    <w:rsid w:val="00D5262A"/>
    <w:rsid w:val="00D80BFD"/>
    <w:rsid w:val="00DB0DFA"/>
    <w:rsid w:val="00DE1564"/>
    <w:rsid w:val="00E148BF"/>
    <w:rsid w:val="00E6596B"/>
    <w:rsid w:val="00E81D8D"/>
    <w:rsid w:val="00EB7643"/>
    <w:rsid w:val="00EE4334"/>
    <w:rsid w:val="00EE6536"/>
    <w:rsid w:val="00F14634"/>
    <w:rsid w:val="00F26802"/>
    <w:rsid w:val="00F32716"/>
    <w:rsid w:val="00F811AF"/>
    <w:rsid w:val="00F91CC2"/>
    <w:rsid w:val="00F97EEC"/>
    <w:rsid w:val="00FC2568"/>
    <w:rsid w:val="07744195"/>
    <w:rsid w:val="0A59465D"/>
    <w:rsid w:val="176E448A"/>
    <w:rsid w:val="1BA75662"/>
    <w:rsid w:val="1DB241AF"/>
    <w:rsid w:val="20784E15"/>
    <w:rsid w:val="275E67FC"/>
    <w:rsid w:val="31CE074C"/>
    <w:rsid w:val="335E433E"/>
    <w:rsid w:val="35D14518"/>
    <w:rsid w:val="36DB5515"/>
    <w:rsid w:val="3A9F26D4"/>
    <w:rsid w:val="3CCD3CFD"/>
    <w:rsid w:val="41D82766"/>
    <w:rsid w:val="45FD35D1"/>
    <w:rsid w:val="4A0930B9"/>
    <w:rsid w:val="4A17294E"/>
    <w:rsid w:val="4BD27220"/>
    <w:rsid w:val="50DF781F"/>
    <w:rsid w:val="50E62D33"/>
    <w:rsid w:val="52362F3F"/>
    <w:rsid w:val="55661A6A"/>
    <w:rsid w:val="566B62A7"/>
    <w:rsid w:val="566D5ACE"/>
    <w:rsid w:val="587868EA"/>
    <w:rsid w:val="5C211809"/>
    <w:rsid w:val="63973532"/>
    <w:rsid w:val="6CDF4640"/>
    <w:rsid w:val="6EA23374"/>
    <w:rsid w:val="6F465233"/>
    <w:rsid w:val="727D7C2F"/>
    <w:rsid w:val="74875356"/>
    <w:rsid w:val="7E4E1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5616</Words>
  <Characters>5867</Characters>
  <Lines>22</Lines>
  <Paragraphs>6</Paragraphs>
  <TotalTime>3</TotalTime>
  <ScaleCrop>false</ScaleCrop>
  <LinksUpToDate>false</LinksUpToDate>
  <CharactersWithSpaces>5916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2020-09-21T01:37:00Z</dcterms:created>
  <dc:creator>Administrator</dc:creator>
  <cp:lastModifiedBy>WPS_1559710913</cp:lastModifiedBy>
  <cp:lastPrinted>2022-05-16T03:14:00Z</cp:lastPrinted>
  <dcterms:modified xsi:type="dcterms:W3CDTF">2024-06-17T00:43:19Z</dcterms:modified>
  <cp:revision>445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40444611665B4B39AB9C8B76922BCBC9</vt:lpwstr>
  </property>
</Properties>
</file>