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2DE35">
      <w:pPr>
        <w:pStyle w:val="9"/>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ascii="黑体" w:hAnsi="黑体" w:eastAsia="黑体" w:cs="黑体"/>
          <w:b w:val="0"/>
          <w:bCs/>
          <w:sz w:val="32"/>
          <w:szCs w:val="32"/>
        </w:rPr>
        <w:t>新晃县</w:t>
      </w:r>
      <w:r>
        <w:rPr>
          <w:rFonts w:hint="eastAsia" w:ascii="黑体" w:hAnsi="黑体" w:eastAsia="黑体" w:cs="黑体"/>
          <w:b w:val="0"/>
          <w:bCs/>
          <w:sz w:val="32"/>
          <w:szCs w:val="32"/>
          <w:lang w:eastAsia="zh-CN"/>
        </w:rPr>
        <w:t>鱼市</w:t>
      </w:r>
      <w:r>
        <w:rPr>
          <w:rFonts w:hint="eastAsia" w:hAnsi="黑体" w:cs="黑体"/>
          <w:b w:val="0"/>
          <w:bCs/>
          <w:sz w:val="32"/>
          <w:szCs w:val="32"/>
          <w:lang w:eastAsia="zh-CN"/>
        </w:rPr>
        <w:t>镇</w:t>
      </w:r>
      <w:r>
        <w:rPr>
          <w:rFonts w:hint="eastAsia" w:ascii="黑体" w:hAnsi="黑体" w:eastAsia="黑体" w:cs="黑体"/>
          <w:b w:val="0"/>
          <w:bCs/>
          <w:sz w:val="32"/>
          <w:szCs w:val="32"/>
          <w:lang w:eastAsia="zh-CN"/>
        </w:rPr>
        <w:t>中心小学</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黑体" w:hAnsi="黑体" w:eastAsia="黑体" w:cs="黑体"/>
          <w:b w:val="0"/>
          <w:bCs/>
          <w:sz w:val="32"/>
          <w:szCs w:val="32"/>
        </w:rPr>
        <w:t>年度</w:t>
      </w:r>
    </w:p>
    <w:p w14:paraId="089CC63D">
      <w:pPr>
        <w:pStyle w:val="9"/>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宋体" w:hAnsi="宋体" w:eastAsia="宋体" w:cs="宋体"/>
          <w:b/>
          <w:bCs/>
          <w:sz w:val="24"/>
          <w:szCs w:val="24"/>
        </w:rPr>
      </w:pPr>
      <w:r>
        <w:rPr>
          <w:rFonts w:hint="eastAsia" w:ascii="黑体" w:hAnsi="黑体" w:eastAsia="黑体" w:cs="黑体"/>
          <w:b w:val="0"/>
          <w:bCs/>
          <w:sz w:val="32"/>
          <w:szCs w:val="32"/>
        </w:rPr>
        <w:t>预算绩效情况的说明</w:t>
      </w:r>
    </w:p>
    <w:p w14:paraId="6C2A9F62">
      <w:pPr>
        <w:keepNext w:val="0"/>
        <w:keepLines w:val="0"/>
        <w:pageBreakBefore w:val="0"/>
        <w:kinsoku/>
        <w:wordWrap/>
        <w:overflowPunct/>
        <w:topLinePunct w:val="0"/>
        <w:autoSpaceDE/>
        <w:autoSpaceDN/>
        <w:bidi w:val="0"/>
        <w:adjustRightInd/>
        <w:snapToGrid/>
        <w:spacing w:line="440" w:lineRule="exact"/>
        <w:ind w:left="0" w:leftChars="0" w:firstLine="0" w:firstLineChars="0"/>
        <w:outlineLvl w:val="9"/>
        <w:rPr>
          <w:rFonts w:hint="eastAsia" w:ascii="宋体" w:hAnsi="宋体" w:eastAsia="宋体" w:cs="宋体"/>
          <w:b/>
          <w:bCs/>
          <w:sz w:val="24"/>
          <w:szCs w:val="24"/>
        </w:rPr>
      </w:pPr>
      <w:r>
        <w:rPr>
          <w:rFonts w:hint="eastAsia" w:ascii="宋体" w:hAnsi="宋体" w:eastAsia="宋体" w:cs="宋体"/>
          <w:b/>
          <w:bCs/>
          <w:sz w:val="24"/>
          <w:szCs w:val="24"/>
        </w:rPr>
        <w:t xml:space="preserve"> 一、部门（单位）基本概况</w:t>
      </w:r>
      <w:bookmarkStart w:id="0" w:name="_GoBack"/>
      <w:bookmarkEnd w:id="0"/>
    </w:p>
    <w:p w14:paraId="199C4527">
      <w:pPr>
        <w:pStyle w:val="8"/>
        <w:keepNext w:val="0"/>
        <w:keepLines w:val="0"/>
        <w:pageBreakBefore w:val="0"/>
        <w:widowControl/>
        <w:suppressLineNumbers w:val="0"/>
        <w:kinsoku/>
        <w:wordWrap/>
        <w:overflowPunct/>
        <w:topLinePunct w:val="0"/>
        <w:autoSpaceDE/>
        <w:autoSpaceDN/>
        <w:bidi w:val="0"/>
        <w:adjustRightInd/>
        <w:snapToGrid/>
        <w:spacing w:before="0" w:after="0" w:line="440" w:lineRule="exact"/>
        <w:ind w:left="0" w:right="0" w:firstLine="561"/>
        <w:jc w:val="both"/>
        <w:textAlignment w:val="auto"/>
        <w:outlineLvl w:val="9"/>
        <w:rPr>
          <w:rFonts w:hint="eastAsia" w:ascii="宋体" w:hAnsi="宋体" w:cs="宋体"/>
          <w:sz w:val="24"/>
          <w:szCs w:val="24"/>
          <w:lang w:eastAsia="zh-CN"/>
        </w:rPr>
      </w:pPr>
      <w:r>
        <w:rPr>
          <w:rFonts w:hint="eastAsia" w:ascii="宋体" w:hAnsi="宋体" w:cs="宋体"/>
          <w:color w:val="000000"/>
          <w:kern w:val="0"/>
          <w:sz w:val="24"/>
          <w:szCs w:val="24"/>
          <w:lang w:val="en-US" w:eastAsia="zh-CN" w:bidi="ar"/>
        </w:rPr>
        <w:t>新晃县鱼市镇中心小学是一所农村小学，主要实施小学义务教育，促进基础教育发展，进行小学义务阶段学历教育及相关社会服务，全面落实实施党和国家的教育方针、政策、法规，实施素质教学，保证教学质量，努力培养德、智、体全方面发展的社会主义事业建设者和接班人。我校人员事业制58个，年末实有在职人员58人，退休人员37人，在校学生804人。</w:t>
      </w:r>
      <w:r>
        <w:rPr>
          <w:rFonts w:hint="eastAsia" w:ascii="宋体" w:hAnsi="宋体" w:cs="宋体"/>
          <w:i w:val="0"/>
          <w:color w:val="010101"/>
          <w:spacing w:val="0"/>
          <w:kern w:val="0"/>
          <w:sz w:val="24"/>
          <w:szCs w:val="24"/>
          <w:shd w:val="clear" w:color="auto" w:fill="FFFFFF"/>
          <w:lang w:val="en-US" w:eastAsia="zh-CN" w:bidi="ar"/>
        </w:rPr>
        <w:t>内设机构包括：行政办公室、教务处、总务处、德育处等科室</w:t>
      </w:r>
      <w:r>
        <w:rPr>
          <w:rFonts w:hint="eastAsia" w:ascii="宋体" w:hAnsi="宋体" w:cs="宋体"/>
          <w:color w:val="000000"/>
          <w:kern w:val="0"/>
          <w:sz w:val="24"/>
          <w:szCs w:val="24"/>
          <w:lang w:val="en-US" w:eastAsia="zh-CN" w:bidi="ar"/>
        </w:rPr>
        <w:t>。</w:t>
      </w:r>
      <w:r>
        <w:rPr>
          <w:rFonts w:hint="eastAsia" w:ascii="宋体" w:hAnsi="宋体" w:cs="宋体"/>
          <w:sz w:val="24"/>
          <w:szCs w:val="24"/>
          <w:lang w:eastAsia="zh-CN"/>
        </w:rPr>
        <w:t>学校建立了</w:t>
      </w:r>
      <w:r>
        <w:rPr>
          <w:rFonts w:hint="eastAsia" w:ascii="宋体" w:hAnsi="宋体" w:cs="宋体"/>
          <w:sz w:val="24"/>
          <w:szCs w:val="24"/>
        </w:rPr>
        <w:t>预算资金管理办法、</w:t>
      </w:r>
      <w:r>
        <w:rPr>
          <w:rFonts w:hint="eastAsia" w:ascii="宋体" w:hAnsi="宋体" w:cs="宋体"/>
          <w:sz w:val="24"/>
          <w:szCs w:val="24"/>
          <w:lang w:eastAsia="zh-CN"/>
        </w:rPr>
        <w:t>内部</w:t>
      </w:r>
      <w:r>
        <w:rPr>
          <w:rFonts w:hint="eastAsia" w:ascii="宋体" w:hAnsi="宋体" w:cs="宋体"/>
          <w:sz w:val="24"/>
          <w:szCs w:val="24"/>
        </w:rPr>
        <w:t>财务管理</w:t>
      </w:r>
      <w:r>
        <w:rPr>
          <w:rFonts w:hint="eastAsia" w:ascii="宋体" w:hAnsi="宋体" w:cs="宋体"/>
          <w:sz w:val="24"/>
          <w:szCs w:val="24"/>
          <w:lang w:eastAsia="zh-CN"/>
        </w:rPr>
        <w:t>制度</w:t>
      </w:r>
      <w:r>
        <w:rPr>
          <w:rFonts w:hint="eastAsia" w:ascii="宋体" w:hAnsi="宋体" w:cs="宋体"/>
          <w:sz w:val="24"/>
          <w:szCs w:val="24"/>
        </w:rPr>
        <w:t>、</w:t>
      </w:r>
      <w:r>
        <w:rPr>
          <w:rFonts w:hint="eastAsia" w:ascii="宋体" w:hAnsi="宋体" w:cs="宋体"/>
          <w:sz w:val="24"/>
          <w:szCs w:val="24"/>
          <w:lang w:eastAsia="zh-CN"/>
        </w:rPr>
        <w:t>内控</w:t>
      </w:r>
      <w:r>
        <w:rPr>
          <w:rFonts w:hint="eastAsia" w:ascii="宋体" w:hAnsi="宋体" w:cs="宋体"/>
          <w:sz w:val="24"/>
          <w:szCs w:val="24"/>
        </w:rPr>
        <w:t>制度、</w:t>
      </w:r>
      <w:r>
        <w:rPr>
          <w:rFonts w:hint="eastAsia" w:ascii="宋体" w:hAnsi="宋体" w:cs="宋体"/>
          <w:sz w:val="24"/>
          <w:szCs w:val="24"/>
          <w:lang w:eastAsia="zh-CN"/>
        </w:rPr>
        <w:t>会计核算制度、</w:t>
      </w:r>
      <w:r>
        <w:rPr>
          <w:rFonts w:hint="eastAsia" w:ascii="宋体" w:hAnsi="宋体" w:cs="宋体"/>
          <w:sz w:val="24"/>
          <w:szCs w:val="24"/>
        </w:rPr>
        <w:t>公务接待管理制度以及专</w:t>
      </w:r>
      <w:r>
        <w:rPr>
          <w:rFonts w:hint="eastAsia" w:ascii="宋体" w:hAnsi="宋体" w:cs="宋体"/>
          <w:sz w:val="24"/>
          <w:szCs w:val="24"/>
          <w:lang w:eastAsia="zh-CN"/>
        </w:rPr>
        <w:t>项</w:t>
      </w:r>
      <w:r>
        <w:rPr>
          <w:rFonts w:hint="eastAsia" w:ascii="宋体" w:hAnsi="宋体" w:cs="宋体"/>
          <w:sz w:val="24"/>
          <w:szCs w:val="24"/>
        </w:rPr>
        <w:t>资金管理办法</w:t>
      </w:r>
      <w:r>
        <w:rPr>
          <w:rFonts w:hint="eastAsia" w:ascii="宋体" w:hAnsi="宋体" w:cs="宋体"/>
          <w:sz w:val="24"/>
          <w:szCs w:val="24"/>
          <w:lang w:eastAsia="zh-CN"/>
        </w:rPr>
        <w:t>和</w:t>
      </w:r>
      <w:r>
        <w:rPr>
          <w:rFonts w:hint="eastAsia" w:ascii="宋体" w:hAnsi="宋体" w:cs="宋体"/>
          <w:sz w:val="24"/>
          <w:szCs w:val="24"/>
        </w:rPr>
        <w:t>相关规定</w:t>
      </w:r>
      <w:r>
        <w:rPr>
          <w:rFonts w:hint="eastAsia" w:ascii="宋体" w:hAnsi="宋体" w:cs="宋体"/>
          <w:sz w:val="24"/>
          <w:szCs w:val="24"/>
          <w:lang w:eastAsia="zh-CN"/>
        </w:rPr>
        <w:t>，</w:t>
      </w:r>
      <w:r>
        <w:rPr>
          <w:rFonts w:hint="eastAsia" w:ascii="宋体" w:hAnsi="宋体" w:cs="宋体"/>
          <w:sz w:val="24"/>
          <w:szCs w:val="24"/>
        </w:rPr>
        <w:t>在资金支付审批环节，除设有大额支付审批、通报制度外</w:t>
      </w:r>
      <w:r>
        <w:rPr>
          <w:rFonts w:hint="eastAsia" w:ascii="宋体" w:hAnsi="宋体" w:cs="宋体"/>
          <w:i w:val="0"/>
          <w:caps w:val="0"/>
          <w:smallCaps w:val="0"/>
          <w:color w:val="333333"/>
          <w:spacing w:val="0"/>
          <w:sz w:val="24"/>
          <w:szCs w:val="24"/>
          <w:shd w:val="clear" w:color="auto" w:fill="FFFFFF"/>
        </w:rPr>
        <w:t>，</w:t>
      </w:r>
      <w:r>
        <w:rPr>
          <w:rFonts w:hint="eastAsia" w:ascii="宋体" w:hAnsi="宋体" w:cs="宋体"/>
          <w:sz w:val="24"/>
          <w:szCs w:val="24"/>
        </w:rPr>
        <w:t>对运行经费还设有培训计划控制、办公设备和办公用品集中采购、预算集中审核等措施</w:t>
      </w:r>
      <w:r>
        <w:rPr>
          <w:rFonts w:hint="eastAsia" w:ascii="宋体" w:hAnsi="宋体" w:cs="宋体"/>
          <w:sz w:val="24"/>
          <w:szCs w:val="24"/>
          <w:lang w:eastAsia="zh-CN"/>
        </w:rPr>
        <w:t>。</w:t>
      </w:r>
      <w:r>
        <w:rPr>
          <w:rFonts w:hint="eastAsia" w:ascii="宋体" w:hAnsi="宋体" w:cs="宋体"/>
          <w:sz w:val="24"/>
          <w:szCs w:val="24"/>
        </w:rPr>
        <w:t>支出符合国家财经法规和财务管理制度</w:t>
      </w:r>
      <w:r>
        <w:rPr>
          <w:rFonts w:hint="eastAsia" w:ascii="宋体" w:hAnsi="宋体" w:eastAsia="宋体" w:cs="宋体"/>
          <w:sz w:val="24"/>
          <w:szCs w:val="24"/>
        </w:rPr>
        <w:t>,</w:t>
      </w:r>
      <w:r>
        <w:rPr>
          <w:rFonts w:hint="eastAsia" w:ascii="宋体" w:hAnsi="宋体" w:cs="宋体"/>
          <w:sz w:val="24"/>
          <w:szCs w:val="24"/>
        </w:rPr>
        <w:t>拨付手续完善，无违规</w:t>
      </w:r>
      <w:r>
        <w:rPr>
          <w:rFonts w:hint="eastAsia" w:ascii="宋体" w:hAnsi="宋体" w:cs="宋体"/>
          <w:sz w:val="24"/>
          <w:szCs w:val="24"/>
          <w:lang w:eastAsia="zh-CN"/>
        </w:rPr>
        <w:t>违纪</w:t>
      </w:r>
      <w:r>
        <w:rPr>
          <w:rFonts w:hint="eastAsia" w:ascii="宋体" w:hAnsi="宋体" w:cs="宋体"/>
          <w:sz w:val="24"/>
          <w:szCs w:val="24"/>
        </w:rPr>
        <w:t>现象</w:t>
      </w:r>
      <w:r>
        <w:rPr>
          <w:rFonts w:hint="eastAsia" w:ascii="宋体" w:hAnsi="宋体" w:cs="宋体"/>
          <w:sz w:val="24"/>
          <w:szCs w:val="24"/>
          <w:lang w:eastAsia="zh-CN"/>
        </w:rPr>
        <w:t>。</w:t>
      </w:r>
    </w:p>
    <w:p w14:paraId="2B2C839F">
      <w:pPr>
        <w:pStyle w:val="8"/>
        <w:keepNext w:val="0"/>
        <w:keepLines w:val="0"/>
        <w:pageBreakBefore w:val="0"/>
        <w:widowControl/>
        <w:suppressLineNumbers w:val="0"/>
        <w:kinsoku/>
        <w:wordWrap/>
        <w:overflowPunct/>
        <w:topLinePunct w:val="0"/>
        <w:autoSpaceDE/>
        <w:autoSpaceDN/>
        <w:bidi w:val="0"/>
        <w:adjustRightInd/>
        <w:snapToGrid/>
        <w:spacing w:before="0" w:after="0" w:line="440" w:lineRule="exact"/>
        <w:ind w:left="0" w:right="0" w:firstLine="561"/>
        <w:jc w:val="both"/>
        <w:textAlignment w:val="auto"/>
        <w:outlineLvl w:val="9"/>
        <w:rPr>
          <w:rFonts w:hint="eastAsia" w:ascii="宋体" w:hAnsi="宋体" w:cs="宋体"/>
          <w:sz w:val="24"/>
          <w:szCs w:val="24"/>
          <w:lang w:eastAsia="zh-CN"/>
        </w:rPr>
      </w:pPr>
    </w:p>
    <w:p w14:paraId="506F48C5">
      <w:pPr>
        <w:keepNext w:val="0"/>
        <w:keepLines w:val="0"/>
        <w:pageBreakBefore w:val="0"/>
        <w:kinsoku/>
        <w:wordWrap/>
        <w:overflowPunct/>
        <w:topLinePunct w:val="0"/>
        <w:autoSpaceDE/>
        <w:autoSpaceDN/>
        <w:bidi w:val="0"/>
        <w:adjustRightInd/>
        <w:snapToGrid/>
        <w:spacing w:line="440" w:lineRule="exact"/>
        <w:outlineLvl w:val="9"/>
        <w:rPr>
          <w:rFonts w:hint="eastAsia" w:ascii="宋体" w:hAnsi="宋体" w:eastAsia="宋体" w:cs="宋体"/>
          <w:b/>
          <w:bCs/>
          <w:sz w:val="24"/>
          <w:szCs w:val="24"/>
        </w:rPr>
      </w:pPr>
      <w:r>
        <w:rPr>
          <w:rFonts w:hint="eastAsia" w:ascii="宋体" w:hAnsi="宋体" w:eastAsia="宋体" w:cs="宋体"/>
          <w:b/>
          <w:bCs/>
          <w:sz w:val="24"/>
          <w:szCs w:val="24"/>
        </w:rPr>
        <w:t>二、部门（单位）整体支出绩效状况</w:t>
      </w:r>
    </w:p>
    <w:p w14:paraId="4CE8854D">
      <w:pPr>
        <w:keepNext w:val="0"/>
        <w:keepLines w:val="0"/>
        <w:pageBreakBefore w:val="0"/>
        <w:kinsoku/>
        <w:wordWrap/>
        <w:overflowPunct/>
        <w:topLinePunct w:val="0"/>
        <w:autoSpaceDE/>
        <w:autoSpaceDN/>
        <w:bidi w:val="0"/>
        <w:adjustRightInd/>
        <w:snapToGrid/>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lang w:eastAsia="zh-CN"/>
        </w:rPr>
        <w:t>我校</w:t>
      </w:r>
      <w:r>
        <w:rPr>
          <w:rFonts w:hint="eastAsia" w:ascii="宋体" w:hAnsi="宋体" w:eastAsia="宋体" w:cs="宋体"/>
          <w:sz w:val="24"/>
          <w:szCs w:val="24"/>
          <w:lang w:val="en-US"/>
        </w:rPr>
        <w:t>202</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年严格遵守《会计法》《预算法》等法律和有关财政财务规章，规范财政资金管理，量入为出，统筹兼顾，突出重点，讲究实效，防范风险，合理使用各项建设资金，确保了我校预算管理的成效，全年预算支出整体受控。我校根据</w:t>
      </w:r>
      <w:r>
        <w:rPr>
          <w:rFonts w:hint="eastAsia" w:ascii="宋体" w:hAnsi="宋体" w:eastAsia="宋体" w:cs="宋体"/>
          <w:sz w:val="24"/>
          <w:szCs w:val="24"/>
          <w:lang w:val="en-US"/>
        </w:rPr>
        <w:t>202</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年工作计划，认真履行职责，较好地完成了年初确定的各项工作任务，为推进基础教育事业的发展作出了积极贡献。根据《部门整体支出绩效评价指标》评分，全年绩效评价总评分为</w:t>
      </w:r>
      <w:r>
        <w:rPr>
          <w:rFonts w:hint="eastAsia" w:ascii="宋体" w:hAnsi="宋体" w:eastAsia="宋体" w:cs="宋体"/>
          <w:sz w:val="24"/>
          <w:szCs w:val="24"/>
          <w:lang w:val="en-US"/>
        </w:rPr>
        <w:t>9</w:t>
      </w: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分（详见附件</w:t>
      </w:r>
      <w:r>
        <w:rPr>
          <w:rFonts w:hint="eastAsia" w:ascii="宋体" w:hAnsi="宋体" w:eastAsia="宋体" w:cs="宋体"/>
          <w:sz w:val="24"/>
          <w:szCs w:val="24"/>
          <w:lang w:val="en-US"/>
        </w:rPr>
        <w:t>1</w:t>
      </w:r>
      <w:r>
        <w:rPr>
          <w:rFonts w:hint="eastAsia" w:ascii="宋体" w:hAnsi="宋体" w:eastAsia="宋体" w:cs="宋体"/>
          <w:sz w:val="24"/>
          <w:szCs w:val="24"/>
          <w:lang w:eastAsia="zh-CN"/>
        </w:rPr>
        <w:t>），部门整体支出绩效为“优”。全年主要绩效如下：</w:t>
      </w:r>
    </w:p>
    <w:p w14:paraId="466EC1DF">
      <w:pPr>
        <w:keepNext w:val="0"/>
        <w:keepLines w:val="0"/>
        <w:pageBreakBefore w:val="0"/>
        <w:kinsoku/>
        <w:wordWrap/>
        <w:overflowPunct/>
        <w:topLinePunct w:val="0"/>
        <w:autoSpaceDE/>
        <w:autoSpaceDN/>
        <w:bidi w:val="0"/>
        <w:adjustRightInd/>
        <w:snapToGrid/>
        <w:spacing w:line="440" w:lineRule="exact"/>
        <w:ind w:firstLine="480" w:firstLineChars="200"/>
        <w:outlineLvl w:val="9"/>
        <w:rPr>
          <w:rFonts w:hint="eastAsia" w:ascii="宋体" w:hAnsi="宋体" w:eastAsia="宋体" w:cs="宋体"/>
          <w:sz w:val="24"/>
          <w:szCs w:val="24"/>
          <w:lang w:eastAsia="zh-CN"/>
        </w:rPr>
      </w:pPr>
      <w:r>
        <w:rPr>
          <w:rFonts w:hint="eastAsia" w:ascii="宋体" w:hAnsi="宋体" w:eastAsia="宋体" w:cs="宋体"/>
          <w:sz w:val="24"/>
          <w:szCs w:val="24"/>
          <w:lang w:val="en-US"/>
        </w:rPr>
        <w:t>202</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年总计收入</w:t>
      </w:r>
      <w:r>
        <w:rPr>
          <w:rFonts w:hint="eastAsia" w:ascii="宋体" w:hAnsi="宋体" w:eastAsia="宋体" w:cs="宋体"/>
          <w:sz w:val="24"/>
          <w:szCs w:val="24"/>
          <w:lang w:val="en-US"/>
        </w:rPr>
        <w:t>13105257.35</w:t>
      </w:r>
      <w:r>
        <w:rPr>
          <w:rFonts w:hint="eastAsia" w:ascii="宋体" w:hAnsi="宋体" w:eastAsia="宋体" w:cs="宋体"/>
          <w:sz w:val="24"/>
          <w:szCs w:val="24"/>
          <w:lang w:eastAsia="zh-CN"/>
        </w:rPr>
        <w:t>元，其中：年初结余和结余</w:t>
      </w:r>
      <w:r>
        <w:rPr>
          <w:rFonts w:hint="eastAsia" w:ascii="宋体" w:hAnsi="宋体" w:eastAsia="宋体" w:cs="宋体"/>
          <w:sz w:val="24"/>
          <w:szCs w:val="24"/>
          <w:lang w:val="en-US"/>
        </w:rPr>
        <w:t>0</w:t>
      </w:r>
      <w:r>
        <w:rPr>
          <w:rFonts w:hint="eastAsia" w:ascii="宋体" w:hAnsi="宋体" w:eastAsia="宋体" w:cs="宋体"/>
          <w:sz w:val="24"/>
          <w:szCs w:val="24"/>
          <w:lang w:eastAsia="zh-CN"/>
        </w:rPr>
        <w:t>万元，一般公共预算财政拨款收入</w:t>
      </w:r>
      <w:r>
        <w:rPr>
          <w:rFonts w:hint="eastAsia" w:ascii="宋体" w:hAnsi="宋体" w:eastAsia="宋体" w:cs="宋体"/>
          <w:sz w:val="24"/>
          <w:szCs w:val="24"/>
          <w:lang w:val="en-US"/>
        </w:rPr>
        <w:t>13105257.35</w:t>
      </w:r>
      <w:r>
        <w:rPr>
          <w:rFonts w:hint="eastAsia" w:ascii="宋体" w:hAnsi="宋体" w:eastAsia="宋体" w:cs="宋体"/>
          <w:sz w:val="24"/>
          <w:szCs w:val="24"/>
          <w:lang w:eastAsia="zh-CN"/>
        </w:rPr>
        <w:t>元，其他收入</w:t>
      </w:r>
      <w:r>
        <w:rPr>
          <w:rFonts w:hint="eastAsia" w:ascii="宋体" w:hAnsi="宋体" w:eastAsia="宋体" w:cs="宋体"/>
          <w:sz w:val="24"/>
          <w:szCs w:val="24"/>
          <w:lang w:val="en-US"/>
        </w:rPr>
        <w:t>0</w:t>
      </w:r>
      <w:r>
        <w:rPr>
          <w:rFonts w:hint="eastAsia" w:ascii="宋体" w:hAnsi="宋体" w:eastAsia="宋体" w:cs="宋体"/>
          <w:sz w:val="24"/>
          <w:szCs w:val="24"/>
          <w:lang w:eastAsia="zh-CN"/>
        </w:rPr>
        <w:t>万元。</w:t>
      </w:r>
      <w:r>
        <w:rPr>
          <w:rFonts w:hint="eastAsia" w:ascii="宋体" w:hAnsi="宋体" w:eastAsia="宋体" w:cs="宋体"/>
          <w:sz w:val="24"/>
          <w:szCs w:val="24"/>
          <w:lang w:val="en-US" w:eastAsia="zh-CN"/>
        </w:rPr>
        <w:t>比上年增加547018.76元，增加4.36%，</w:t>
      </w:r>
      <w:r>
        <w:rPr>
          <w:rFonts w:hint="eastAsia" w:ascii="宋体" w:hAnsi="宋体" w:eastAsia="宋体" w:cs="宋体"/>
          <w:sz w:val="24"/>
          <w:szCs w:val="24"/>
          <w:lang w:eastAsia="zh-CN"/>
        </w:rPr>
        <w:t>收入增加的主要是本年补发了2022年4、5月的基础绩效奖，以往年度所产生的费用在本年度支出。</w:t>
      </w:r>
    </w:p>
    <w:p w14:paraId="25C0E2E0">
      <w:pPr>
        <w:keepNext w:val="0"/>
        <w:keepLines w:val="0"/>
        <w:pageBreakBefore w:val="0"/>
        <w:kinsoku/>
        <w:wordWrap/>
        <w:overflowPunct/>
        <w:topLinePunct w:val="0"/>
        <w:autoSpaceDE/>
        <w:autoSpaceDN/>
        <w:bidi w:val="0"/>
        <w:adjustRightInd/>
        <w:snapToGrid/>
        <w:spacing w:line="440" w:lineRule="exact"/>
        <w:ind w:firstLine="480" w:firstLineChars="200"/>
        <w:outlineLvl w:val="9"/>
        <w:rPr>
          <w:rFonts w:hint="eastAsia" w:ascii="宋体" w:hAnsi="宋体" w:eastAsia="宋体" w:cs="宋体"/>
          <w:sz w:val="24"/>
          <w:szCs w:val="24"/>
          <w:lang w:eastAsia="zh-CN"/>
        </w:rPr>
      </w:pPr>
      <w:r>
        <w:rPr>
          <w:rFonts w:hint="eastAsia" w:ascii="宋体" w:hAnsi="宋体" w:eastAsia="宋体" w:cs="宋体"/>
          <w:sz w:val="24"/>
          <w:szCs w:val="24"/>
          <w:lang w:val="en-US"/>
        </w:rPr>
        <w:t>202</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年总计支出</w:t>
      </w:r>
      <w:r>
        <w:rPr>
          <w:rFonts w:hint="eastAsia" w:ascii="宋体" w:hAnsi="宋体" w:eastAsia="宋体" w:cs="宋体"/>
          <w:sz w:val="24"/>
          <w:szCs w:val="24"/>
          <w:lang w:val="en-US"/>
        </w:rPr>
        <w:t>13105257.35</w:t>
      </w:r>
      <w:r>
        <w:rPr>
          <w:rFonts w:hint="eastAsia" w:ascii="宋体" w:hAnsi="宋体" w:eastAsia="宋体" w:cs="宋体"/>
          <w:sz w:val="24"/>
          <w:szCs w:val="24"/>
          <w:lang w:eastAsia="zh-CN"/>
        </w:rPr>
        <w:t>元，</w:t>
      </w:r>
      <w:r>
        <w:rPr>
          <w:rFonts w:hint="eastAsia" w:ascii="宋体" w:hAnsi="宋体" w:eastAsia="宋体" w:cs="宋体"/>
          <w:sz w:val="24"/>
          <w:szCs w:val="24"/>
          <w:lang w:val="en-US" w:eastAsia="zh-CN"/>
        </w:rPr>
        <w:t>比上年增加547018.76元，增加4.36%，</w:t>
      </w:r>
      <w:r>
        <w:rPr>
          <w:rFonts w:hint="eastAsia" w:ascii="宋体" w:hAnsi="宋体" w:eastAsia="宋体" w:cs="宋体"/>
          <w:sz w:val="24"/>
          <w:szCs w:val="24"/>
          <w:lang w:eastAsia="zh-CN"/>
        </w:rPr>
        <w:t>支出增加的主要是本年补发了2022年4、5月的基础绩效奖，以往年度所产生的费用在本年度支出。</w:t>
      </w:r>
    </w:p>
    <w:p w14:paraId="6924FD58">
      <w:pPr>
        <w:keepNext w:val="0"/>
        <w:keepLines w:val="0"/>
        <w:pageBreakBefore w:val="0"/>
        <w:kinsoku/>
        <w:wordWrap/>
        <w:overflowPunct/>
        <w:topLinePunct w:val="0"/>
        <w:autoSpaceDE/>
        <w:autoSpaceDN/>
        <w:bidi w:val="0"/>
        <w:adjustRightInd/>
        <w:snapToGrid/>
        <w:spacing w:line="440" w:lineRule="exact"/>
        <w:ind w:firstLine="480" w:firstLineChars="200"/>
        <w:outlineLvl w:val="9"/>
        <w:rPr>
          <w:rFonts w:hint="eastAsia" w:ascii="宋体" w:hAnsi="宋体" w:eastAsia="宋体" w:cs="宋体"/>
          <w:sz w:val="24"/>
          <w:szCs w:val="24"/>
          <w:lang w:eastAsia="zh-CN"/>
        </w:rPr>
      </w:pPr>
      <w:r>
        <w:rPr>
          <w:rFonts w:hint="eastAsia" w:ascii="宋体" w:hAnsi="宋体" w:eastAsia="宋体" w:cs="宋体"/>
          <w:sz w:val="24"/>
          <w:szCs w:val="24"/>
          <w:lang w:val="en-US"/>
        </w:rPr>
        <w:t>202</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年总计支出按功能分类：其中教育支出</w:t>
      </w:r>
      <w:r>
        <w:rPr>
          <w:rFonts w:hint="eastAsia" w:ascii="宋体" w:hAnsi="宋体" w:eastAsia="宋体" w:cs="宋体"/>
          <w:sz w:val="24"/>
          <w:szCs w:val="24"/>
          <w:lang w:val="en-US"/>
        </w:rPr>
        <w:t>10825496.36</w:t>
      </w:r>
      <w:r>
        <w:rPr>
          <w:rFonts w:hint="eastAsia" w:ascii="宋体" w:hAnsi="宋体" w:eastAsia="宋体" w:cs="宋体"/>
          <w:sz w:val="24"/>
          <w:szCs w:val="24"/>
          <w:lang w:eastAsia="zh-CN"/>
        </w:rPr>
        <w:t>元；社会保障和就业支出</w:t>
      </w:r>
      <w:r>
        <w:rPr>
          <w:rFonts w:hint="eastAsia" w:ascii="宋体" w:hAnsi="宋体" w:eastAsia="宋体" w:cs="宋体"/>
          <w:sz w:val="24"/>
          <w:szCs w:val="24"/>
          <w:lang w:val="en-US"/>
        </w:rPr>
        <w:t>930629.49</w:t>
      </w:r>
      <w:r>
        <w:rPr>
          <w:rFonts w:hint="eastAsia" w:ascii="宋体" w:hAnsi="宋体" w:eastAsia="宋体" w:cs="宋体"/>
          <w:sz w:val="24"/>
          <w:szCs w:val="24"/>
          <w:lang w:eastAsia="zh-CN"/>
        </w:rPr>
        <w:t>元；卫生健康支出</w:t>
      </w:r>
      <w:r>
        <w:rPr>
          <w:rFonts w:hint="eastAsia" w:ascii="宋体" w:hAnsi="宋体" w:eastAsia="宋体" w:cs="宋体"/>
          <w:sz w:val="24"/>
          <w:szCs w:val="24"/>
          <w:lang w:val="en-US"/>
        </w:rPr>
        <w:t>342677.5</w:t>
      </w:r>
      <w:r>
        <w:rPr>
          <w:rFonts w:hint="eastAsia" w:ascii="宋体" w:hAnsi="宋体" w:eastAsia="宋体" w:cs="宋体"/>
          <w:sz w:val="24"/>
          <w:szCs w:val="24"/>
          <w:lang w:eastAsia="zh-CN"/>
        </w:rPr>
        <w:t>元；住房保障支出1006454元。</w:t>
      </w:r>
    </w:p>
    <w:p w14:paraId="227B9AB1">
      <w:pPr>
        <w:keepNext w:val="0"/>
        <w:keepLines w:val="0"/>
        <w:pageBreakBefore w:val="0"/>
        <w:kinsoku/>
        <w:wordWrap/>
        <w:overflowPunct/>
        <w:topLinePunct w:val="0"/>
        <w:autoSpaceDE/>
        <w:autoSpaceDN/>
        <w:bidi w:val="0"/>
        <w:adjustRightInd/>
        <w:snapToGrid/>
        <w:spacing w:line="440" w:lineRule="exact"/>
        <w:ind w:firstLine="480" w:firstLineChars="200"/>
        <w:outlineLvl w:val="9"/>
        <w:rPr>
          <w:rFonts w:hint="eastAsia" w:ascii="宋体" w:hAnsi="宋体" w:eastAsia="宋体" w:cs="宋体"/>
          <w:sz w:val="24"/>
          <w:szCs w:val="24"/>
          <w:lang w:eastAsia="zh-CN"/>
        </w:rPr>
      </w:pPr>
      <w:r>
        <w:rPr>
          <w:rFonts w:hint="eastAsia" w:ascii="宋体" w:hAnsi="宋体" w:eastAsia="宋体" w:cs="宋体"/>
          <w:sz w:val="24"/>
          <w:szCs w:val="24"/>
          <w:lang w:val="en-US"/>
        </w:rPr>
        <w:t>202</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年总计支出按支出性质和经济分类：一、基本支出13105257.35元；其中人员经费支出</w:t>
      </w:r>
      <w:r>
        <w:rPr>
          <w:rFonts w:hint="eastAsia" w:ascii="宋体" w:hAnsi="宋体" w:eastAsia="宋体" w:cs="宋体"/>
          <w:sz w:val="24"/>
          <w:szCs w:val="24"/>
          <w:lang w:val="en-US"/>
        </w:rPr>
        <w:t>11453277.4</w:t>
      </w:r>
      <w:r>
        <w:rPr>
          <w:rFonts w:hint="eastAsia" w:ascii="宋体" w:hAnsi="宋体" w:eastAsia="宋体" w:cs="宋体"/>
          <w:sz w:val="24"/>
          <w:szCs w:val="24"/>
          <w:lang w:eastAsia="zh-CN"/>
        </w:rPr>
        <w:t>元，比上年增加1168009.62元 ，增加11.36</w:t>
      </w:r>
      <w:r>
        <w:rPr>
          <w:rFonts w:hint="eastAsia" w:ascii="宋体" w:hAnsi="宋体" w:eastAsia="宋体" w:cs="宋体"/>
          <w:sz w:val="24"/>
          <w:szCs w:val="24"/>
          <w:lang w:val="en-US" w:eastAsia="zh-CN"/>
        </w:rPr>
        <w:t>%，增加原因是</w:t>
      </w:r>
      <w:r>
        <w:rPr>
          <w:rFonts w:hint="eastAsia" w:ascii="宋体" w:hAnsi="宋体" w:eastAsia="宋体" w:cs="宋体"/>
          <w:sz w:val="24"/>
          <w:szCs w:val="24"/>
          <w:lang w:eastAsia="zh-CN"/>
        </w:rPr>
        <w:t>本年度本年补发了2022年4、5月的基础绩效奖，补发了2022年的年终绩效奖，导致人员经费增加。</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公用经费支出</w:t>
      </w:r>
      <w:r>
        <w:rPr>
          <w:rFonts w:hint="eastAsia" w:ascii="宋体" w:hAnsi="宋体" w:eastAsia="宋体" w:cs="宋体"/>
          <w:sz w:val="24"/>
          <w:szCs w:val="24"/>
          <w:lang w:val="en-US"/>
        </w:rPr>
        <w:t>1651979.95</w:t>
      </w:r>
      <w:r>
        <w:rPr>
          <w:rFonts w:hint="eastAsia" w:ascii="宋体" w:hAnsi="宋体" w:eastAsia="宋体" w:cs="宋体"/>
          <w:sz w:val="24"/>
          <w:szCs w:val="24"/>
          <w:lang w:eastAsia="zh-CN"/>
        </w:rPr>
        <w:t>元，比上年减少加-620990.86272445.93元，减少</w:t>
      </w:r>
      <w:r>
        <w:rPr>
          <w:rFonts w:hint="eastAsia" w:ascii="宋体" w:hAnsi="宋体" w:eastAsia="宋体" w:cs="宋体"/>
          <w:sz w:val="24"/>
          <w:szCs w:val="24"/>
          <w:lang w:val="en-US" w:eastAsia="zh-CN"/>
        </w:rPr>
        <w:t>27.32</w:t>
      </w:r>
      <w:r>
        <w:rPr>
          <w:rFonts w:hint="eastAsia" w:ascii="宋体" w:hAnsi="宋体" w:eastAsia="宋体" w:cs="宋体"/>
          <w:sz w:val="24"/>
          <w:szCs w:val="24"/>
          <w:lang w:eastAsia="zh-CN"/>
        </w:rPr>
        <w:t>％，减少</w:t>
      </w:r>
      <w:r>
        <w:rPr>
          <w:rFonts w:hint="eastAsia" w:ascii="宋体" w:hAnsi="宋体" w:eastAsia="宋体" w:cs="宋体"/>
          <w:sz w:val="24"/>
          <w:szCs w:val="24"/>
          <w:lang w:val="en-US" w:eastAsia="zh-CN"/>
        </w:rPr>
        <w:t>原因是2022年支出往年度的校车运行费，2023年正常支出，所以相对上年度减少。</w:t>
      </w:r>
      <w:r>
        <w:rPr>
          <w:rFonts w:hint="eastAsia" w:ascii="宋体" w:hAnsi="宋体" w:eastAsia="宋体" w:cs="宋体"/>
          <w:sz w:val="24"/>
          <w:szCs w:val="24"/>
          <w:lang w:eastAsia="zh-CN"/>
        </w:rPr>
        <w:t>二、项目支出</w:t>
      </w:r>
      <w:r>
        <w:rPr>
          <w:rFonts w:hint="eastAsia" w:ascii="宋体" w:hAnsi="宋体" w:eastAsia="宋体" w:cs="宋体"/>
          <w:sz w:val="24"/>
          <w:szCs w:val="24"/>
          <w:lang w:val="en-US" w:eastAsia="zh-CN"/>
        </w:rPr>
        <w:t>0</w:t>
      </w:r>
      <w:r>
        <w:rPr>
          <w:rFonts w:hint="eastAsia" w:ascii="宋体" w:hAnsi="宋体" w:eastAsia="宋体" w:cs="宋体"/>
          <w:sz w:val="24"/>
          <w:szCs w:val="24"/>
          <w:lang w:eastAsia="zh-CN"/>
        </w:rPr>
        <w:t>元，比上年度增加</w:t>
      </w:r>
      <w:r>
        <w:rPr>
          <w:rFonts w:hint="eastAsia" w:ascii="宋体" w:hAnsi="宋体" w:eastAsia="宋体" w:cs="宋体"/>
          <w:sz w:val="24"/>
          <w:szCs w:val="24"/>
          <w:lang w:val="en-US" w:eastAsia="zh-CN"/>
        </w:rPr>
        <w:t>0</w:t>
      </w:r>
      <w:r>
        <w:rPr>
          <w:rFonts w:hint="eastAsia" w:ascii="宋体" w:hAnsi="宋体" w:eastAsia="宋体" w:cs="宋体"/>
          <w:sz w:val="24"/>
          <w:szCs w:val="24"/>
          <w:lang w:eastAsia="zh-CN"/>
        </w:rPr>
        <w:t>元。增加</w:t>
      </w:r>
      <w:r>
        <w:rPr>
          <w:rFonts w:hint="eastAsia" w:ascii="宋体" w:hAnsi="宋体" w:eastAsia="宋体" w:cs="宋体"/>
          <w:sz w:val="24"/>
          <w:szCs w:val="24"/>
          <w:lang w:val="en-US" w:eastAsia="zh-CN"/>
        </w:rPr>
        <w:t>0%。</w:t>
      </w:r>
    </w:p>
    <w:p w14:paraId="015CBFA6">
      <w:pPr>
        <w:keepNext w:val="0"/>
        <w:keepLines w:val="0"/>
        <w:pageBreakBefore w:val="0"/>
        <w:kinsoku/>
        <w:wordWrap/>
        <w:overflowPunct/>
        <w:topLinePunct w:val="0"/>
        <w:autoSpaceDE/>
        <w:autoSpaceDN/>
        <w:bidi w:val="0"/>
        <w:adjustRightInd/>
        <w:snapToGrid/>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lang w:val="en-US"/>
        </w:rPr>
        <w:t>202</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年总计支出按经济科目分类，其中工资福利支出</w:t>
      </w:r>
      <w:r>
        <w:rPr>
          <w:rFonts w:hint="eastAsia" w:ascii="宋体" w:hAnsi="宋体" w:eastAsia="宋体" w:cs="宋体"/>
          <w:sz w:val="24"/>
          <w:szCs w:val="24"/>
          <w:lang w:val="en-US"/>
        </w:rPr>
        <w:t>9947995.99</w:t>
      </w:r>
      <w:r>
        <w:rPr>
          <w:rFonts w:hint="eastAsia" w:ascii="宋体" w:hAnsi="宋体" w:eastAsia="宋体" w:cs="宋体"/>
          <w:sz w:val="24"/>
          <w:szCs w:val="24"/>
          <w:lang w:eastAsia="zh-CN"/>
        </w:rPr>
        <w:t>元，对个人和家庭的补助</w:t>
      </w:r>
      <w:r>
        <w:rPr>
          <w:rFonts w:hint="eastAsia" w:ascii="宋体" w:hAnsi="宋体" w:eastAsia="宋体" w:cs="宋体"/>
          <w:sz w:val="24"/>
          <w:szCs w:val="24"/>
          <w:lang w:val="en-US"/>
        </w:rPr>
        <w:t>1238199.95</w:t>
      </w:r>
      <w:r>
        <w:rPr>
          <w:rFonts w:hint="eastAsia" w:ascii="宋体" w:hAnsi="宋体" w:eastAsia="宋体" w:cs="宋体"/>
          <w:sz w:val="24"/>
          <w:szCs w:val="24"/>
          <w:lang w:eastAsia="zh-CN"/>
        </w:rPr>
        <w:t>元，商品服务支出</w:t>
      </w:r>
      <w:r>
        <w:rPr>
          <w:rFonts w:hint="eastAsia" w:ascii="宋体" w:hAnsi="宋体" w:eastAsia="宋体" w:cs="宋体"/>
          <w:sz w:val="24"/>
          <w:szCs w:val="24"/>
          <w:lang w:val="en-US"/>
        </w:rPr>
        <w:t>1505281.41</w:t>
      </w:r>
      <w:r>
        <w:rPr>
          <w:rFonts w:hint="eastAsia" w:ascii="宋体" w:hAnsi="宋体" w:eastAsia="宋体" w:cs="宋体"/>
          <w:sz w:val="24"/>
          <w:szCs w:val="24"/>
          <w:lang w:eastAsia="zh-CN"/>
        </w:rPr>
        <w:t>元，资本性支出</w:t>
      </w:r>
      <w:r>
        <w:rPr>
          <w:rFonts w:hint="eastAsia" w:ascii="宋体" w:hAnsi="宋体" w:eastAsia="宋体" w:cs="宋体"/>
          <w:sz w:val="24"/>
          <w:szCs w:val="24"/>
          <w:lang w:val="en-US"/>
        </w:rPr>
        <w:t>413780</w:t>
      </w:r>
      <w:r>
        <w:rPr>
          <w:rFonts w:hint="eastAsia" w:ascii="宋体" w:hAnsi="宋体" w:eastAsia="宋体" w:cs="宋体"/>
          <w:sz w:val="24"/>
          <w:szCs w:val="24"/>
          <w:lang w:eastAsia="zh-CN"/>
        </w:rPr>
        <w:t>元。</w:t>
      </w:r>
    </w:p>
    <w:p w14:paraId="56761126">
      <w:pPr>
        <w:keepNext w:val="0"/>
        <w:keepLines w:val="0"/>
        <w:pageBreakBefore w:val="0"/>
        <w:kinsoku/>
        <w:wordWrap/>
        <w:overflowPunct/>
        <w:topLinePunct w:val="0"/>
        <w:autoSpaceDE/>
        <w:autoSpaceDN/>
        <w:bidi w:val="0"/>
        <w:adjustRightInd/>
        <w:snapToGrid/>
        <w:spacing w:line="440" w:lineRule="exact"/>
        <w:ind w:firstLine="480" w:firstLineChars="200"/>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rPr>
        <w:t>20</w:t>
      </w:r>
      <w:r>
        <w:rPr>
          <w:rFonts w:hint="eastAsia" w:ascii="宋体" w:hAnsi="宋体" w:eastAsia="宋体" w:cs="宋体"/>
          <w:sz w:val="24"/>
          <w:szCs w:val="24"/>
          <w:lang w:val="en-US" w:eastAsia="zh-CN"/>
        </w:rPr>
        <w:t>23</w:t>
      </w:r>
      <w:r>
        <w:rPr>
          <w:rFonts w:hint="eastAsia" w:ascii="宋体" w:hAnsi="宋体" w:eastAsia="宋体" w:cs="宋体"/>
          <w:sz w:val="24"/>
          <w:szCs w:val="24"/>
          <w:lang w:eastAsia="zh-CN"/>
        </w:rPr>
        <w:t>年我校认真贯彻落实关于厉行节约的有关规定，全年“三公”经费支出决算为</w:t>
      </w:r>
      <w:r>
        <w:rPr>
          <w:rFonts w:hint="eastAsia" w:ascii="宋体" w:hAnsi="宋体" w:eastAsia="宋体" w:cs="宋体"/>
          <w:sz w:val="24"/>
          <w:szCs w:val="24"/>
          <w:lang w:val="en-US"/>
        </w:rPr>
        <w:t>0</w:t>
      </w:r>
      <w:r>
        <w:rPr>
          <w:rFonts w:hint="eastAsia" w:ascii="宋体" w:hAnsi="宋体" w:eastAsia="宋体" w:cs="宋体"/>
          <w:sz w:val="24"/>
          <w:szCs w:val="24"/>
          <w:lang w:eastAsia="zh-CN"/>
        </w:rPr>
        <w:t>万元，较预算节约</w:t>
      </w:r>
      <w:r>
        <w:rPr>
          <w:rFonts w:hint="eastAsia" w:ascii="宋体" w:hAnsi="宋体" w:eastAsia="宋体" w:cs="宋体"/>
          <w:sz w:val="24"/>
          <w:szCs w:val="24"/>
          <w:lang w:val="en-US"/>
        </w:rPr>
        <w:t>0</w:t>
      </w:r>
      <w:r>
        <w:rPr>
          <w:rFonts w:hint="eastAsia" w:ascii="宋体" w:hAnsi="宋体" w:eastAsia="宋体" w:cs="宋体"/>
          <w:sz w:val="24"/>
          <w:szCs w:val="24"/>
          <w:lang w:eastAsia="zh-CN"/>
        </w:rPr>
        <w:t>万元，“三公”经费预算节余率为</w:t>
      </w:r>
      <w:r>
        <w:rPr>
          <w:rFonts w:hint="eastAsia" w:ascii="宋体" w:hAnsi="宋体" w:eastAsia="宋体" w:cs="宋体"/>
          <w:sz w:val="24"/>
          <w:szCs w:val="24"/>
          <w:lang w:val="en-US"/>
        </w:rPr>
        <w:t>100%</w:t>
      </w:r>
      <w:r>
        <w:rPr>
          <w:rFonts w:hint="eastAsia" w:ascii="宋体" w:hAnsi="宋体" w:eastAsia="宋体" w:cs="宋体"/>
          <w:sz w:val="24"/>
          <w:szCs w:val="24"/>
          <w:lang w:eastAsia="zh-CN"/>
        </w:rPr>
        <w:t>。</w:t>
      </w:r>
    </w:p>
    <w:p w14:paraId="3898CB39">
      <w:pPr>
        <w:pStyle w:val="8"/>
        <w:keepNext w:val="0"/>
        <w:keepLines w:val="0"/>
        <w:pageBreakBefore w:val="0"/>
        <w:widowControl/>
        <w:suppressLineNumbers w:val="0"/>
        <w:kinsoku/>
        <w:wordWrap/>
        <w:overflowPunct/>
        <w:topLinePunct w:val="0"/>
        <w:autoSpaceDE/>
        <w:autoSpaceDN/>
        <w:bidi w:val="0"/>
        <w:adjustRightInd/>
        <w:snapToGrid/>
        <w:spacing w:before="0" w:after="0" w:line="440" w:lineRule="exact"/>
        <w:ind w:left="0" w:right="0" w:firstLine="480" w:firstLineChars="200"/>
        <w:jc w:val="left"/>
        <w:textAlignment w:val="auto"/>
        <w:outlineLvl w:val="9"/>
      </w:pPr>
      <w:r>
        <w:rPr>
          <w:rFonts w:hint="eastAsia" w:ascii="宋体" w:hAnsi="宋体" w:eastAsia="宋体" w:cs="宋体"/>
          <w:color w:val="000000"/>
          <w:sz w:val="24"/>
          <w:szCs w:val="24"/>
          <w:lang w:val="en-US" w:eastAsia="zh-CN"/>
        </w:rPr>
        <w:t>2023</w:t>
      </w:r>
      <w:r>
        <w:rPr>
          <w:rFonts w:hint="eastAsia" w:ascii="宋体" w:hAnsi="宋体" w:cs="宋体"/>
          <w:b w:val="0"/>
          <w:bCs w:val="0"/>
          <w:color w:val="333333"/>
          <w:kern w:val="0"/>
          <w:sz w:val="24"/>
          <w:szCs w:val="24"/>
          <w:lang w:val="en-US" w:eastAsia="zh-CN" w:bidi="ar"/>
        </w:rPr>
        <w:t>年度我校</w:t>
      </w:r>
      <w:r>
        <w:rPr>
          <w:rFonts w:hint="eastAsia" w:ascii="宋体" w:hAnsi="宋体" w:cs="宋体"/>
          <w:b w:val="0"/>
          <w:bCs w:val="0"/>
          <w:color w:val="000000"/>
          <w:kern w:val="0"/>
          <w:sz w:val="24"/>
          <w:szCs w:val="24"/>
          <w:lang w:val="en-US" w:eastAsia="zh-CN" w:bidi="ar"/>
        </w:rPr>
        <w:t>以习近平新时代中国特色社会主义思想为指导，增强“四个意识”、坚定“四个自信”，做到“两个维护”。加强师德师风建设，加强党风廉政建设。</w:t>
      </w:r>
    </w:p>
    <w:p w14:paraId="555D60E9">
      <w:pPr>
        <w:pStyle w:val="8"/>
        <w:keepNext w:val="0"/>
        <w:keepLines w:val="0"/>
        <w:pageBreakBefore w:val="0"/>
        <w:widowControl/>
        <w:numPr>
          <w:ilvl w:val="0"/>
          <w:numId w:val="1"/>
        </w:numPr>
        <w:suppressLineNumbers w:val="0"/>
        <w:kinsoku/>
        <w:wordWrap/>
        <w:overflowPunct/>
        <w:topLinePunct w:val="0"/>
        <w:autoSpaceDE/>
        <w:autoSpaceDN/>
        <w:bidi w:val="0"/>
        <w:adjustRightInd/>
        <w:snapToGrid/>
        <w:spacing w:before="0" w:after="0" w:line="440" w:lineRule="exact"/>
        <w:ind w:left="0" w:right="0" w:firstLine="720" w:firstLineChars="300"/>
        <w:jc w:val="left"/>
        <w:textAlignment w:val="auto"/>
        <w:outlineLvl w:val="9"/>
        <w:rPr>
          <w:rFonts w:ascii="宋体" w:hAnsi="宋体" w:eastAsia="宋体" w:cs="宋体"/>
          <w:sz w:val="24"/>
          <w:szCs w:val="24"/>
        </w:rPr>
      </w:pPr>
      <w:r>
        <w:rPr>
          <w:rFonts w:ascii="宋体" w:hAnsi="宋体" w:eastAsia="宋体" w:cs="宋体"/>
          <w:sz w:val="24"/>
          <w:szCs w:val="24"/>
        </w:rPr>
        <w:t>开展学生德育活动。通过多种有效途径加强学生爱国主义教育和公民道德教育，强化法制、安全、心理健康教育，收到较好效果。 </w:t>
      </w:r>
      <w:r>
        <w:rPr>
          <w:rFonts w:ascii="宋体" w:hAnsi="宋体" w:eastAsia="宋体" w:cs="宋体"/>
          <w:sz w:val="24"/>
          <w:szCs w:val="24"/>
        </w:rPr>
        <w:br w:type="textWrapping"/>
      </w:r>
      <w:r>
        <w:rPr>
          <w:rFonts w:ascii="宋体" w:hAnsi="宋体" w:eastAsia="宋体" w:cs="宋体"/>
          <w:sz w:val="24"/>
          <w:szCs w:val="24"/>
        </w:rPr>
        <w:t>   2、开展教学和教研活动。加强教学常规管理，贯彻落实减负措施。培养学生综合素质，切实开展“阳光体育”。 </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eastAsia="宋体" w:cs="宋体"/>
          <w:sz w:val="24"/>
          <w:szCs w:val="24"/>
          <w:lang w:val="en-US" w:eastAsia="zh-CN"/>
        </w:rPr>
        <w:t>3</w:t>
      </w:r>
      <w:r>
        <w:rPr>
          <w:rFonts w:ascii="宋体" w:hAnsi="宋体" w:eastAsia="宋体" w:cs="宋体"/>
          <w:sz w:val="24"/>
          <w:szCs w:val="24"/>
        </w:rPr>
        <w:t>、开展教育科学研究活动。积极倡导小课题深研究，组织教师对教育教学和管理中的难点和热点问题开展研究，提倡行动研究，注重研究的可操作性与实效性。 </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eastAsia="宋体" w:cs="宋体"/>
          <w:sz w:val="24"/>
          <w:szCs w:val="24"/>
          <w:lang w:val="en-US" w:eastAsia="zh-CN"/>
        </w:rPr>
        <w:t>4</w:t>
      </w:r>
      <w:r>
        <w:rPr>
          <w:rFonts w:ascii="宋体" w:hAnsi="宋体" w:eastAsia="宋体" w:cs="宋体"/>
          <w:sz w:val="24"/>
          <w:szCs w:val="24"/>
        </w:rPr>
        <w:t>、开展教师培训活动。规范教师培训制度，组织教职工开展师德培训，加强继续教育工作，根据校本培训方案认真实施校本培训工作，努力提升教师整体素质。 </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eastAsia="宋体" w:cs="宋体"/>
          <w:sz w:val="24"/>
          <w:szCs w:val="24"/>
          <w:lang w:val="en-US" w:eastAsia="zh-CN"/>
        </w:rPr>
        <w:t>5</w:t>
      </w:r>
      <w:r>
        <w:rPr>
          <w:rFonts w:ascii="宋体" w:hAnsi="宋体" w:eastAsia="宋体" w:cs="宋体"/>
          <w:sz w:val="24"/>
          <w:szCs w:val="24"/>
        </w:rPr>
        <w:t>、开展学校后勤服务活动。加强校产管理，规范校产的购入、登记、出借、报损、核查和入帐手续，做到账物相符、帐帐相符。规范财务管理，严格执行有关收费规定，及时公示收费项目和标准。食堂管理，按照上级文件执行，加强对食品采购、验收、储存、制作与加工等诸多环节的管理工作，确保饮食卫生安全。 </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eastAsia="宋体" w:cs="宋体"/>
          <w:sz w:val="24"/>
          <w:szCs w:val="24"/>
          <w:lang w:val="en-US" w:eastAsia="zh-CN"/>
        </w:rPr>
        <w:t>6</w:t>
      </w:r>
      <w:r>
        <w:rPr>
          <w:rFonts w:ascii="宋体" w:hAnsi="宋体" w:eastAsia="宋体" w:cs="宋体"/>
          <w:sz w:val="24"/>
          <w:szCs w:val="24"/>
        </w:rPr>
        <w:t>、开展学校规章制度建设及其他教育管理活动。健全组织结构，完善管理制度，建立起一套适合本校实际的学校管理制度，实现依法办学、依法行政，以此促进全局工作逐步走上规范化、科学化、民主化轨道，着力推进了和谐教育，取得较好的社会效益。</w:t>
      </w:r>
    </w:p>
    <w:p w14:paraId="3E2AFCCB">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after="0" w:line="440" w:lineRule="exact"/>
        <w:ind w:right="0" w:rightChars="0" w:firstLine="480" w:firstLineChars="200"/>
        <w:jc w:val="left"/>
        <w:textAlignment w:val="auto"/>
        <w:outlineLvl w:val="9"/>
        <w:rPr>
          <w:rFonts w:ascii="宋体" w:hAnsi="宋体" w:eastAsia="宋体" w:cs="宋体"/>
          <w:sz w:val="24"/>
          <w:szCs w:val="24"/>
        </w:rPr>
      </w:pPr>
      <w:r>
        <w:rPr>
          <w:rFonts w:hint="eastAsia" w:ascii="宋体" w:hAnsi="宋体" w:eastAsia="宋体" w:cs="宋体"/>
          <w:sz w:val="24"/>
          <w:szCs w:val="24"/>
          <w:lang w:eastAsia="zh-CN"/>
        </w:rPr>
        <w:t>我校在</w:t>
      </w:r>
      <w:r>
        <w:rPr>
          <w:rFonts w:ascii="宋体" w:hAnsi="宋体" w:eastAsia="宋体" w:cs="宋体"/>
          <w:sz w:val="24"/>
          <w:szCs w:val="24"/>
        </w:rPr>
        <w:t>2022-2023年度教育教学质量考核中获“先进集体”；2023年10月获县运会小学组团体总分第六名；2023年6月获县“先进基层党组织”；2023年12月中小学信息技术2.0项目 获县“先进集体”。23年11月获县校园文化艺术节第一名；23年12月获县课改先进单位。</w:t>
      </w:r>
    </w:p>
    <w:p w14:paraId="163AAAE5">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after="0" w:line="440" w:lineRule="exact"/>
        <w:ind w:right="0" w:rightChars="0" w:firstLine="480" w:firstLineChars="200"/>
        <w:jc w:val="left"/>
        <w:textAlignment w:val="auto"/>
        <w:outlineLvl w:val="9"/>
        <w:rPr>
          <w:rFonts w:hint="eastAsia" w:ascii="宋体" w:hAnsi="宋体" w:eastAsia="宋体" w:cs="宋体"/>
          <w:sz w:val="24"/>
          <w:szCs w:val="24"/>
          <w:lang w:val="en-US" w:eastAsia="zh-CN"/>
        </w:rPr>
      </w:pPr>
    </w:p>
    <w:p w14:paraId="0E7F02DA">
      <w:pPr>
        <w:keepNext w:val="0"/>
        <w:keepLines w:val="0"/>
        <w:pageBreakBefore w:val="0"/>
        <w:kinsoku/>
        <w:wordWrap/>
        <w:overflowPunct/>
        <w:topLinePunct w:val="0"/>
        <w:autoSpaceDE/>
        <w:autoSpaceDN/>
        <w:bidi w:val="0"/>
        <w:adjustRightInd/>
        <w:snapToGrid/>
        <w:spacing w:line="440" w:lineRule="exact"/>
        <w:outlineLvl w:val="9"/>
        <w:rPr>
          <w:rFonts w:hint="eastAsia" w:ascii="宋体" w:hAnsi="宋体" w:eastAsia="宋体" w:cs="宋体"/>
          <w:b/>
          <w:bCs/>
          <w:sz w:val="24"/>
          <w:szCs w:val="24"/>
        </w:rPr>
      </w:pPr>
      <w:r>
        <w:rPr>
          <w:rFonts w:hint="eastAsia" w:ascii="宋体" w:hAnsi="宋体" w:eastAsia="宋体" w:cs="宋体"/>
          <w:b/>
          <w:bCs/>
          <w:sz w:val="24"/>
          <w:szCs w:val="24"/>
        </w:rPr>
        <w:t>三、存在的问题及原因</w:t>
      </w:r>
    </w:p>
    <w:p w14:paraId="72E170E9">
      <w:pPr>
        <w:keepNext w:val="0"/>
        <w:keepLines w:val="0"/>
        <w:pageBreakBefore w:val="0"/>
        <w:numPr>
          <w:ilvl w:val="0"/>
          <w:numId w:val="0"/>
        </w:numPr>
        <w:kinsoku/>
        <w:wordWrap/>
        <w:overflowPunct/>
        <w:topLinePunct w:val="0"/>
        <w:autoSpaceDE/>
        <w:autoSpaceDN/>
        <w:bidi w:val="0"/>
        <w:adjustRightInd/>
        <w:snapToGrid/>
        <w:spacing w:line="440" w:lineRule="exact"/>
        <w:ind w:left="0" w:right="0" w:firstLine="480"/>
        <w:jc w:val="both"/>
        <w:textAlignment w:val="auto"/>
        <w:outlineLvl w:val="9"/>
        <w:rPr>
          <w:rFonts w:hint="eastAsia" w:ascii="宋体" w:hAnsi="宋体" w:eastAsia="宋体" w:cs="宋体"/>
          <w:sz w:val="24"/>
          <w:szCs w:val="24"/>
        </w:rPr>
      </w:pPr>
      <w:r>
        <w:rPr>
          <w:rFonts w:hint="eastAsia" w:ascii="宋体" w:hAnsi="宋体" w:eastAsia="宋体" w:cs="宋体"/>
          <w:b w:val="0"/>
          <w:bCs w:val="0"/>
          <w:kern w:val="0"/>
          <w:sz w:val="24"/>
          <w:szCs w:val="24"/>
          <w:lang w:val="en-US" w:eastAsia="zh-CN"/>
        </w:rPr>
        <w:t>1.</w:t>
      </w:r>
      <w:r>
        <w:rPr>
          <w:rFonts w:hint="eastAsia" w:ascii="宋体" w:hAnsi="宋体" w:eastAsia="宋体" w:cs="宋体"/>
          <w:b w:val="0"/>
          <w:bCs w:val="0"/>
          <w:kern w:val="0"/>
          <w:sz w:val="24"/>
          <w:szCs w:val="24"/>
        </w:rPr>
        <w:t>制定目标不科学</w:t>
      </w:r>
      <w:r>
        <w:rPr>
          <w:rFonts w:hint="eastAsia" w:ascii="宋体" w:hAnsi="宋体" w:eastAsia="宋体" w:cs="宋体"/>
          <w:b w:val="0"/>
          <w:bCs w:val="0"/>
          <w:kern w:val="0"/>
          <w:sz w:val="24"/>
          <w:szCs w:val="24"/>
          <w:lang w:eastAsia="zh-CN"/>
        </w:rPr>
        <w:t>，人员水平有待提高。</w:t>
      </w:r>
      <w:r>
        <w:rPr>
          <w:rFonts w:hint="eastAsia" w:ascii="宋体" w:hAnsi="宋体" w:eastAsia="宋体" w:cs="宋体"/>
          <w:b w:val="0"/>
          <w:bCs w:val="0"/>
          <w:kern w:val="0"/>
          <w:sz w:val="24"/>
          <w:szCs w:val="24"/>
        </w:rPr>
        <w:t>没有因地制宜，</w:t>
      </w:r>
      <w:r>
        <w:rPr>
          <w:rFonts w:hint="eastAsia" w:ascii="宋体" w:hAnsi="宋体" w:eastAsia="宋体" w:cs="宋体"/>
          <w:b w:val="0"/>
          <w:bCs w:val="0"/>
          <w:kern w:val="0"/>
          <w:sz w:val="24"/>
          <w:szCs w:val="24"/>
          <w:lang w:eastAsia="zh-CN"/>
        </w:rPr>
        <w:t>未能</w:t>
      </w:r>
      <w:r>
        <w:rPr>
          <w:rFonts w:hint="eastAsia" w:ascii="宋体" w:hAnsi="宋体" w:eastAsia="宋体" w:cs="宋体"/>
          <w:b w:val="0"/>
          <w:bCs w:val="0"/>
          <w:kern w:val="0"/>
          <w:sz w:val="24"/>
          <w:szCs w:val="24"/>
        </w:rPr>
        <w:t>经过充分仔细的测量及分析，导致很多时候出现目标过高，无法完成，浪费国家资源的情况出现</w:t>
      </w:r>
      <w:r>
        <w:rPr>
          <w:rFonts w:hint="eastAsia" w:ascii="宋体" w:hAnsi="宋体" w:eastAsia="宋体" w:cs="宋体"/>
          <w:b w:val="0"/>
          <w:bCs w:val="0"/>
          <w:kern w:val="0"/>
          <w:sz w:val="24"/>
          <w:szCs w:val="24"/>
          <w:lang w:eastAsia="zh-CN"/>
        </w:rPr>
        <w:t>。</w:t>
      </w:r>
    </w:p>
    <w:p w14:paraId="30249B7A">
      <w:pPr>
        <w:keepNext w:val="0"/>
        <w:keepLines w:val="0"/>
        <w:pageBreakBefore w:val="0"/>
        <w:kinsoku/>
        <w:wordWrap/>
        <w:overflowPunct/>
        <w:topLinePunct w:val="0"/>
        <w:autoSpaceDE/>
        <w:autoSpaceDN/>
        <w:bidi w:val="0"/>
        <w:adjustRightInd/>
        <w:snapToGrid/>
        <w:spacing w:line="440" w:lineRule="exact"/>
        <w:ind w:right="0" w:firstLine="480" w:firstLineChars="200"/>
        <w:jc w:val="both"/>
        <w:textAlignment w:val="auto"/>
        <w:outlineLvl w:val="9"/>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lang w:eastAsia="zh-CN"/>
        </w:rPr>
        <w:t>.工作主次，</w:t>
      </w:r>
      <w:r>
        <w:rPr>
          <w:rFonts w:hint="eastAsia" w:ascii="宋体" w:hAnsi="宋体" w:eastAsia="宋体" w:cs="宋体"/>
          <w:b w:val="0"/>
          <w:bCs w:val="0"/>
          <w:sz w:val="24"/>
          <w:szCs w:val="24"/>
          <w:lang w:val="en-US" w:eastAsia="zh-CN"/>
        </w:rPr>
        <w:t>需要分清</w:t>
      </w:r>
      <w:r>
        <w:rPr>
          <w:rFonts w:hint="eastAsia" w:ascii="宋体" w:hAnsi="宋体" w:eastAsia="宋体" w:cs="宋体"/>
          <w:b w:val="0"/>
          <w:bCs w:val="0"/>
          <w:sz w:val="24"/>
          <w:szCs w:val="24"/>
        </w:rPr>
        <w:t>。每个部门对于自己责任范围内的事，要积极主动完成，要讲求效率。要学会统筹安排，份内的工作要及时、高效完成</w:t>
      </w:r>
      <w:r>
        <w:rPr>
          <w:rFonts w:hint="eastAsia" w:ascii="宋体" w:hAnsi="宋体" w:eastAsia="宋体" w:cs="宋体"/>
          <w:b w:val="0"/>
          <w:bCs w:val="0"/>
          <w:sz w:val="24"/>
          <w:szCs w:val="24"/>
          <w:lang w:eastAsia="zh-CN"/>
        </w:rPr>
        <w:t>。</w:t>
      </w:r>
    </w:p>
    <w:p w14:paraId="04DAB58E">
      <w:pPr>
        <w:pStyle w:val="2"/>
        <w:keepNext w:val="0"/>
        <w:keepLines w:val="0"/>
        <w:pageBreakBefore w:val="0"/>
        <w:kinsoku/>
        <w:wordWrap/>
        <w:overflowPunct/>
        <w:topLinePunct w:val="0"/>
        <w:autoSpaceDE/>
        <w:autoSpaceDN/>
        <w:bidi w:val="0"/>
        <w:adjustRightInd/>
        <w:snapToGrid/>
        <w:spacing w:line="440" w:lineRule="exact"/>
        <w:outlineLvl w:val="9"/>
        <w:rPr>
          <w:rFonts w:hint="eastAsia"/>
        </w:rPr>
      </w:pPr>
    </w:p>
    <w:p w14:paraId="78149B18">
      <w:pPr>
        <w:keepNext w:val="0"/>
        <w:keepLines w:val="0"/>
        <w:pageBreakBefore w:val="0"/>
        <w:kinsoku/>
        <w:wordWrap/>
        <w:overflowPunct/>
        <w:topLinePunct w:val="0"/>
        <w:autoSpaceDE/>
        <w:autoSpaceDN/>
        <w:bidi w:val="0"/>
        <w:adjustRightInd/>
        <w:snapToGrid/>
        <w:spacing w:line="440" w:lineRule="exact"/>
        <w:outlineLvl w:val="9"/>
        <w:rPr>
          <w:rFonts w:hint="eastAsia" w:ascii="宋体" w:hAnsi="宋体" w:eastAsia="宋体" w:cs="宋体"/>
          <w:b/>
          <w:bCs/>
          <w:sz w:val="24"/>
          <w:szCs w:val="24"/>
        </w:rPr>
      </w:pPr>
      <w:r>
        <w:rPr>
          <w:rFonts w:hint="eastAsia" w:ascii="宋体" w:hAnsi="宋体" w:eastAsia="宋体" w:cs="宋体"/>
          <w:b/>
          <w:bCs/>
          <w:sz w:val="24"/>
          <w:szCs w:val="24"/>
        </w:rPr>
        <w:t>四、提高财政资金绩效的措施与建议</w:t>
      </w:r>
    </w:p>
    <w:p w14:paraId="3005D0A7">
      <w:pPr>
        <w:keepNext w:val="0"/>
        <w:keepLines w:val="0"/>
        <w:pageBreakBefore w:val="0"/>
        <w:widowControl w:val="0"/>
        <w:kinsoku/>
        <w:wordWrap/>
        <w:overflowPunct/>
        <w:topLinePunct w:val="0"/>
        <w:autoSpaceDE/>
        <w:autoSpaceDN/>
        <w:bidi w:val="0"/>
        <w:adjustRightInd/>
        <w:snapToGrid/>
        <w:spacing w:line="440" w:lineRule="exact"/>
        <w:ind w:right="0" w:firstLine="240" w:firstLineChars="1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Style w:val="6"/>
          <w:rFonts w:hint="eastAsia" w:ascii="宋体" w:hAnsi="宋体" w:eastAsia="宋体" w:cs="宋体"/>
          <w:b w:val="0"/>
          <w:bCs/>
          <w:i w:val="0"/>
          <w:caps w:val="0"/>
          <w:smallCaps w:val="0"/>
          <w:color w:val="333333"/>
          <w:spacing w:val="0"/>
          <w:sz w:val="24"/>
          <w:szCs w:val="24"/>
          <w:shd w:val="clear" w:color="auto" w:fill="FFFFFF"/>
        </w:rPr>
        <w:t>1．加强预算绩效管理。</w:t>
      </w:r>
    </w:p>
    <w:p w14:paraId="63D15F55">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bottom"/>
        <w:outlineLvl w:val="9"/>
        <w:rPr>
          <w:rFonts w:hint="eastAsia" w:ascii="宋体" w:hAnsi="宋体" w:eastAsia="宋体" w:cs="宋体"/>
          <w:kern w:val="0"/>
          <w:sz w:val="24"/>
          <w:szCs w:val="24"/>
        </w:rPr>
      </w:pPr>
      <w:r>
        <w:rPr>
          <w:rFonts w:hint="eastAsia" w:ascii="宋体" w:hAnsi="宋体" w:eastAsia="宋体" w:cs="宋体"/>
          <w:i w:val="0"/>
          <w:caps w:val="0"/>
          <w:smallCaps w:val="0"/>
          <w:color w:val="333333"/>
          <w:spacing w:val="0"/>
          <w:sz w:val="24"/>
          <w:szCs w:val="24"/>
          <w:highlight w:val="white"/>
        </w:rPr>
        <w:t>加强预算资金管理，</w:t>
      </w:r>
      <w:r>
        <w:rPr>
          <w:rFonts w:hint="eastAsia" w:ascii="宋体" w:hAnsi="宋体" w:eastAsia="宋体" w:cs="宋体"/>
          <w:kern w:val="0"/>
          <w:sz w:val="24"/>
          <w:szCs w:val="24"/>
        </w:rPr>
        <w:t>加强预算编制的前瞻性，按政策规定及本部门的发展规划，结合上一年度预算执行情况和本年度预算收支变化因素，科学、合理地编制本年预算草案，避免项目支出与基本支出划分不准或预算支出与实际执行出现较大偏差的情况，执行中确需调剂预算的，按规定程序报经批准。</w:t>
      </w:r>
    </w:p>
    <w:p w14:paraId="74C26C39">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0" w:right="0" w:firstLine="480"/>
        <w:textAlignment w:val="auto"/>
        <w:outlineLvl w:val="9"/>
        <w:rPr>
          <w:rFonts w:hint="eastAsia" w:ascii="宋体" w:hAnsi="宋体" w:eastAsia="宋体" w:cs="宋体"/>
          <w:sz w:val="24"/>
          <w:szCs w:val="24"/>
        </w:rPr>
      </w:pPr>
      <w:r>
        <w:rPr>
          <w:rStyle w:val="6"/>
          <w:rFonts w:hint="eastAsia" w:ascii="宋体" w:hAnsi="宋体" w:eastAsia="宋体" w:cs="宋体"/>
          <w:b w:val="0"/>
          <w:bCs/>
          <w:i w:val="0"/>
          <w:caps w:val="0"/>
          <w:smallCaps w:val="0"/>
          <w:color w:val="333333"/>
          <w:spacing w:val="0"/>
          <w:sz w:val="24"/>
          <w:szCs w:val="24"/>
          <w:shd w:val="clear" w:color="auto" w:fill="FFFFFF"/>
          <w:lang w:val="en-US" w:eastAsia="zh-CN"/>
        </w:rPr>
        <w:t>2.</w:t>
      </w:r>
      <w:r>
        <w:rPr>
          <w:rStyle w:val="6"/>
          <w:rFonts w:hint="eastAsia" w:ascii="宋体" w:hAnsi="宋体" w:eastAsia="宋体" w:cs="宋体"/>
          <w:b w:val="0"/>
          <w:bCs/>
          <w:i w:val="0"/>
          <w:caps w:val="0"/>
          <w:smallCaps w:val="0"/>
          <w:color w:val="333333"/>
          <w:spacing w:val="0"/>
          <w:sz w:val="24"/>
          <w:szCs w:val="24"/>
          <w:shd w:val="clear" w:color="auto" w:fill="FFFFFF"/>
        </w:rPr>
        <w:t>加强</w:t>
      </w:r>
      <w:r>
        <w:rPr>
          <w:rStyle w:val="6"/>
          <w:rFonts w:hint="eastAsia" w:ascii="宋体" w:hAnsi="宋体" w:eastAsia="宋体" w:cs="宋体"/>
          <w:b w:val="0"/>
          <w:bCs/>
          <w:i w:val="0"/>
          <w:caps w:val="0"/>
          <w:smallCaps w:val="0"/>
          <w:color w:val="333333"/>
          <w:spacing w:val="0"/>
          <w:sz w:val="24"/>
          <w:szCs w:val="24"/>
          <w:shd w:val="clear" w:color="auto" w:fill="FFFFFF"/>
          <w:lang w:eastAsia="zh-CN"/>
        </w:rPr>
        <w:t>对重点工作的</w:t>
      </w:r>
      <w:r>
        <w:rPr>
          <w:rStyle w:val="6"/>
          <w:rFonts w:hint="eastAsia" w:ascii="宋体" w:hAnsi="宋体" w:eastAsia="宋体" w:cs="宋体"/>
          <w:b w:val="0"/>
          <w:bCs/>
          <w:i w:val="0"/>
          <w:caps w:val="0"/>
          <w:smallCaps w:val="0"/>
          <w:color w:val="333333"/>
          <w:spacing w:val="0"/>
          <w:sz w:val="24"/>
          <w:szCs w:val="24"/>
          <w:shd w:val="clear" w:color="auto" w:fill="FFFFFF"/>
        </w:rPr>
        <w:t>实施监控。</w:t>
      </w:r>
    </w:p>
    <w:p w14:paraId="0B216920">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0" w:right="0" w:firstLine="480"/>
        <w:textAlignment w:val="auto"/>
        <w:outlineLvl w:val="9"/>
        <w:rPr>
          <w:rFonts w:hint="eastAsia" w:ascii="宋体" w:hAnsi="宋体" w:eastAsia="宋体" w:cs="宋体"/>
          <w:sz w:val="24"/>
          <w:szCs w:val="24"/>
        </w:rPr>
      </w:pPr>
      <w:r>
        <w:rPr>
          <w:rFonts w:hint="eastAsia" w:ascii="宋体" w:hAnsi="宋体" w:eastAsia="宋体" w:cs="宋体"/>
          <w:i w:val="0"/>
          <w:caps w:val="0"/>
          <w:smallCaps w:val="0"/>
          <w:color w:val="333333"/>
          <w:spacing w:val="0"/>
          <w:sz w:val="24"/>
          <w:szCs w:val="24"/>
          <w:shd w:val="clear" w:color="auto" w:fill="FFFFFF"/>
          <w:lang w:eastAsia="zh-CN"/>
        </w:rPr>
        <w:t>进一步</w:t>
      </w:r>
      <w:r>
        <w:rPr>
          <w:rFonts w:hint="eastAsia" w:ascii="宋体" w:hAnsi="宋体" w:eastAsia="宋体" w:cs="宋体"/>
          <w:i w:val="0"/>
          <w:caps w:val="0"/>
          <w:smallCaps w:val="0"/>
          <w:color w:val="333333"/>
          <w:spacing w:val="0"/>
          <w:sz w:val="24"/>
          <w:szCs w:val="24"/>
          <w:shd w:val="clear" w:color="auto" w:fill="FFFFFF"/>
        </w:rPr>
        <w:t>加强对</w:t>
      </w:r>
      <w:r>
        <w:rPr>
          <w:rFonts w:hint="eastAsia" w:ascii="宋体" w:hAnsi="宋体" w:eastAsia="宋体" w:cs="宋体"/>
          <w:i w:val="0"/>
          <w:caps w:val="0"/>
          <w:smallCaps w:val="0"/>
          <w:color w:val="333333"/>
          <w:spacing w:val="0"/>
          <w:sz w:val="24"/>
          <w:szCs w:val="24"/>
          <w:shd w:val="clear" w:color="auto" w:fill="FFFFFF"/>
          <w:lang w:eastAsia="zh-CN"/>
        </w:rPr>
        <w:t>重点工作的</w:t>
      </w:r>
      <w:r>
        <w:rPr>
          <w:rFonts w:hint="eastAsia" w:ascii="宋体" w:hAnsi="宋体" w:eastAsia="宋体" w:cs="宋体"/>
          <w:i w:val="0"/>
          <w:caps w:val="0"/>
          <w:smallCaps w:val="0"/>
          <w:color w:val="333333"/>
          <w:spacing w:val="0"/>
          <w:sz w:val="24"/>
          <w:szCs w:val="24"/>
          <w:shd w:val="clear" w:color="auto" w:fill="FFFFFF"/>
        </w:rPr>
        <w:t>实时监控，</w:t>
      </w:r>
      <w:r>
        <w:rPr>
          <w:rFonts w:hint="eastAsia" w:ascii="宋体" w:hAnsi="宋体" w:eastAsia="宋体" w:cs="宋体"/>
          <w:i w:val="0"/>
          <w:caps w:val="0"/>
          <w:smallCaps w:val="0"/>
          <w:color w:val="333333"/>
          <w:spacing w:val="0"/>
          <w:sz w:val="24"/>
          <w:szCs w:val="24"/>
          <w:shd w:val="clear" w:color="auto" w:fill="FFFFFF"/>
          <w:lang w:eastAsia="zh-CN"/>
        </w:rPr>
        <w:t>对</w:t>
      </w:r>
      <w:r>
        <w:rPr>
          <w:rFonts w:hint="eastAsia" w:ascii="宋体" w:hAnsi="宋体" w:eastAsia="宋体" w:cs="宋体"/>
          <w:i w:val="0"/>
          <w:caps w:val="0"/>
          <w:smallCaps w:val="0"/>
          <w:color w:val="333333"/>
          <w:spacing w:val="0"/>
          <w:sz w:val="24"/>
          <w:szCs w:val="24"/>
          <w:shd w:val="clear" w:color="auto" w:fill="FFFFFF"/>
        </w:rPr>
        <w:t>实</w:t>
      </w:r>
      <w:r>
        <w:rPr>
          <w:rFonts w:hint="eastAsia" w:ascii="宋体" w:hAnsi="宋体" w:eastAsia="宋体" w:cs="宋体"/>
          <w:i w:val="0"/>
          <w:caps w:val="0"/>
          <w:smallCaps w:val="0"/>
          <w:color w:val="333333"/>
          <w:spacing w:val="0"/>
          <w:sz w:val="24"/>
          <w:szCs w:val="24"/>
          <w:shd w:val="clear" w:color="auto" w:fill="FFFFFF"/>
          <w:lang w:eastAsia="zh-CN"/>
        </w:rPr>
        <w:t>工作</w:t>
      </w:r>
      <w:r>
        <w:rPr>
          <w:rFonts w:hint="eastAsia" w:ascii="宋体" w:hAnsi="宋体" w:eastAsia="宋体" w:cs="宋体"/>
          <w:i w:val="0"/>
          <w:caps w:val="0"/>
          <w:smallCaps w:val="0"/>
          <w:color w:val="333333"/>
          <w:spacing w:val="0"/>
          <w:sz w:val="24"/>
          <w:szCs w:val="24"/>
          <w:shd w:val="clear" w:color="auto" w:fill="FFFFFF"/>
        </w:rPr>
        <w:t>中</w:t>
      </w:r>
      <w:r>
        <w:rPr>
          <w:rFonts w:hint="eastAsia" w:ascii="宋体" w:hAnsi="宋体" w:eastAsia="宋体" w:cs="宋体"/>
          <w:i w:val="0"/>
          <w:caps w:val="0"/>
          <w:smallCaps w:val="0"/>
          <w:color w:val="333333"/>
          <w:spacing w:val="0"/>
          <w:sz w:val="24"/>
          <w:szCs w:val="24"/>
          <w:shd w:val="clear" w:color="auto" w:fill="FFFFFF"/>
          <w:lang w:eastAsia="zh-CN"/>
        </w:rPr>
        <w:t>发生的</w:t>
      </w:r>
      <w:r>
        <w:rPr>
          <w:rFonts w:hint="eastAsia" w:ascii="宋体" w:hAnsi="宋体" w:eastAsia="宋体" w:cs="宋体"/>
          <w:i w:val="0"/>
          <w:caps w:val="0"/>
          <w:smallCaps w:val="0"/>
          <w:color w:val="333333"/>
          <w:spacing w:val="0"/>
          <w:sz w:val="24"/>
          <w:szCs w:val="24"/>
          <w:shd w:val="clear" w:color="auto" w:fill="FFFFFF"/>
        </w:rPr>
        <w:t>异常</w:t>
      </w:r>
      <w:r>
        <w:rPr>
          <w:rFonts w:hint="eastAsia" w:ascii="宋体" w:hAnsi="宋体" w:eastAsia="宋体" w:cs="宋体"/>
          <w:i w:val="0"/>
          <w:caps w:val="0"/>
          <w:smallCaps w:val="0"/>
          <w:color w:val="333333"/>
          <w:spacing w:val="0"/>
          <w:sz w:val="24"/>
          <w:szCs w:val="24"/>
          <w:shd w:val="clear" w:color="auto" w:fill="FFFFFF"/>
          <w:lang w:eastAsia="zh-CN"/>
        </w:rPr>
        <w:t>情况、</w:t>
      </w:r>
      <w:r>
        <w:rPr>
          <w:rFonts w:hint="eastAsia" w:ascii="宋体" w:hAnsi="宋体" w:eastAsia="宋体" w:cs="宋体"/>
          <w:i w:val="0"/>
          <w:caps w:val="0"/>
          <w:smallCaps w:val="0"/>
          <w:color w:val="333333"/>
          <w:spacing w:val="0"/>
          <w:sz w:val="24"/>
          <w:szCs w:val="24"/>
          <w:shd w:val="clear" w:color="auto" w:fill="FFFFFF"/>
        </w:rPr>
        <w:t>实施范围调整等及时报批或备案</w:t>
      </w:r>
      <w:r>
        <w:rPr>
          <w:rFonts w:hint="eastAsia" w:ascii="宋体" w:hAnsi="宋体" w:eastAsia="宋体" w:cs="宋体"/>
          <w:i w:val="0"/>
          <w:caps w:val="0"/>
          <w:smallCaps w:val="0"/>
          <w:color w:val="333333"/>
          <w:spacing w:val="0"/>
          <w:sz w:val="24"/>
          <w:szCs w:val="24"/>
          <w:shd w:val="clear" w:color="auto" w:fill="FFFFFF"/>
          <w:lang w:eastAsia="zh-CN"/>
        </w:rPr>
        <w:t>。</w:t>
      </w:r>
    </w:p>
    <w:p w14:paraId="0C958EE2">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outlineLvl w:val="9"/>
        <w:rPr>
          <w:rFonts w:hint="eastAsia" w:ascii="宋体" w:hAnsi="宋体" w:eastAsia="宋体" w:cs="宋体"/>
          <w:b w:val="0"/>
          <w:bCs w:val="0"/>
          <w:kern w:val="0"/>
          <w:sz w:val="24"/>
          <w:szCs w:val="24"/>
        </w:rPr>
      </w:pPr>
      <w:r>
        <w:rPr>
          <w:rFonts w:hint="eastAsia" w:ascii="宋体" w:hAnsi="宋体" w:eastAsia="宋体" w:cs="宋体"/>
          <w:b w:val="0"/>
          <w:bCs w:val="0"/>
          <w:color w:val="auto"/>
          <w:kern w:val="0"/>
          <w:sz w:val="24"/>
          <w:szCs w:val="24"/>
          <w:lang w:val="en-US" w:eastAsia="zh-CN" w:bidi="ar-SA"/>
        </w:rPr>
        <w:t>3.</w:t>
      </w:r>
      <w:r>
        <w:rPr>
          <w:rFonts w:hint="eastAsia" w:ascii="宋体" w:hAnsi="宋体" w:eastAsia="宋体" w:cs="宋体"/>
          <w:b w:val="0"/>
          <w:bCs w:val="0"/>
          <w:kern w:val="0"/>
          <w:sz w:val="24"/>
          <w:szCs w:val="24"/>
        </w:rPr>
        <w:t>完善管理制度，进一步加强资产管理</w:t>
      </w:r>
    </w:p>
    <w:p w14:paraId="68316FCB">
      <w:pPr>
        <w:keepNext w:val="0"/>
        <w:keepLines w:val="0"/>
        <w:pageBreakBefore w:val="0"/>
        <w:widowControl w:val="0"/>
        <w:kinsoku/>
        <w:wordWrap/>
        <w:overflowPunct/>
        <w:topLinePunct w:val="0"/>
        <w:autoSpaceDE/>
        <w:autoSpaceDN/>
        <w:bidi w:val="0"/>
        <w:adjustRightInd/>
        <w:snapToGrid/>
        <w:spacing w:line="440" w:lineRule="exact"/>
        <w:ind w:left="0" w:right="0" w:firstLine="480" w:firstLineChars="200"/>
        <w:textAlignment w:val="auto"/>
        <w:outlineLvl w:val="9"/>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严格按照《固定资产管理办法》的规定加强固定资产管理，及时登记、更新台账，加强资产卡片管理，年终前对各类实物资产进行全面盘点，确保账账、账实相符。</w:t>
      </w:r>
    </w:p>
    <w:p w14:paraId="16D9C14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D0930B"/>
    <w:multiLevelType w:val="singleLevel"/>
    <w:tmpl w:val="17D0930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A8700E"/>
    <w:rsid w:val="3FA87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5" w:lineRule="atLeast"/>
      <w:ind w:left="1"/>
      <w:jc w:val="both"/>
      <w:textAlignment w:val="bottom"/>
    </w:pPr>
    <w:rPr>
      <w:rFonts w:ascii="Calibri" w:hAnsi="Calibri" w:eastAsia="宋体" w:cs="Times New Roman"/>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正文首行缩进 21"/>
    <w:qFormat/>
    <w:uiPriority w:val="2457"/>
    <w:pPr>
      <w:widowControl/>
      <w:tabs>
        <w:tab w:val="left" w:pos="5880"/>
      </w:tabs>
      <w:suppressAutoHyphens/>
      <w:bidi w:val="0"/>
      <w:ind w:left="0" w:right="0" w:firstLine="420"/>
    </w:pPr>
    <w:rPr>
      <w:rFonts w:ascii="Times New Roman" w:hAnsi="Times New Roman" w:eastAsia="宋体" w:cs="Times New Roman"/>
      <w:color w:val="auto"/>
      <w:sz w:val="20"/>
      <w:szCs w:val="20"/>
      <w:lang w:val="en-US" w:eastAsia="zh-CN" w:bidi="hi-IN"/>
    </w:rPr>
  </w:style>
  <w:style w:type="paragraph" w:styleId="3">
    <w:name w:val="Normal (Web)"/>
    <w:basedOn w:val="1"/>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basedOn w:val="7"/>
    <w:qFormat/>
    <w:uiPriority w:val="0"/>
    <w:rPr>
      <w:b/>
      <w:bCs/>
    </w:rPr>
  </w:style>
  <w:style w:type="character" w:customStyle="1" w:styleId="7">
    <w:name w:val="默认段落字体11"/>
    <w:qFormat/>
    <w:uiPriority w:val="1723"/>
  </w:style>
  <w:style w:type="paragraph" w:customStyle="1" w:styleId="8">
    <w:name w:val="普通(网站)1111"/>
    <w:basedOn w:val="1"/>
    <w:qFormat/>
    <w:uiPriority w:val="2"/>
    <w:rPr>
      <w:sz w:val="24"/>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2024-11-11T08:52:00Z</dcterms:created>
  <dc:creator>桃</dc:creator>
  <cp:lastModifiedBy>桃</cp:lastModifiedBy>
  <dcterms:modified xsi:type="dcterms:W3CDTF">2024-11-11T08:55:42Z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BBF596BA83214EDEBC1443D29E428B7F_11</vt:lpwstr>
  </property>
</Properties>
</file>