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left="1"/>
        <w:jc w:val="center"/>
        <w:textAlignment w:val="bottom"/>
        <w:rPr>
          <w:rFonts w:hint="eastAsia" w:ascii="Times New Roman" w:hAnsi="方正粗宋简体" w:eastAsia="方正粗宋简体"/>
          <w:w w:val="85"/>
          <w:kern w:val="0"/>
          <w:sz w:val="44"/>
          <w:szCs w:val="44"/>
          <w:lang w:val="en-US" w:eastAsia="zh-CN"/>
        </w:rPr>
      </w:pPr>
      <w:r>
        <w:rPr>
          <w:rFonts w:hint="eastAsia" w:ascii="Times New Roman" w:hAnsi="方正粗宋简体" w:eastAsia="方正粗宋简体"/>
          <w:w w:val="85"/>
          <w:kern w:val="0"/>
          <w:sz w:val="44"/>
          <w:szCs w:val="44"/>
          <w:lang w:val="en-US" w:eastAsia="zh-CN"/>
        </w:rPr>
        <w:t>2021年智慧城市应急指挥部项目自评报告</w:t>
      </w:r>
    </w:p>
    <w:p>
      <w:pPr>
        <w:keepNext w:val="0"/>
        <w:keepLines w:val="0"/>
        <w:pageBreakBefore w:val="0"/>
        <w:widowControl w:val="0"/>
        <w:numPr>
          <w:ilvl w:val="0"/>
          <w:numId w:val="2"/>
        </w:numPr>
        <w:kinsoku/>
        <w:wordWrap/>
        <w:overflowPunct/>
        <w:topLinePunct w:val="0"/>
        <w:autoSpaceDE/>
        <w:autoSpaceDN/>
        <w:bidi w:val="0"/>
        <w:adjustRightInd/>
        <w:snapToGrid/>
        <w:spacing w:line="64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eastAsia="仿宋_GB2312"/>
          <w:b/>
          <w:bCs/>
          <w:sz w:val="32"/>
          <w:szCs w:val="32"/>
        </w:rPr>
        <w:t>基本情况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（一）项目概况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本项目的建设内容包含基础设施层、基础支撑系统、应用系统、信息展示四部分，详见如下：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基础设施层包含固定指挥场所改造和机房改造：</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固定指挥场所改造：本项目不涉及固定指挥场所改造内容；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机房改造：本项目对新晃侗族自治县县行政办公楼3号楼二层原有资料室进行改造设计，功能区域分为机房及UPS室等，建设内容包括机柜配套、装饰装修、暖通、电气、给排水、综合布线等；</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基础支撑系统包含会议及扩声系统、外部视频接入、中央控制系统、音视频KVM系统、视频会议系统五个系统的建设，新增1套数字会议及扩声系统设备、1套音视频KVM系统设备、1套中央控制系统设备、9套服务器、高清会议摄像机3台；</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应用系统：本项目新增1套可视化应急通信调度系统；</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信息展示：本项目新建县应急指挥中心1套LED小间距全彩拼接屏（包含视频输入及输出设备、显示控制设备）、15套桌面高清液晶升降屏、1套电子沙盘。</w:t>
      </w:r>
      <w:bookmarkStart w:id="0" w:name="_Toc501396117"/>
    </w:p>
    <w:bookmarkEnd w:id="0"/>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10" w:leftChars="0" w:right="0" w:rightChars="0" w:firstLine="640" w:firstLineChars="0"/>
        <w:jc w:val="both"/>
        <w:textAlignment w:val="auto"/>
        <w:outlineLvl w:val="9"/>
        <w:rPr>
          <w:rFonts w:hint="eastAsia" w:ascii="仿宋_GB2312" w:hAnsi="黑体" w:eastAsia="仿宋_GB2312"/>
          <w:sz w:val="32"/>
          <w:szCs w:val="32"/>
          <w:lang w:val="en-US" w:eastAsia="zh-CN"/>
        </w:rPr>
      </w:pPr>
      <w:r>
        <w:rPr>
          <w:rFonts w:hint="eastAsia" w:eastAsia="仿宋_GB2312"/>
          <w:sz w:val="32"/>
          <w:szCs w:val="32"/>
        </w:rPr>
        <w:t>项目绩效目标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（1）实现县政府应急指挥中心场所内软、硬件的建设，保障应急指挥平台能够可靠地、高效地运转；</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2）实现紧急情况的收集、显示、上报功能。即在指挥中心内能通过网络传输和其他通信方式实时接收、显示、上报紧急情况的现场文字、图片、语言信息，并能通过终端服务器和显示屏随时调阅紧急情况子系统的文字、图片信息；</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（3）实现远程指挥功能。在执行突发任务时，可依托网络，运用语言、文字、图片信息迅速实现对各个子系统和现场实时远程指挥；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4）建设一套基于视联网技术可视应急指挥调度系统，实现对全县视频资源，应急平台资源、应急行业相关数据资源及相关设备的统一管理，建立统一接口以备市级各单位上层应用统一调用，实现高效、灵活的指挥调度，提高指挥效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仿宋_GB2312" w:hAnsi="黑体" w:eastAsia="仿宋_GB2312"/>
          <w:sz w:val="32"/>
          <w:szCs w:val="32"/>
          <w:lang w:val="en-US" w:eastAsia="zh-CN"/>
        </w:rPr>
        <w:t>（5）配套机房，基于怀化市云计算中心的基础平台资源共享的条件下，新晃县本地配套机房作为网络融合及本地备份机房，将承担新晃县智慧城市建设的网络中转站和本地数据备份库的重要作用，满足新晃县智慧城市五年规划的网络交换能力和数据处理能力，同时具备后期扩容的空间和接口。</w:t>
      </w:r>
    </w:p>
    <w:p>
      <w:pPr>
        <w:spacing w:line="560" w:lineRule="exact"/>
        <w:ind w:firstLine="643" w:firstLineChars="200"/>
        <w:jc w:val="left"/>
        <w:rPr>
          <w:rFonts w:eastAsia="仿宋_GB2312"/>
          <w:b/>
          <w:bCs/>
          <w:sz w:val="32"/>
          <w:szCs w:val="32"/>
        </w:rPr>
      </w:pPr>
      <w:r>
        <w:rPr>
          <w:rFonts w:hint="eastAsia" w:eastAsia="仿宋_GB2312"/>
          <w:b/>
          <w:bCs/>
          <w:sz w:val="32"/>
          <w:szCs w:val="32"/>
        </w:rPr>
        <w:t>二、绩效评价工作开展情况</w:t>
      </w:r>
    </w:p>
    <w:p>
      <w:pPr>
        <w:spacing w:line="560" w:lineRule="exact"/>
        <w:ind w:firstLine="640" w:firstLineChars="200"/>
        <w:jc w:val="left"/>
        <w:rPr>
          <w:rFonts w:hint="eastAsia" w:eastAsia="仿宋_GB2312"/>
          <w:sz w:val="32"/>
          <w:szCs w:val="32"/>
        </w:rPr>
      </w:pPr>
      <w:r>
        <w:rPr>
          <w:rFonts w:hint="eastAsia" w:eastAsia="仿宋_GB2312"/>
          <w:sz w:val="32"/>
          <w:szCs w:val="32"/>
        </w:rPr>
        <w:t>（一）绩效评价目的、对象和范围。</w:t>
      </w:r>
    </w:p>
    <w:p>
      <w:pPr>
        <w:spacing w:line="560" w:lineRule="exact"/>
        <w:ind w:firstLine="640" w:firstLineChars="200"/>
        <w:jc w:val="left"/>
        <w:rPr>
          <w:rFonts w:hint="eastAsia" w:eastAsia="仿宋_GB2312"/>
          <w:sz w:val="32"/>
          <w:szCs w:val="32"/>
          <w:lang w:eastAsia="zh-CN"/>
        </w:rPr>
      </w:pPr>
      <w:r>
        <w:rPr>
          <w:rFonts w:hint="eastAsia" w:ascii="仿宋_GB2312" w:hAnsi="黑体" w:eastAsia="仿宋_GB2312"/>
          <w:sz w:val="32"/>
          <w:szCs w:val="32"/>
          <w:lang w:val="en-US" w:eastAsia="zh-CN"/>
        </w:rPr>
        <w:t>本项目主要满足新晃县应急指挥业务发展需求，对新晃县应急指挥调度工作具有重要的战略意义。新晃侗族自治县应急指挥中心建设一个纵向上连市级应急指挥中心，横向连接县内各委办局，实现两级视频互联互通，集视频监控、视频会议、指挥调度于一体的县级应急指挥中心，满足第一时间为领导同志提供突发事件现场视频图像等应急信息资源的需要。</w:t>
      </w:r>
      <w:r>
        <w:rPr>
          <w:rFonts w:hint="eastAsia" w:eastAsia="仿宋_GB2312"/>
          <w:sz w:val="32"/>
          <w:szCs w:val="32"/>
        </w:rPr>
        <w:t>对象</w:t>
      </w:r>
      <w:r>
        <w:rPr>
          <w:rFonts w:hint="eastAsia" w:eastAsia="仿宋_GB2312"/>
          <w:sz w:val="32"/>
          <w:szCs w:val="32"/>
          <w:lang w:eastAsia="zh-CN"/>
        </w:rPr>
        <w:t>为智慧城市应急指挥部项目。</w:t>
      </w:r>
    </w:p>
    <w:p>
      <w:pPr>
        <w:numPr>
          <w:ilvl w:val="0"/>
          <w:numId w:val="0"/>
        </w:numPr>
        <w:spacing w:line="560" w:lineRule="exact"/>
        <w:ind w:left="630" w:leftChars="0"/>
        <w:jc w:val="left"/>
        <w:rPr>
          <w:rFonts w:hint="eastAsia" w:eastAsia="仿宋_GB2312"/>
          <w:sz w:val="32"/>
          <w:szCs w:val="32"/>
        </w:rPr>
      </w:pPr>
      <w:r>
        <w:rPr>
          <w:rFonts w:hint="eastAsia" w:eastAsia="仿宋_GB2312"/>
          <w:sz w:val="32"/>
          <w:szCs w:val="32"/>
          <w:lang w:eastAsia="zh-CN"/>
        </w:rPr>
        <w:t>（二）</w:t>
      </w:r>
      <w:r>
        <w:rPr>
          <w:rFonts w:hint="eastAsia" w:eastAsia="仿宋_GB2312"/>
          <w:sz w:val="32"/>
          <w:szCs w:val="32"/>
        </w:rPr>
        <w:t>绩效评价原则、评价指标体系（附表说明）、评</w:t>
      </w:r>
    </w:p>
    <w:p>
      <w:pPr>
        <w:numPr>
          <w:ilvl w:val="0"/>
          <w:numId w:val="0"/>
        </w:numPr>
        <w:spacing w:line="560" w:lineRule="exact"/>
        <w:jc w:val="left"/>
        <w:rPr>
          <w:rFonts w:hint="eastAsia" w:eastAsia="仿宋_GB2312"/>
          <w:sz w:val="32"/>
          <w:szCs w:val="32"/>
        </w:rPr>
      </w:pPr>
      <w:r>
        <w:rPr>
          <w:rFonts w:hint="eastAsia" w:eastAsia="仿宋_GB2312"/>
          <w:sz w:val="32"/>
          <w:szCs w:val="32"/>
        </w:rPr>
        <w:t>价方法、评价标准等。</w:t>
      </w:r>
    </w:p>
    <w:p>
      <w:pPr>
        <w:numPr>
          <w:ilvl w:val="0"/>
          <w:numId w:val="0"/>
        </w:numPr>
        <w:spacing w:line="560" w:lineRule="exact"/>
        <w:jc w:val="left"/>
        <w:rPr>
          <w:rFonts w:hint="eastAsia" w:eastAsia="仿宋_GB2312"/>
          <w:sz w:val="32"/>
          <w:szCs w:val="32"/>
          <w:lang w:val="en-US" w:eastAsia="zh-CN"/>
        </w:rPr>
      </w:pPr>
      <w:r>
        <w:rPr>
          <w:rFonts w:hint="eastAsia" w:eastAsia="仿宋_GB2312"/>
          <w:sz w:val="32"/>
          <w:szCs w:val="32"/>
          <w:lang w:val="en-US" w:eastAsia="zh-CN"/>
        </w:rPr>
        <w:t xml:space="preserve">     评价原则：(1)客观原则。绩效评估应尽可能科学地进行评价，使之具有可靠性、客观性、公平性。考评应根据明确的考评标准、针对客观考评资料进行评价，尽量减少主观性和感情色彩。(2)可行性原则。评估方法可行是指评估使用的方法要为人们所接受并能较长期使用。针对组织不同层次的人员采用不同的评估方法，同时明确评估方法的目的和含义，使人们自觉接受和配合评估工作的进行。(3)制度化原则。为使评估的各项功能得以有效发挥，制定一套科学的评估制度体系，将评估工作落实到位。</w:t>
      </w:r>
    </w:p>
    <w:p>
      <w:pPr>
        <w:numPr>
          <w:ilvl w:val="0"/>
          <w:numId w:val="0"/>
        </w:numPr>
        <w:spacing w:line="560" w:lineRule="exact"/>
        <w:ind w:firstLine="640"/>
        <w:jc w:val="left"/>
        <w:rPr>
          <w:rFonts w:hint="eastAsia" w:eastAsia="仿宋_GB2312"/>
          <w:sz w:val="32"/>
          <w:szCs w:val="32"/>
          <w:lang w:val="en-US" w:eastAsia="zh-CN"/>
        </w:rPr>
      </w:pPr>
      <w:r>
        <w:rPr>
          <w:rFonts w:hint="eastAsia" w:eastAsia="仿宋_GB2312"/>
          <w:sz w:val="32"/>
          <w:szCs w:val="32"/>
          <w:lang w:val="en-US" w:eastAsia="zh-CN"/>
        </w:rPr>
        <w:t>评价方法：比较法、结果法。</w:t>
      </w:r>
    </w:p>
    <w:p>
      <w:pPr>
        <w:numPr>
          <w:ilvl w:val="0"/>
          <w:numId w:val="0"/>
        </w:numPr>
        <w:spacing w:line="560" w:lineRule="exact"/>
        <w:ind w:firstLine="640"/>
        <w:jc w:val="left"/>
        <w:rPr>
          <w:rFonts w:hint="eastAsia" w:eastAsia="仿宋_GB2312"/>
          <w:sz w:val="32"/>
          <w:szCs w:val="32"/>
          <w:lang w:val="en-US" w:eastAsia="zh-CN"/>
        </w:rPr>
      </w:pPr>
      <w:r>
        <w:rPr>
          <w:rFonts w:hint="eastAsia" w:eastAsia="仿宋_GB2312"/>
          <w:sz w:val="32"/>
          <w:szCs w:val="32"/>
          <w:lang w:val="en-US" w:eastAsia="zh-CN"/>
        </w:rPr>
        <w:t>评价指标及标准：</w:t>
      </w:r>
    </w:p>
    <w:tbl>
      <w:tblPr>
        <w:tblStyle w:val="5"/>
        <w:tblW w:w="864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0"/>
        <w:gridCol w:w="1665"/>
        <w:gridCol w:w="2100"/>
        <w:gridCol w:w="2160"/>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noWrap w:val="0"/>
            <w:vAlign w:val="center"/>
          </w:tcPr>
          <w:p>
            <w:pPr>
              <w:keepNext w:val="0"/>
              <w:keepLines w:val="0"/>
              <w:widowControl/>
              <w:suppressLineNumbers w:val="0"/>
              <w:ind w:left="1" w:leftChars="0"/>
              <w:jc w:val="center"/>
              <w:textAlignment w:val="center"/>
              <w:rPr>
                <w:rFonts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一级指标</w:t>
            </w: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二级指标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三级指标</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指标值及单位</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绩效标准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restart"/>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产出指标</w:t>
            </w:r>
          </w:p>
        </w:tc>
        <w:tc>
          <w:tcPr>
            <w:tcW w:w="1665" w:type="dxa"/>
            <w:vMerge w:val="restart"/>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数量指标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紧急情况的收集、显示、上报</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按时</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远程指挥</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按需</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质量指标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紧急情况的收集、显示、上报及时性</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100%</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时效指标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资金拨付及时率</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及时</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成本指标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21"/>
                <w:szCs w:val="21"/>
                <w:u w:val="none"/>
                <w:lang w:val="en-US" w:eastAsia="zh-CN" w:bidi="ar"/>
              </w:rPr>
              <w:t>系统建设费用</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2万元/人</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320" w:type="dxa"/>
            <w:vMerge w:val="restart"/>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效益指标</w:t>
            </w: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经济效益指标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21"/>
                <w:szCs w:val="21"/>
                <w:u w:val="none"/>
                <w:lang w:val="en-US" w:eastAsia="zh-CN" w:bidi="ar"/>
              </w:rPr>
              <w:t>不适用</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社会效益指标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lang w:eastAsia="zh-CN"/>
              </w:rPr>
            </w:pPr>
            <w:r>
              <w:rPr>
                <w:rFonts w:hint="eastAsia" w:ascii="仿宋_GB2312" w:hAnsi="宋体" w:eastAsia="仿宋_GB2312" w:cs="仿宋_GB2312"/>
                <w:i w:val="0"/>
                <w:iCs w:val="0"/>
                <w:color w:val="000000"/>
                <w:sz w:val="21"/>
                <w:szCs w:val="21"/>
                <w:u w:val="none"/>
                <w:lang w:eastAsia="zh-CN"/>
              </w:rPr>
              <w:t>保障突发情况生命财产安全</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明显提高</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计划标准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生态效益指标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14"/>
                <w:szCs w:val="14"/>
                <w:u w:val="none"/>
              </w:rPr>
            </w:pPr>
            <w:r>
              <w:rPr>
                <w:rFonts w:hint="eastAsia" w:ascii="仿宋_GB2312" w:hAnsi="宋体" w:eastAsia="仿宋_GB2312" w:cs="仿宋_GB2312"/>
                <w:i w:val="0"/>
                <w:iCs w:val="0"/>
                <w:color w:val="000000"/>
                <w:kern w:val="0"/>
                <w:sz w:val="21"/>
                <w:szCs w:val="21"/>
                <w:u w:val="none"/>
                <w:lang w:val="en-US" w:eastAsia="zh-CN" w:bidi="ar"/>
              </w:rPr>
              <w:t>不适用</w:t>
            </w:r>
          </w:p>
        </w:tc>
        <w:tc>
          <w:tcPr>
            <w:tcW w:w="2160" w:type="dxa"/>
            <w:noWrap w:val="0"/>
            <w:vAlign w:val="center"/>
          </w:tcPr>
          <w:p>
            <w:pPr>
              <w:jc w:val="center"/>
              <w:rPr>
                <w:rFonts w:hint="eastAsia" w:ascii="仿宋_GB2312" w:hAnsi="宋体" w:eastAsia="仿宋_GB2312" w:cs="仿宋_GB2312"/>
                <w:i w:val="0"/>
                <w:iCs w:val="0"/>
                <w:color w:val="000000"/>
                <w:sz w:val="21"/>
                <w:szCs w:val="21"/>
                <w:u w:val="none"/>
              </w:rPr>
            </w:pPr>
          </w:p>
        </w:tc>
        <w:tc>
          <w:tcPr>
            <w:tcW w:w="1395" w:type="dxa"/>
            <w:noWrap w:val="0"/>
            <w:vAlign w:val="center"/>
          </w:tcPr>
          <w:p>
            <w:pPr>
              <w:jc w:val="center"/>
              <w:rPr>
                <w:rFonts w:hint="eastAsia" w:ascii="仿宋_GB2312" w:hAnsi="宋体" w:eastAsia="仿宋_GB2312" w:cs="仿宋_GB2312"/>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可持续影响指标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不适用</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社会公众或服务对象满意度指标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服务对象满意度</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≥95%</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计划标准</w:t>
            </w:r>
          </w:p>
        </w:tc>
      </w:tr>
    </w:tbl>
    <w:p>
      <w:pPr>
        <w:spacing w:line="560" w:lineRule="exact"/>
        <w:ind w:firstLine="640" w:firstLineChars="200"/>
        <w:jc w:val="left"/>
        <w:rPr>
          <w:rFonts w:hint="eastAsia" w:eastAsia="仿宋_GB2312"/>
          <w:sz w:val="32"/>
          <w:szCs w:val="32"/>
        </w:rPr>
      </w:pPr>
    </w:p>
    <w:p>
      <w:pPr>
        <w:numPr>
          <w:ilvl w:val="0"/>
          <w:numId w:val="3"/>
        </w:numPr>
        <w:spacing w:line="560" w:lineRule="exact"/>
        <w:ind w:left="-10" w:leftChars="0" w:firstLine="640" w:firstLineChars="0"/>
        <w:jc w:val="left"/>
        <w:rPr>
          <w:rFonts w:hint="eastAsia" w:eastAsia="仿宋_GB2312"/>
          <w:sz w:val="32"/>
          <w:szCs w:val="32"/>
        </w:rPr>
      </w:pPr>
      <w:r>
        <w:rPr>
          <w:rFonts w:hint="eastAsia" w:eastAsia="仿宋_GB2312"/>
          <w:sz w:val="32"/>
          <w:szCs w:val="32"/>
        </w:rPr>
        <w:t>绩效评价工作过程。</w:t>
      </w:r>
    </w:p>
    <w:p>
      <w:pPr>
        <w:numPr>
          <w:ilvl w:val="0"/>
          <w:numId w:val="0"/>
        </w:numPr>
        <w:spacing w:line="560" w:lineRule="exact"/>
        <w:jc w:val="left"/>
        <w:rPr>
          <w:rFonts w:hint="eastAsia" w:eastAsia="仿宋_GB2312"/>
          <w:sz w:val="32"/>
          <w:szCs w:val="32"/>
          <w:lang w:val="en-US" w:eastAsia="zh-CN"/>
        </w:rPr>
      </w:pPr>
      <w:r>
        <w:rPr>
          <w:rFonts w:hint="eastAsia" w:eastAsia="仿宋_GB2312"/>
          <w:sz w:val="32"/>
          <w:szCs w:val="32"/>
          <w:lang w:val="en-US" w:eastAsia="zh-CN"/>
        </w:rPr>
        <w:t xml:space="preserve">    1、前期准备阶段</w:t>
      </w:r>
    </w:p>
    <w:p>
      <w:pPr>
        <w:numPr>
          <w:ilvl w:val="0"/>
          <w:numId w:val="0"/>
        </w:numPr>
        <w:spacing w:line="560" w:lineRule="exact"/>
        <w:ind w:firstLine="640" w:firstLineChars="200"/>
        <w:jc w:val="left"/>
        <w:rPr>
          <w:rFonts w:hint="eastAsia" w:eastAsia="仿宋_GB2312"/>
          <w:sz w:val="32"/>
          <w:szCs w:val="32"/>
          <w:lang w:val="en-US" w:eastAsia="zh-CN"/>
        </w:rPr>
      </w:pPr>
      <w:r>
        <w:rPr>
          <w:rFonts w:hint="default" w:ascii="Calibri" w:hAnsi="Calibri" w:eastAsia="仿宋_GB2312" w:cs="Calibri"/>
          <w:sz w:val="32"/>
          <w:szCs w:val="32"/>
          <w:lang w:val="en-US" w:eastAsia="zh-CN"/>
        </w:rPr>
        <w:t>①</w:t>
      </w:r>
      <w:r>
        <w:rPr>
          <w:rFonts w:hint="eastAsia" w:eastAsia="仿宋_GB2312"/>
          <w:sz w:val="32"/>
          <w:szCs w:val="32"/>
          <w:lang w:val="en-US" w:eastAsia="zh-CN"/>
        </w:rPr>
        <w:t>确定评价工作人员及组织管理；</w:t>
      </w:r>
      <w:r>
        <w:rPr>
          <w:rFonts w:hint="default" w:ascii="Calibri" w:hAnsi="Calibri" w:eastAsia="仿宋_GB2312" w:cs="Calibri"/>
          <w:sz w:val="32"/>
          <w:szCs w:val="32"/>
          <w:lang w:val="en-US" w:eastAsia="zh-CN"/>
        </w:rPr>
        <w:t>②</w:t>
      </w:r>
      <w:r>
        <w:rPr>
          <w:rFonts w:hint="eastAsia" w:eastAsia="仿宋_GB2312"/>
          <w:sz w:val="32"/>
          <w:szCs w:val="32"/>
          <w:lang w:val="en-US" w:eastAsia="zh-CN"/>
        </w:rPr>
        <w:t>制订评价工作方案；</w:t>
      </w:r>
      <w:r>
        <w:rPr>
          <w:rFonts w:hint="default" w:ascii="Calibri" w:hAnsi="Calibri" w:eastAsia="仿宋_GB2312" w:cs="Calibri"/>
          <w:sz w:val="32"/>
          <w:szCs w:val="32"/>
          <w:lang w:val="en-US" w:eastAsia="zh-CN"/>
        </w:rPr>
        <w:t>③</w:t>
      </w:r>
      <w:r>
        <w:rPr>
          <w:rFonts w:hint="eastAsia" w:eastAsia="仿宋_GB2312"/>
          <w:sz w:val="32"/>
          <w:szCs w:val="32"/>
          <w:lang w:val="en-US" w:eastAsia="zh-CN"/>
        </w:rPr>
        <w:t>收集绩效评价相关资料。</w:t>
      </w:r>
    </w:p>
    <w:p>
      <w:pPr>
        <w:numPr>
          <w:ilvl w:val="0"/>
          <w:numId w:val="0"/>
        </w:num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2、绩效评价实施阶段</w:t>
      </w:r>
    </w:p>
    <w:p>
      <w:pPr>
        <w:numPr>
          <w:ilvl w:val="0"/>
          <w:numId w:val="0"/>
        </w:numPr>
        <w:spacing w:line="560" w:lineRule="exact"/>
        <w:ind w:firstLine="640" w:firstLineChars="200"/>
        <w:jc w:val="left"/>
        <w:rPr>
          <w:rFonts w:hint="eastAsia" w:eastAsia="仿宋_GB2312"/>
          <w:sz w:val="32"/>
          <w:szCs w:val="32"/>
          <w:lang w:val="en-US" w:eastAsia="zh-CN"/>
        </w:rPr>
      </w:pPr>
      <w:r>
        <w:rPr>
          <w:rFonts w:hint="default" w:ascii="Calibri" w:hAnsi="Calibri" w:eastAsia="仿宋_GB2312" w:cs="Calibri"/>
          <w:sz w:val="32"/>
          <w:szCs w:val="32"/>
          <w:lang w:val="en-US" w:eastAsia="zh-CN"/>
        </w:rPr>
        <w:t>①</w:t>
      </w:r>
      <w:r>
        <w:rPr>
          <w:rFonts w:hint="eastAsia" w:eastAsia="仿宋_GB2312"/>
          <w:sz w:val="32"/>
          <w:szCs w:val="32"/>
          <w:lang w:val="en-US" w:eastAsia="zh-CN"/>
        </w:rPr>
        <w:t>对资料进行审查核实；</w:t>
      </w:r>
      <w:r>
        <w:rPr>
          <w:rFonts w:hint="default" w:ascii="Calibri" w:hAnsi="Calibri" w:eastAsia="仿宋_GB2312" w:cs="Calibri"/>
          <w:sz w:val="32"/>
          <w:szCs w:val="32"/>
          <w:lang w:val="en-US" w:eastAsia="zh-CN"/>
        </w:rPr>
        <w:t>②</w:t>
      </w:r>
      <w:r>
        <w:rPr>
          <w:rFonts w:hint="eastAsia" w:eastAsia="仿宋_GB2312"/>
          <w:sz w:val="32"/>
          <w:szCs w:val="32"/>
          <w:lang w:val="en-US" w:eastAsia="zh-CN"/>
        </w:rPr>
        <w:t>综合分析并形成评价结论。</w:t>
      </w:r>
    </w:p>
    <w:p>
      <w:pPr>
        <w:numPr>
          <w:ilvl w:val="0"/>
          <w:numId w:val="0"/>
        </w:numPr>
        <w:spacing w:line="56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3、报告撰写提交阶段</w:t>
      </w:r>
    </w:p>
    <w:p>
      <w:pPr>
        <w:numPr>
          <w:ilvl w:val="0"/>
          <w:numId w:val="0"/>
        </w:numPr>
        <w:spacing w:line="560" w:lineRule="exact"/>
        <w:ind w:firstLine="640" w:firstLineChars="200"/>
        <w:jc w:val="left"/>
        <w:rPr>
          <w:rFonts w:hint="default" w:eastAsia="仿宋_GB2312"/>
          <w:sz w:val="32"/>
          <w:szCs w:val="32"/>
          <w:lang w:val="en-US" w:eastAsia="zh-CN"/>
        </w:rPr>
      </w:pPr>
      <w:r>
        <w:rPr>
          <w:rFonts w:hint="default" w:ascii="Calibri" w:hAnsi="Calibri" w:eastAsia="仿宋_GB2312" w:cs="Calibri"/>
          <w:sz w:val="32"/>
          <w:szCs w:val="32"/>
          <w:lang w:val="en-US" w:eastAsia="zh-CN"/>
        </w:rPr>
        <w:t>①</w:t>
      </w:r>
      <w:r>
        <w:rPr>
          <w:rFonts w:hint="eastAsia" w:eastAsia="仿宋_GB2312"/>
          <w:sz w:val="32"/>
          <w:szCs w:val="32"/>
          <w:lang w:val="en-US" w:eastAsia="zh-CN"/>
        </w:rPr>
        <w:t>整理、分析、汇总相关信息，撰写报告；</w:t>
      </w:r>
      <w:r>
        <w:rPr>
          <w:rFonts w:hint="default" w:ascii="Calibri" w:hAnsi="Calibri" w:eastAsia="仿宋_GB2312" w:cs="Calibri"/>
          <w:sz w:val="32"/>
          <w:szCs w:val="32"/>
          <w:lang w:val="en-US" w:eastAsia="zh-CN"/>
        </w:rPr>
        <w:t>②</w:t>
      </w:r>
      <w:r>
        <w:rPr>
          <w:rFonts w:hint="eastAsia" w:eastAsia="仿宋_GB2312"/>
          <w:sz w:val="32"/>
          <w:szCs w:val="32"/>
          <w:lang w:val="en-US" w:eastAsia="zh-CN"/>
        </w:rPr>
        <w:t>收集被评价项目反馈意见；</w:t>
      </w:r>
      <w:r>
        <w:rPr>
          <w:rFonts w:hint="default" w:ascii="Calibri" w:hAnsi="Calibri" w:eastAsia="仿宋_GB2312" w:cs="Calibri"/>
          <w:sz w:val="32"/>
          <w:szCs w:val="32"/>
          <w:lang w:val="en-US" w:eastAsia="zh-CN"/>
        </w:rPr>
        <w:t>③</w:t>
      </w:r>
      <w:r>
        <w:rPr>
          <w:rFonts w:hint="eastAsia" w:eastAsia="仿宋_GB2312"/>
          <w:sz w:val="32"/>
          <w:szCs w:val="32"/>
          <w:lang w:val="en-US" w:eastAsia="zh-CN"/>
        </w:rPr>
        <w:t>形成最终报告。</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三、综合评价情况及评价结论（附相关评分表）</w:t>
      </w:r>
    </w:p>
    <w:p>
      <w:pPr>
        <w:numPr>
          <w:ilvl w:val="0"/>
          <w:numId w:val="0"/>
        </w:numPr>
        <w:spacing w:line="56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见评分表</w:t>
      </w:r>
    </w:p>
    <w:p>
      <w:pPr>
        <w:spacing w:line="560" w:lineRule="exact"/>
        <w:ind w:firstLine="643" w:firstLineChars="200"/>
        <w:jc w:val="left"/>
        <w:rPr>
          <w:rFonts w:eastAsia="仿宋_GB2312"/>
          <w:b/>
          <w:bCs/>
          <w:sz w:val="32"/>
          <w:szCs w:val="32"/>
        </w:rPr>
      </w:pPr>
      <w:r>
        <w:rPr>
          <w:rFonts w:hint="eastAsia" w:eastAsia="仿宋_GB2312"/>
          <w:b/>
          <w:bCs/>
          <w:sz w:val="32"/>
          <w:szCs w:val="32"/>
        </w:rPr>
        <w:t>四、绩效评价指标分析</w:t>
      </w:r>
    </w:p>
    <w:p>
      <w:pPr>
        <w:spacing w:line="560" w:lineRule="exact"/>
        <w:ind w:firstLine="640" w:firstLineChars="200"/>
        <w:jc w:val="left"/>
        <w:rPr>
          <w:rFonts w:hint="eastAsia" w:eastAsia="仿宋_GB2312"/>
          <w:sz w:val="32"/>
          <w:szCs w:val="32"/>
          <w:lang w:eastAsia="zh-CN"/>
        </w:rPr>
      </w:pPr>
      <w:r>
        <w:rPr>
          <w:rFonts w:hint="eastAsia" w:eastAsia="仿宋_GB2312"/>
          <w:sz w:val="32"/>
          <w:szCs w:val="32"/>
        </w:rPr>
        <w:t>（一）项目决策情况。</w:t>
      </w:r>
      <w:r>
        <w:rPr>
          <w:rFonts w:hint="eastAsia" w:eastAsia="仿宋_GB2312"/>
          <w:sz w:val="32"/>
          <w:szCs w:val="32"/>
          <w:lang w:eastAsia="zh-CN"/>
        </w:rPr>
        <w:t>根据上级文件要求执行。</w:t>
      </w:r>
    </w:p>
    <w:p>
      <w:pPr>
        <w:spacing w:line="560" w:lineRule="exact"/>
        <w:ind w:firstLine="640" w:firstLineChars="200"/>
        <w:jc w:val="left"/>
        <w:rPr>
          <w:rFonts w:eastAsia="仿宋_GB2312"/>
          <w:sz w:val="32"/>
          <w:szCs w:val="32"/>
        </w:rPr>
      </w:pPr>
      <w:r>
        <w:rPr>
          <w:rFonts w:hint="eastAsia" w:eastAsia="仿宋_GB2312"/>
          <w:sz w:val="32"/>
          <w:szCs w:val="32"/>
        </w:rPr>
        <w:t>（二）项目过程情况。</w:t>
      </w:r>
      <w:r>
        <w:rPr>
          <w:rFonts w:hint="eastAsia" w:eastAsia="仿宋_GB2312"/>
          <w:sz w:val="32"/>
          <w:szCs w:val="32"/>
          <w:lang w:eastAsia="zh-CN"/>
        </w:rPr>
        <w:t>根据上级文件要求执行。</w:t>
      </w:r>
    </w:p>
    <w:p>
      <w:pPr>
        <w:spacing w:line="560" w:lineRule="exact"/>
        <w:ind w:firstLine="640" w:firstLineChars="200"/>
        <w:jc w:val="left"/>
        <w:rPr>
          <w:rFonts w:hint="eastAsia" w:eastAsia="仿宋_GB2312"/>
          <w:sz w:val="32"/>
          <w:szCs w:val="32"/>
        </w:rPr>
      </w:pPr>
      <w:r>
        <w:rPr>
          <w:rFonts w:hint="eastAsia" w:eastAsia="仿宋_GB2312"/>
          <w:sz w:val="32"/>
          <w:szCs w:val="32"/>
        </w:rPr>
        <w:t>（三）项目产出情况。</w:t>
      </w:r>
    </w:p>
    <w:tbl>
      <w:tblPr>
        <w:tblStyle w:val="5"/>
        <w:tblW w:w="864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0"/>
        <w:gridCol w:w="1665"/>
        <w:gridCol w:w="2100"/>
        <w:gridCol w:w="2160"/>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noWrap w:val="0"/>
            <w:vAlign w:val="center"/>
          </w:tcPr>
          <w:p>
            <w:pPr>
              <w:keepNext w:val="0"/>
              <w:keepLines w:val="0"/>
              <w:widowControl/>
              <w:suppressLineNumbers w:val="0"/>
              <w:ind w:left="1" w:leftChars="0"/>
              <w:jc w:val="center"/>
              <w:textAlignment w:val="center"/>
              <w:rPr>
                <w:rFonts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一级指标</w:t>
            </w: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二级指标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三级指标</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指标值及单位</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产出情况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restart"/>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产出指标</w:t>
            </w:r>
          </w:p>
        </w:tc>
        <w:tc>
          <w:tcPr>
            <w:tcW w:w="1665" w:type="dxa"/>
            <w:vMerge w:val="restart"/>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数量指标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紧急情况的收集、显示、上报</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按时</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远程指挥</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按需</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质量指标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紧急情况的收集、显示、上报及时性</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100%</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时效指标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资金拨付及时率</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及时</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vMerge w:val="continue"/>
            <w:noWrap w:val="0"/>
            <w:vAlign w:val="center"/>
          </w:tcPr>
          <w:p>
            <w:pPr>
              <w:jc w:val="center"/>
              <w:rPr>
                <w:rFonts w:hint="eastAsia" w:ascii="仿宋_GB2312" w:hAnsi="宋体" w:eastAsia="仿宋_GB2312" w:cs="仿宋_GB2312"/>
                <w:i w:val="0"/>
                <w:iCs w:val="0"/>
                <w:color w:val="000000"/>
                <w:sz w:val="21"/>
                <w:szCs w:val="21"/>
                <w:u w:val="none"/>
              </w:rPr>
            </w:pP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成本指标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21"/>
                <w:szCs w:val="21"/>
                <w:u w:val="none"/>
                <w:lang w:val="en-US" w:eastAsia="zh-CN" w:bidi="ar"/>
              </w:rPr>
              <w:t>系统建设费用</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2万元/人</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rPr>
            </w:pPr>
            <w:r>
              <w:rPr>
                <w:rFonts w:hint="eastAsia" w:ascii="仿宋_GB2312" w:hAnsi="宋体" w:eastAsia="仿宋_GB2312" w:cs="仿宋_GB2312"/>
                <w:i w:val="0"/>
                <w:iCs w:val="0"/>
                <w:color w:val="000000"/>
                <w:kern w:val="0"/>
                <w:sz w:val="21"/>
                <w:szCs w:val="21"/>
                <w:u w:val="none"/>
                <w:lang w:val="en-US" w:eastAsia="zh-CN" w:bidi="ar"/>
              </w:rPr>
              <w:t>已完成</w:t>
            </w:r>
          </w:p>
        </w:tc>
      </w:tr>
    </w:tbl>
    <w:p>
      <w:pPr>
        <w:spacing w:line="560" w:lineRule="exact"/>
        <w:ind w:firstLine="640" w:firstLineChars="200"/>
        <w:jc w:val="left"/>
        <w:rPr>
          <w:rFonts w:hint="eastAsia" w:eastAsia="仿宋_GB2312"/>
          <w:sz w:val="32"/>
          <w:szCs w:val="32"/>
        </w:rPr>
      </w:pPr>
    </w:p>
    <w:p>
      <w:pPr>
        <w:numPr>
          <w:ilvl w:val="0"/>
          <w:numId w:val="0"/>
        </w:numPr>
        <w:spacing w:line="560" w:lineRule="exact"/>
        <w:ind w:firstLine="640" w:firstLineChars="200"/>
        <w:jc w:val="left"/>
        <w:rPr>
          <w:rFonts w:hint="default" w:eastAsia="仿宋_GB2312"/>
          <w:sz w:val="32"/>
          <w:szCs w:val="32"/>
          <w:lang w:val="en-US" w:eastAsia="zh-CN"/>
        </w:rPr>
      </w:pPr>
      <w:r>
        <w:rPr>
          <w:rFonts w:hint="eastAsia" w:eastAsia="仿宋_GB2312"/>
          <w:sz w:val="32"/>
          <w:szCs w:val="32"/>
          <w:lang w:eastAsia="zh-CN"/>
        </w:rPr>
        <w:t>（四）</w:t>
      </w:r>
      <w:r>
        <w:rPr>
          <w:rFonts w:hint="eastAsia" w:eastAsia="仿宋_GB2312"/>
          <w:sz w:val="32"/>
          <w:szCs w:val="32"/>
        </w:rPr>
        <w:t>项目效益情况。</w:t>
      </w:r>
    </w:p>
    <w:tbl>
      <w:tblPr>
        <w:tblStyle w:val="5"/>
        <w:tblW w:w="864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0"/>
        <w:gridCol w:w="1665"/>
        <w:gridCol w:w="2100"/>
        <w:gridCol w:w="2160"/>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2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一级指标</w:t>
            </w: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二级指标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三级指标</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指标值及单位</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sz w:val="21"/>
                <w:szCs w:val="21"/>
                <w:u w:val="none"/>
                <w:lang w:val="en-US" w:eastAsia="zh-CN" w:bidi="ar-SA"/>
              </w:rPr>
            </w:pPr>
            <w:r>
              <w:rPr>
                <w:rFonts w:hint="eastAsia" w:ascii="仿宋_GB2312" w:hAnsi="宋体" w:eastAsia="仿宋_GB2312" w:cs="仿宋_GB2312"/>
                <w:i w:val="0"/>
                <w:iCs w:val="0"/>
                <w:color w:val="000000"/>
                <w:kern w:val="0"/>
                <w:sz w:val="21"/>
                <w:szCs w:val="21"/>
                <w:u w:val="none"/>
                <w:lang w:val="en-US" w:eastAsia="zh-CN" w:bidi="ar"/>
              </w:rPr>
              <w:t>绩效情况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1320" w:type="dxa"/>
            <w:vMerge w:val="restart"/>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效益指标</w:t>
            </w: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经济效益指标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不适用</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1320" w:type="dxa"/>
            <w:vMerge w:val="continue"/>
            <w:noWrap w:val="0"/>
            <w:vAlign w:val="center"/>
          </w:tcPr>
          <w:p>
            <w:pPr>
              <w:jc w:val="center"/>
              <w:rPr>
                <w:rFonts w:hint="eastAsia" w:ascii="仿宋_GB2312" w:hAnsi="宋体" w:eastAsia="仿宋_GB2312" w:cs="仿宋_GB2312"/>
                <w:i w:val="0"/>
                <w:iCs w:val="0"/>
                <w:color w:val="000000"/>
                <w:kern w:val="0"/>
                <w:sz w:val="21"/>
                <w:szCs w:val="21"/>
                <w:u w:val="none"/>
                <w:lang w:val="en-US" w:eastAsia="zh-CN" w:bidi="ar"/>
              </w:rPr>
            </w:pP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社会效益指标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sz w:val="21"/>
                <w:szCs w:val="21"/>
                <w:u w:val="none"/>
                <w:lang w:eastAsia="zh-CN"/>
              </w:rPr>
              <w:t>保障突发情况生命财产安全</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明显提高</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已完成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1320" w:type="dxa"/>
            <w:vMerge w:val="continue"/>
            <w:noWrap w:val="0"/>
            <w:vAlign w:val="center"/>
          </w:tcPr>
          <w:p>
            <w:pPr>
              <w:jc w:val="center"/>
              <w:rPr>
                <w:rFonts w:hint="eastAsia" w:ascii="仿宋_GB2312" w:hAnsi="宋体" w:eastAsia="仿宋_GB2312" w:cs="仿宋_GB2312"/>
                <w:i w:val="0"/>
                <w:iCs w:val="0"/>
                <w:color w:val="000000"/>
                <w:kern w:val="0"/>
                <w:sz w:val="21"/>
                <w:szCs w:val="21"/>
                <w:u w:val="none"/>
                <w:lang w:val="en-US" w:eastAsia="zh-CN" w:bidi="ar"/>
              </w:rPr>
            </w:pP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生态效益指标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不适用</w:t>
            </w:r>
          </w:p>
        </w:tc>
        <w:tc>
          <w:tcPr>
            <w:tcW w:w="2160" w:type="dxa"/>
            <w:noWrap w:val="0"/>
            <w:vAlign w:val="center"/>
          </w:tcPr>
          <w:p>
            <w:pPr>
              <w:jc w:val="center"/>
              <w:rPr>
                <w:rFonts w:hint="eastAsia" w:ascii="仿宋_GB2312" w:hAnsi="宋体" w:eastAsia="仿宋_GB2312" w:cs="仿宋_GB2312"/>
                <w:i w:val="0"/>
                <w:iCs w:val="0"/>
                <w:color w:val="000000"/>
                <w:kern w:val="0"/>
                <w:sz w:val="21"/>
                <w:szCs w:val="21"/>
                <w:u w:val="none"/>
                <w:lang w:val="en-US" w:eastAsia="zh-CN" w:bidi="ar"/>
              </w:rPr>
            </w:pPr>
          </w:p>
        </w:tc>
        <w:tc>
          <w:tcPr>
            <w:tcW w:w="1395" w:type="dxa"/>
            <w:noWrap w:val="0"/>
            <w:vAlign w:val="center"/>
          </w:tcPr>
          <w:p>
            <w:pPr>
              <w:jc w:val="center"/>
              <w:rPr>
                <w:rFonts w:hint="eastAsia" w:ascii="仿宋_GB2312" w:hAnsi="宋体" w:eastAsia="仿宋_GB2312" w:cs="仿宋_GB2312"/>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1320" w:type="dxa"/>
            <w:vMerge w:val="continue"/>
            <w:noWrap w:val="0"/>
            <w:vAlign w:val="center"/>
          </w:tcPr>
          <w:p>
            <w:pPr>
              <w:jc w:val="center"/>
              <w:rPr>
                <w:rFonts w:hint="eastAsia" w:ascii="仿宋_GB2312" w:hAnsi="宋体" w:eastAsia="仿宋_GB2312" w:cs="仿宋_GB2312"/>
                <w:i w:val="0"/>
                <w:iCs w:val="0"/>
                <w:color w:val="000000"/>
                <w:kern w:val="0"/>
                <w:sz w:val="21"/>
                <w:szCs w:val="21"/>
                <w:u w:val="none"/>
                <w:lang w:val="en-US" w:eastAsia="zh-CN" w:bidi="ar"/>
              </w:rPr>
            </w:pP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可持续影响指标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不适用</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1320" w:type="dxa"/>
            <w:vMerge w:val="continue"/>
            <w:noWrap w:val="0"/>
            <w:vAlign w:val="center"/>
          </w:tcPr>
          <w:p>
            <w:pPr>
              <w:jc w:val="center"/>
              <w:rPr>
                <w:rFonts w:hint="eastAsia" w:ascii="仿宋_GB2312" w:hAnsi="宋体" w:eastAsia="仿宋_GB2312" w:cs="仿宋_GB2312"/>
                <w:i w:val="0"/>
                <w:iCs w:val="0"/>
                <w:color w:val="000000"/>
                <w:kern w:val="0"/>
                <w:sz w:val="21"/>
                <w:szCs w:val="21"/>
                <w:u w:val="none"/>
                <w:lang w:val="en-US" w:eastAsia="zh-CN" w:bidi="ar"/>
              </w:rPr>
            </w:pPr>
          </w:p>
        </w:tc>
        <w:tc>
          <w:tcPr>
            <w:tcW w:w="166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社会公众或服务对象满意度指标</w:t>
            </w:r>
          </w:p>
        </w:tc>
        <w:tc>
          <w:tcPr>
            <w:tcW w:w="210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服务对象满意度</w:t>
            </w:r>
          </w:p>
        </w:tc>
        <w:tc>
          <w:tcPr>
            <w:tcW w:w="2160"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≥95%</w:t>
            </w:r>
          </w:p>
        </w:tc>
        <w:tc>
          <w:tcPr>
            <w:tcW w:w="1395" w:type="dxa"/>
            <w:noWrap w:val="0"/>
            <w:vAlign w:val="center"/>
          </w:tcPr>
          <w:p>
            <w:pPr>
              <w:keepNext w:val="0"/>
              <w:keepLines w:val="0"/>
              <w:widowControl/>
              <w:suppressLineNumbers w:val="0"/>
              <w:ind w:left="1" w:leftChars="0"/>
              <w:jc w:val="center"/>
              <w:textAlignment w:val="center"/>
              <w:rPr>
                <w:rFonts w:hint="eastAsia"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i w:val="0"/>
                <w:iCs w:val="0"/>
                <w:color w:val="000000"/>
                <w:kern w:val="0"/>
                <w:sz w:val="21"/>
                <w:szCs w:val="21"/>
                <w:u w:val="none"/>
                <w:lang w:val="en-US" w:eastAsia="zh-CN" w:bidi="ar"/>
              </w:rPr>
              <w:t>已完成</w:t>
            </w:r>
          </w:p>
        </w:tc>
      </w:tr>
    </w:tbl>
    <w:p>
      <w:pPr>
        <w:spacing w:line="560" w:lineRule="exact"/>
        <w:ind w:firstLine="643" w:firstLineChars="200"/>
        <w:jc w:val="left"/>
        <w:rPr>
          <w:rFonts w:hint="eastAsia" w:eastAsia="仿宋_GB2312"/>
          <w:b/>
          <w:bCs/>
          <w:sz w:val="32"/>
          <w:szCs w:val="32"/>
        </w:rPr>
      </w:pPr>
      <w:r>
        <w:rPr>
          <w:rFonts w:hint="eastAsia" w:eastAsia="仿宋_GB2312"/>
          <w:b/>
          <w:bCs/>
          <w:sz w:val="32"/>
          <w:szCs w:val="32"/>
        </w:rPr>
        <w:t>五、主要经验及做法、存在的问题及原因分析</w:t>
      </w:r>
    </w:p>
    <w:p>
      <w:pPr>
        <w:spacing w:line="560" w:lineRule="exact"/>
        <w:ind w:firstLine="640" w:firstLineChars="200"/>
        <w:jc w:val="left"/>
        <w:rPr>
          <w:rFonts w:hint="eastAsia" w:ascii="Times New Roman" w:hAnsi="Times New Roman" w:eastAsia="仿宋_GB2312" w:cs="Times New Roman"/>
          <w:b w:val="0"/>
          <w:bCs w:val="0"/>
          <w:sz w:val="32"/>
          <w:szCs w:val="32"/>
          <w:lang w:eastAsia="zh-CN"/>
        </w:rPr>
      </w:pPr>
      <w:r>
        <w:rPr>
          <w:rFonts w:hint="eastAsia" w:ascii="Times New Roman" w:hAnsi="Times New Roman" w:eastAsia="仿宋_GB2312" w:cs="Times New Roman"/>
          <w:b w:val="0"/>
          <w:bCs w:val="0"/>
          <w:sz w:val="32"/>
          <w:szCs w:val="32"/>
          <w:lang w:eastAsia="zh-CN"/>
        </w:rPr>
        <w:t>无</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六、有关建议</w:t>
      </w:r>
    </w:p>
    <w:p>
      <w:pPr>
        <w:spacing w:line="560" w:lineRule="exact"/>
        <w:ind w:firstLine="640" w:firstLineChars="200"/>
        <w:jc w:val="left"/>
        <w:rPr>
          <w:rFonts w:hint="eastAsia" w:eastAsia="仿宋_GB2312"/>
          <w:b w:val="0"/>
          <w:bCs w:val="0"/>
          <w:sz w:val="32"/>
          <w:szCs w:val="32"/>
          <w:lang w:eastAsia="zh-CN"/>
        </w:rPr>
      </w:pPr>
      <w:r>
        <w:rPr>
          <w:rFonts w:hint="eastAsia" w:eastAsia="仿宋_GB2312"/>
          <w:b w:val="0"/>
          <w:bCs w:val="0"/>
          <w:sz w:val="32"/>
          <w:szCs w:val="32"/>
          <w:lang w:eastAsia="zh-CN"/>
        </w:rPr>
        <w:t>无</w:t>
      </w:r>
    </w:p>
    <w:p>
      <w:pPr>
        <w:spacing w:line="560" w:lineRule="exact"/>
        <w:ind w:firstLine="643" w:firstLineChars="200"/>
        <w:jc w:val="left"/>
        <w:rPr>
          <w:rFonts w:hint="eastAsia" w:eastAsia="仿宋_GB2312"/>
          <w:b/>
          <w:bCs/>
          <w:sz w:val="32"/>
          <w:szCs w:val="32"/>
        </w:rPr>
      </w:pPr>
      <w:r>
        <w:rPr>
          <w:rFonts w:hint="eastAsia" w:eastAsia="仿宋_GB2312"/>
          <w:b/>
          <w:bCs/>
          <w:sz w:val="32"/>
          <w:szCs w:val="32"/>
        </w:rPr>
        <w:t>七、其他需要说明的问题</w:t>
      </w:r>
    </w:p>
    <w:p>
      <w:pPr>
        <w:pStyle w:val="4"/>
        <w:widowControl w:val="0"/>
        <w:spacing w:before="0" w:beforeAutospacing="0" w:after="0" w:afterAutospacing="0" w:line="520" w:lineRule="exact"/>
        <w:rPr>
          <w:rFonts w:hint="eastAsia" w:ascii="Times New Roman" w:hAnsi="Times New Roman" w:eastAsia="仿宋_GB2312" w:cs="Times New Roman"/>
          <w:b w:val="0"/>
          <w:bCs w:val="0"/>
          <w:sz w:val="32"/>
          <w:szCs w:val="32"/>
          <w:lang w:val="en-US" w:eastAsia="zh-CN" w:bidi="ar-SA"/>
        </w:rPr>
      </w:pPr>
      <w:r>
        <w:rPr>
          <w:rFonts w:ascii="Times New Roman" w:hAnsi="Times New Roman" w:eastAsia="仿宋_GB2312" w:cs="Times New Roman"/>
          <w:sz w:val="28"/>
          <w:szCs w:val="28"/>
        </w:rPr>
        <w:t> </w:t>
      </w:r>
      <w:r>
        <w:rPr>
          <w:rFonts w:hint="eastAsia" w:ascii="Times New Roman" w:hAnsi="Times New Roman" w:eastAsia="仿宋_GB2312" w:cs="Times New Roman"/>
          <w:sz w:val="28"/>
          <w:szCs w:val="28"/>
          <w:lang w:val="en-US" w:eastAsia="zh-CN"/>
        </w:rPr>
        <w:t xml:space="preserve">  </w:t>
      </w:r>
      <w:r>
        <w:rPr>
          <w:rFonts w:hint="eastAsia" w:ascii="Times New Roman" w:hAnsi="Times New Roman" w:eastAsia="仿宋_GB2312" w:cs="Times New Roman"/>
          <w:b w:val="0"/>
          <w:bCs w:val="0"/>
          <w:sz w:val="32"/>
          <w:szCs w:val="32"/>
          <w:lang w:val="en-US" w:eastAsia="zh-CN" w:bidi="ar-SA"/>
        </w:rPr>
        <w:t xml:space="preserve">  无</w:t>
      </w:r>
    </w:p>
    <w:p>
      <w:pPr>
        <w:pStyle w:val="4"/>
        <w:widowControl w:val="0"/>
        <w:spacing w:before="0" w:beforeAutospacing="0" w:after="0" w:afterAutospacing="0" w:line="520" w:lineRule="exact"/>
        <w:rPr>
          <w:rFonts w:hint="default" w:ascii="Times New Roman" w:hAnsi="Times New Roman" w:eastAsia="仿宋_GB2312" w:cs="Times New Roman"/>
          <w:b w:val="0"/>
          <w:bCs w:val="0"/>
          <w:sz w:val="32"/>
          <w:szCs w:val="32"/>
          <w:lang w:val="en-US" w:eastAsia="zh-CN" w:bidi="ar-SA"/>
        </w:rPr>
      </w:pPr>
      <w:bookmarkStart w:id="1" w:name="_GoBack"/>
      <w:bookmarkEnd w:id="1"/>
    </w:p>
    <w:p>
      <w:pPr>
        <w:ind w:left="7840" w:hanging="7840" w:hangingChars="2800"/>
        <w:rPr>
          <w:rFonts w:hint="eastAsia" w:eastAsia="仿宋_GB2312"/>
          <w:sz w:val="28"/>
          <w:szCs w:val="28"/>
        </w:rPr>
      </w:pPr>
      <w:r>
        <w:rPr>
          <w:rFonts w:eastAsia="仿宋_GB2312"/>
          <w:sz w:val="28"/>
          <w:szCs w:val="28"/>
        </w:rPr>
        <w:t xml:space="preserve">                                  </w:t>
      </w:r>
      <w:r>
        <w:rPr>
          <w:rFonts w:hint="eastAsia" w:eastAsia="仿宋_GB2312"/>
          <w:sz w:val="28"/>
          <w:szCs w:val="28"/>
        </w:rPr>
        <w:t xml:space="preserve"> </w:t>
      </w:r>
      <w:r>
        <w:rPr>
          <w:rFonts w:eastAsia="仿宋_GB2312"/>
          <w:sz w:val="28"/>
          <w:szCs w:val="28"/>
        </w:rPr>
        <w:t xml:space="preserve"> 项目单位（签</w:t>
      </w:r>
      <w:r>
        <w:rPr>
          <w:rFonts w:hint="eastAsia" w:eastAsia="仿宋_GB2312"/>
          <w:sz w:val="28"/>
          <w:szCs w:val="28"/>
          <w:lang w:eastAsia="zh-CN"/>
        </w:rPr>
        <w:t>章</w:t>
      </w:r>
      <w:r>
        <w:rPr>
          <w:rFonts w:eastAsia="仿宋_GB2312"/>
          <w:sz w:val="28"/>
          <w:szCs w:val="28"/>
        </w:rPr>
        <w:t xml:space="preserve">）                        </w:t>
      </w:r>
    </w:p>
    <w:p>
      <w:pPr>
        <w:ind w:firstLine="5040" w:firstLineChars="1800"/>
        <w:rPr>
          <w:rFonts w:eastAsia="仿宋_GB2312"/>
          <w:sz w:val="28"/>
          <w:szCs w:val="28"/>
        </w:rPr>
      </w:pPr>
      <w:r>
        <w:rPr>
          <w:rFonts w:hint="eastAsia" w:eastAsia="仿宋_GB2312"/>
          <w:sz w:val="28"/>
          <w:szCs w:val="28"/>
          <w:lang w:val="en-US" w:eastAsia="zh-CN"/>
        </w:rPr>
        <w:t>2022</w:t>
      </w:r>
      <w:r>
        <w:rPr>
          <w:rFonts w:eastAsia="仿宋_GB2312"/>
          <w:sz w:val="28"/>
          <w:szCs w:val="28"/>
        </w:rPr>
        <w:t>年</w:t>
      </w:r>
      <w:r>
        <w:rPr>
          <w:rFonts w:hint="eastAsia" w:eastAsia="仿宋_GB2312"/>
          <w:sz w:val="28"/>
          <w:szCs w:val="28"/>
          <w:lang w:val="en-US" w:eastAsia="zh-CN"/>
        </w:rPr>
        <w:t>5</w:t>
      </w:r>
      <w:r>
        <w:rPr>
          <w:rFonts w:eastAsia="仿宋_GB2312"/>
          <w:sz w:val="28"/>
          <w:szCs w:val="28"/>
        </w:rPr>
        <w:t>月</w:t>
      </w:r>
      <w:r>
        <w:rPr>
          <w:rFonts w:hint="eastAsia" w:eastAsia="仿宋_GB2312"/>
          <w:sz w:val="28"/>
          <w:szCs w:val="28"/>
          <w:lang w:val="en-US" w:eastAsia="zh-CN"/>
        </w:rPr>
        <w:t>19</w:t>
      </w:r>
      <w:r>
        <w:rPr>
          <w:rFonts w:eastAsia="仿宋_GB2312"/>
          <w:sz w:val="28"/>
          <w:szCs w:val="28"/>
        </w:rPr>
        <w:t>日</w:t>
      </w:r>
    </w:p>
    <w:p>
      <w:pPr>
        <w:spacing w:line="400" w:lineRule="exact"/>
        <w:ind w:left="0" w:leftChars="0" w:firstLine="0" w:firstLineChars="0"/>
        <w:jc w:val="left"/>
        <w:rPr>
          <w:rFonts w:eastAsia="仿宋_GB2312"/>
          <w:sz w:val="24"/>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left"/>
        <w:textAlignment w:val="auto"/>
        <w:outlineLvl w:val="9"/>
        <w:rPr>
          <w:rFonts w:hint="eastAsia" w:ascii="仿宋" w:hAnsi="仿宋" w:eastAsia="仿宋"/>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粗宋简体">
    <w:altName w:val="宋体"/>
    <w:panose1 w:val="03000509000000000000"/>
    <w:charset w:val="86"/>
    <w:family w:val="script"/>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788E05"/>
    <w:multiLevelType w:val="singleLevel"/>
    <w:tmpl w:val="8F788E05"/>
    <w:lvl w:ilvl="0" w:tentative="0">
      <w:start w:val="1"/>
      <w:numFmt w:val="chineseCounting"/>
      <w:suff w:val="nothing"/>
      <w:lvlText w:val="%1、"/>
      <w:lvlJc w:val="left"/>
      <w:rPr>
        <w:rFonts w:hint="eastAsia"/>
      </w:rPr>
    </w:lvl>
  </w:abstractNum>
  <w:abstractNum w:abstractNumId="1">
    <w:nsid w:val="B91A8CB2"/>
    <w:multiLevelType w:val="singleLevel"/>
    <w:tmpl w:val="B91A8CB2"/>
    <w:lvl w:ilvl="0" w:tentative="0">
      <w:start w:val="2"/>
      <w:numFmt w:val="chineseCounting"/>
      <w:suff w:val="nothing"/>
      <w:lvlText w:val="（%1）"/>
      <w:lvlJc w:val="left"/>
      <w:pPr>
        <w:ind w:left="-10"/>
      </w:pPr>
      <w:rPr>
        <w:rFonts w:hint="eastAsia"/>
      </w:rPr>
    </w:lvl>
  </w:abstractNum>
  <w:abstractNum w:abstractNumId="2">
    <w:nsid w:val="5801AD30"/>
    <w:multiLevelType w:val="multilevel"/>
    <w:tmpl w:val="5801AD30"/>
    <w:lvl w:ilvl="0" w:tentative="0">
      <w:start w:val="1"/>
      <w:numFmt w:val="chineseCountingThousand"/>
      <w:lvlText w:val="第%1章"/>
      <w:lvlJc w:val="left"/>
      <w:pPr>
        <w:ind w:left="432" w:hanging="432"/>
      </w:pPr>
      <w:rPr>
        <w:rFonts w:hint="eastAsia"/>
      </w:rPr>
    </w:lvl>
    <w:lvl w:ilvl="1" w:tentative="0">
      <w:start w:val="1"/>
      <w:numFmt w:val="decimal"/>
      <w:isLgl/>
      <w:lvlText w:val="%1.%2"/>
      <w:lvlJc w:val="left"/>
      <w:pPr>
        <w:ind w:left="576" w:hanging="576"/>
      </w:pPr>
      <w:rPr>
        <w:rFonts w:hint="eastAsia"/>
      </w:rPr>
    </w:lvl>
    <w:lvl w:ilvl="2" w:tentative="0">
      <w:start w:val="1"/>
      <w:numFmt w:val="decimal"/>
      <w:pStyle w:val="2"/>
      <w:isLgl/>
      <w:lvlText w:val="%1.%2.%3"/>
      <w:lvlJc w:val="left"/>
      <w:pPr>
        <w:ind w:left="3698" w:hanging="720"/>
      </w:pPr>
      <w:rPr>
        <w:rFonts w:hint="eastAsia"/>
        <w:b w:val="0"/>
      </w:rPr>
    </w:lvl>
    <w:lvl w:ilvl="3" w:tentative="0">
      <w:start w:val="1"/>
      <w:numFmt w:val="decimal"/>
      <w:isLgl/>
      <w:suff w:val="space"/>
      <w:lvlText w:val="%1.%2.%3.%4"/>
      <w:lvlJc w:val="left"/>
      <w:pPr>
        <w:ind w:left="864" w:hanging="864"/>
      </w:pPr>
      <w:rPr>
        <w:rFonts w:hint="default" w:ascii="Arial" w:hAnsi="Arial" w:cs="Arial"/>
      </w:rPr>
    </w:lvl>
    <w:lvl w:ilvl="4" w:tentative="0">
      <w:start w:val="1"/>
      <w:numFmt w:val="decimal"/>
      <w:isLgl/>
      <w:lvlText w:val="%1.%2.%3.%4.%5"/>
      <w:lvlJc w:val="left"/>
      <w:pPr>
        <w:ind w:left="1008" w:hanging="1008"/>
      </w:pPr>
      <w:rPr>
        <w:rFonts w:hint="default" w:ascii="Arial" w:hAnsi="Arial" w:cs="Arial"/>
      </w:rPr>
    </w:lvl>
    <w:lvl w:ilvl="5" w:tentative="0">
      <w:start w:val="1"/>
      <w:numFmt w:val="decimal"/>
      <w:isLgl/>
      <w:lvlText w:val="%1.%2.%3.%4.%5.%6"/>
      <w:lvlJc w:val="left"/>
      <w:pPr>
        <w:ind w:left="1152" w:hanging="1152"/>
      </w:pPr>
      <w:rPr>
        <w:rFonts w:hint="default" w:ascii="Times New Roman" w:hAnsi="Times New Roman" w:cs="Times New Roman"/>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4" w:hanging="1584"/>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CD1927"/>
    <w:rsid w:val="0DC42728"/>
    <w:rsid w:val="20364CD7"/>
    <w:rsid w:val="2D9159CE"/>
    <w:rsid w:val="3291330F"/>
    <w:rsid w:val="36D76E36"/>
    <w:rsid w:val="53E40679"/>
    <w:rsid w:val="573842A8"/>
    <w:rsid w:val="57BD61A9"/>
    <w:rsid w:val="75CD1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unhideWhenUsed/>
    <w:qFormat/>
    <w:uiPriority w:val="0"/>
    <w:pPr>
      <w:keepLines/>
      <w:numPr>
        <w:ilvl w:val="2"/>
        <w:numId w:val="1"/>
      </w:numPr>
      <w:spacing w:beforeLines="50"/>
      <w:jc w:val="left"/>
      <w:outlineLvl w:val="2"/>
    </w:pPr>
    <w:rPr>
      <w:rFonts w:cs="Arial"/>
      <w:b/>
      <w:bCs/>
      <w:color w:val="000000"/>
      <w:sz w:val="28"/>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spacing w:line="240" w:lineRule="atLeast"/>
      <w:jc w:val="left"/>
    </w:pPr>
    <w:rPr>
      <w:sz w:val="18"/>
      <w:szCs w:val="18"/>
    </w:rPr>
  </w:style>
  <w:style w:type="paragraph" w:styleId="4">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7">
    <w:name w:val="page number"/>
    <w:basedOn w:val="6"/>
    <w:qFormat/>
    <w:uiPriority w:val="0"/>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2020-09-22T08:31:00Z</dcterms:created>
  <dc:creator>Administrator</dc:creator>
  <cp:lastModifiedBy>Administrator</cp:lastModifiedBy>
  <dcterms:modified xsi:type="dcterms:W3CDTF">2022-05-22T23:56:17Z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95AD7A8C525B4890B6AA2DA43795C810</vt:lpwstr>
  </property>
</Properties>
</file>