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0DA34" w14:textId="77777777" w:rsidR="00F138DC" w:rsidRDefault="00712E63">
      <w:pPr>
        <w:pStyle w:val="a7"/>
        <w:widowControl w:val="0"/>
        <w:spacing w:before="0" w:beforeAutospacing="0" w:after="0" w:afterAutospacing="0" w:line="800" w:lineRule="exact"/>
        <w:jc w:val="center"/>
        <w:rPr>
          <w:rStyle w:val="a8"/>
          <w:rFonts w:asciiTheme="minorEastAsia" w:eastAsiaTheme="minorEastAsia" w:hAnsiTheme="minorEastAsia" w:cs="Times New Roman"/>
          <w:bCs w:val="0"/>
          <w:spacing w:val="-20"/>
          <w:sz w:val="44"/>
          <w:szCs w:val="44"/>
        </w:rPr>
      </w:pPr>
      <w:r>
        <w:rPr>
          <w:rStyle w:val="a8"/>
          <w:rFonts w:asciiTheme="minorEastAsia" w:eastAsiaTheme="minorEastAsia" w:hAnsiTheme="minorEastAsia" w:cs="Times New Roman"/>
          <w:bCs w:val="0"/>
          <w:spacing w:val="-20"/>
          <w:sz w:val="44"/>
          <w:szCs w:val="44"/>
        </w:rPr>
        <w:t>2019</w:t>
      </w:r>
      <w:r>
        <w:rPr>
          <w:rStyle w:val="a8"/>
          <w:rFonts w:asciiTheme="minorEastAsia" w:eastAsiaTheme="minorEastAsia" w:hAnsiTheme="minorEastAsia" w:cs="Times New Roman"/>
          <w:bCs w:val="0"/>
          <w:spacing w:val="-20"/>
          <w:sz w:val="44"/>
          <w:szCs w:val="44"/>
        </w:rPr>
        <w:t>年度</w:t>
      </w:r>
      <w:r>
        <w:rPr>
          <w:rStyle w:val="a8"/>
          <w:rFonts w:asciiTheme="minorEastAsia" w:eastAsiaTheme="minorEastAsia" w:hAnsiTheme="minorEastAsia" w:cs="Times New Roman" w:hint="eastAsia"/>
          <w:bCs w:val="0"/>
          <w:spacing w:val="-20"/>
          <w:sz w:val="44"/>
          <w:szCs w:val="44"/>
        </w:rPr>
        <w:t>商务科技和工业信息化局</w:t>
      </w:r>
      <w:r>
        <w:rPr>
          <w:rStyle w:val="a8"/>
          <w:rFonts w:asciiTheme="minorEastAsia" w:eastAsiaTheme="minorEastAsia" w:hAnsiTheme="minorEastAsia" w:cs="Times New Roman" w:hint="eastAsia"/>
          <w:bCs w:val="0"/>
          <w:spacing w:val="-20"/>
          <w:sz w:val="44"/>
          <w:szCs w:val="44"/>
        </w:rPr>
        <w:t>部门</w:t>
      </w:r>
      <w:r>
        <w:rPr>
          <w:rStyle w:val="a8"/>
          <w:rFonts w:asciiTheme="minorEastAsia" w:eastAsiaTheme="minorEastAsia" w:hAnsiTheme="minorEastAsia" w:cs="Times New Roman"/>
          <w:bCs w:val="0"/>
          <w:spacing w:val="-20"/>
          <w:sz w:val="44"/>
          <w:szCs w:val="44"/>
        </w:rPr>
        <w:t>整体</w:t>
      </w:r>
    </w:p>
    <w:p w14:paraId="4B3FE4D1" w14:textId="77777777" w:rsidR="00F138DC" w:rsidRDefault="00712E63">
      <w:pPr>
        <w:pStyle w:val="a7"/>
        <w:widowControl w:val="0"/>
        <w:spacing w:before="0" w:beforeAutospacing="0" w:after="0" w:afterAutospacing="0" w:line="800" w:lineRule="exact"/>
        <w:jc w:val="center"/>
        <w:rPr>
          <w:rStyle w:val="a8"/>
          <w:rFonts w:asciiTheme="minorEastAsia" w:eastAsiaTheme="minorEastAsia" w:hAnsiTheme="minorEastAsia" w:cs="Times New Roman"/>
          <w:bCs w:val="0"/>
          <w:spacing w:val="-20"/>
          <w:sz w:val="44"/>
          <w:szCs w:val="44"/>
        </w:rPr>
      </w:pPr>
      <w:r>
        <w:rPr>
          <w:rStyle w:val="a8"/>
          <w:rFonts w:asciiTheme="minorEastAsia" w:eastAsiaTheme="minorEastAsia" w:hAnsiTheme="minorEastAsia" w:cs="Times New Roman"/>
          <w:bCs w:val="0"/>
          <w:spacing w:val="-20"/>
          <w:sz w:val="44"/>
          <w:szCs w:val="44"/>
        </w:rPr>
        <w:t>支出绩效自评报告</w:t>
      </w:r>
    </w:p>
    <w:p w14:paraId="6D39FD4A" w14:textId="77777777" w:rsidR="00F138DC" w:rsidRDefault="00712E63">
      <w:pPr>
        <w:spacing w:before="240" w:line="560" w:lineRule="exact"/>
        <w:ind w:firstLineChars="200" w:firstLine="420"/>
        <w:jc w:val="left"/>
        <w:rPr>
          <w:kern w:val="0"/>
        </w:rPr>
      </w:pPr>
      <w:r>
        <w:t xml:space="preserve">   </w:t>
      </w:r>
      <w:r>
        <w:rPr>
          <w:rFonts w:eastAsia="仿宋_GB2312"/>
          <w:kern w:val="0"/>
          <w:sz w:val="32"/>
          <w:szCs w:val="32"/>
        </w:rPr>
        <w:t>一、部门（单位）基本概况</w:t>
      </w:r>
    </w:p>
    <w:p w14:paraId="64B6F824" w14:textId="77777777" w:rsidR="00F138DC" w:rsidRDefault="00712E63">
      <w:pPr>
        <w:ind w:firstLineChars="200" w:firstLine="64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部门职责：（一）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主要负责贯彻执行党和国家的相关方针、政策及国家、省、市、县有关经济和信息化、科技、商务、粮食管理等方面的法律法规和方针政策；</w:t>
      </w:r>
      <w:r>
        <w:rPr>
          <w:rFonts w:ascii="仿宋_GB2312" w:eastAsia="仿宋_GB2312" w:hAnsiTheme="minorEastAsia" w:hint="eastAsia"/>
          <w:sz w:val="32"/>
          <w:szCs w:val="32"/>
        </w:rPr>
        <w:t>（二）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拟订相关规范性文件、政策和措施及全县工业经济的日常运行调节及实施。指导和管理全县招商引资、投资促进工作，负责组织省、市、</w:t>
      </w:r>
      <w:proofErr w:type="gramStart"/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县政策</w:t>
      </w:r>
      <w:proofErr w:type="gramEnd"/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和上级商务部门举办的内外贸易促销活动和招商引资、对外经济合作活动，管理全县进出口贸易工作，拟订和执行全县外贸进出口中长期规划和发展战略等工作。</w:t>
      </w:r>
    </w:p>
    <w:p w14:paraId="5A5A6B72" w14:textId="77777777" w:rsidR="00F138DC" w:rsidRDefault="00712E63">
      <w:pPr>
        <w:pStyle w:val="a7"/>
        <w:shd w:val="clear" w:color="auto" w:fill="FFFFFF"/>
        <w:spacing w:before="0" w:beforeAutospacing="0" w:after="0" w:afterAutospacing="0"/>
        <w:ind w:firstLine="552"/>
        <w:rPr>
          <w:rFonts w:ascii="仿宋_GB2312" w:eastAsia="仿宋_GB2312" w:hAnsiTheme="minorEastAsia"/>
          <w:color w:val="333333"/>
          <w:sz w:val="32"/>
          <w:szCs w:val="32"/>
        </w:rPr>
      </w:pPr>
      <w:r>
        <w:rPr>
          <w:rFonts w:ascii="仿宋_GB2312" w:eastAsia="仿宋_GB2312" w:hAnsiTheme="minorEastAsia" w:hint="eastAsia"/>
          <w:bCs/>
          <w:sz w:val="32"/>
          <w:szCs w:val="32"/>
        </w:rPr>
        <w:t>内设机构设置。新晃商务科技和工业信息化局内设机构包括：</w:t>
      </w:r>
      <w:r>
        <w:rPr>
          <w:rFonts w:ascii="仿宋_GB2312" w:eastAsia="仿宋_GB2312" w:hAnsiTheme="minorEastAsia" w:hint="eastAsia"/>
          <w:sz w:val="32"/>
          <w:szCs w:val="32"/>
        </w:rPr>
        <w:t>招商引资联络股、粮食行业管理股、商贸与市场股、对外贸易与经济合作股市等</w:t>
      </w:r>
      <w:r>
        <w:rPr>
          <w:rFonts w:ascii="仿宋_GB2312" w:eastAsia="仿宋_GB2312" w:hAnsiTheme="minorEastAsia" w:hint="eastAsia"/>
          <w:sz w:val="32"/>
          <w:szCs w:val="32"/>
        </w:rPr>
        <w:t>14</w:t>
      </w:r>
      <w:r>
        <w:rPr>
          <w:rFonts w:ascii="仿宋_GB2312" w:eastAsia="仿宋_GB2312" w:hAnsiTheme="minorEastAsia" w:hint="eastAsia"/>
          <w:sz w:val="32"/>
          <w:szCs w:val="32"/>
        </w:rPr>
        <w:t>个职能股室。截止</w:t>
      </w:r>
      <w:r>
        <w:rPr>
          <w:rFonts w:ascii="仿宋_GB2312" w:eastAsia="仿宋_GB2312" w:hAnsiTheme="minorEastAsia" w:hint="eastAsia"/>
          <w:sz w:val="32"/>
          <w:szCs w:val="32"/>
        </w:rPr>
        <w:t>2019</w:t>
      </w:r>
      <w:r>
        <w:rPr>
          <w:rFonts w:ascii="仿宋_GB2312" w:eastAsia="仿宋_GB2312" w:hAnsiTheme="minorEastAsia" w:hint="eastAsia"/>
          <w:sz w:val="32"/>
          <w:szCs w:val="32"/>
        </w:rPr>
        <w:t>年</w:t>
      </w:r>
      <w:r>
        <w:rPr>
          <w:rFonts w:ascii="仿宋_GB2312" w:eastAsia="仿宋_GB2312" w:hAnsiTheme="minorEastAsia" w:hint="eastAsia"/>
          <w:sz w:val="32"/>
          <w:szCs w:val="32"/>
        </w:rPr>
        <w:t>12</w:t>
      </w:r>
      <w:r>
        <w:rPr>
          <w:rFonts w:ascii="仿宋_GB2312" w:eastAsia="仿宋_GB2312" w:hAnsiTheme="minorEastAsia" w:hint="eastAsia"/>
          <w:sz w:val="32"/>
          <w:szCs w:val="32"/>
        </w:rPr>
        <w:t>月</w:t>
      </w:r>
      <w:r>
        <w:rPr>
          <w:rFonts w:ascii="仿宋_GB2312" w:eastAsia="仿宋_GB2312" w:hAnsiTheme="minorEastAsia" w:hint="eastAsia"/>
          <w:sz w:val="32"/>
          <w:szCs w:val="32"/>
        </w:rPr>
        <w:t>31</w:t>
      </w:r>
      <w:r>
        <w:rPr>
          <w:rFonts w:ascii="仿宋_GB2312" w:eastAsia="仿宋_GB2312" w:hAnsiTheme="minorEastAsia" w:hint="eastAsia"/>
          <w:sz w:val="32"/>
          <w:szCs w:val="32"/>
        </w:rPr>
        <w:t>日</w:t>
      </w:r>
      <w:proofErr w:type="gramStart"/>
      <w:r>
        <w:rPr>
          <w:rFonts w:ascii="仿宋_GB2312" w:eastAsia="仿宋_GB2312" w:hAnsiTheme="minorEastAsia" w:hint="eastAsia"/>
          <w:sz w:val="32"/>
          <w:szCs w:val="32"/>
        </w:rPr>
        <w:t>止</w:t>
      </w:r>
      <w:proofErr w:type="gramEnd"/>
      <w:r>
        <w:rPr>
          <w:rFonts w:ascii="仿宋_GB2312" w:eastAsia="仿宋_GB2312" w:hAnsiTheme="minorEastAsia" w:hint="eastAsia"/>
          <w:sz w:val="32"/>
          <w:szCs w:val="32"/>
        </w:rPr>
        <w:t>系统共有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 213 </w:t>
      </w:r>
      <w:r>
        <w:rPr>
          <w:rFonts w:ascii="仿宋_GB2312" w:eastAsia="仿宋_GB2312" w:hAnsiTheme="minorEastAsia" w:hint="eastAsia"/>
          <w:sz w:val="32"/>
          <w:szCs w:val="32"/>
        </w:rPr>
        <w:t>人，在职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61 </w:t>
      </w:r>
      <w:r>
        <w:rPr>
          <w:rFonts w:ascii="仿宋_GB2312" w:eastAsia="仿宋_GB2312" w:hAnsiTheme="minorEastAsia" w:hint="eastAsia"/>
          <w:sz w:val="32"/>
          <w:szCs w:val="32"/>
        </w:rPr>
        <w:t>人，退休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134 </w:t>
      </w:r>
      <w:r>
        <w:rPr>
          <w:rFonts w:ascii="仿宋_GB2312" w:eastAsia="仿宋_GB2312" w:hAnsiTheme="minorEastAsia" w:hint="eastAsia"/>
          <w:sz w:val="32"/>
          <w:szCs w:val="32"/>
        </w:rPr>
        <w:t>人，离休</w:t>
      </w:r>
      <w:r>
        <w:rPr>
          <w:rFonts w:ascii="仿宋_GB2312" w:eastAsia="仿宋_GB2312" w:hAnsiTheme="minorEastAsia" w:hint="eastAsia"/>
          <w:sz w:val="32"/>
          <w:szCs w:val="32"/>
        </w:rPr>
        <w:t>2</w:t>
      </w:r>
      <w:r>
        <w:rPr>
          <w:rFonts w:ascii="仿宋_GB2312" w:eastAsia="仿宋_GB2312" w:hAnsiTheme="minorEastAsia" w:hint="eastAsia"/>
          <w:sz w:val="32"/>
          <w:szCs w:val="32"/>
        </w:rPr>
        <w:t>人，提前退</w:t>
      </w:r>
      <w:r>
        <w:rPr>
          <w:rFonts w:ascii="仿宋_GB2312" w:eastAsia="仿宋_GB2312" w:hAnsiTheme="minorEastAsia" w:hint="eastAsia"/>
          <w:sz w:val="32"/>
          <w:szCs w:val="32"/>
        </w:rPr>
        <w:t>休</w:t>
      </w:r>
      <w:r>
        <w:rPr>
          <w:rFonts w:ascii="仿宋_GB2312" w:eastAsia="仿宋_GB2312" w:hAnsiTheme="minorEastAsia" w:hint="eastAsia"/>
          <w:sz w:val="32"/>
          <w:szCs w:val="32"/>
        </w:rPr>
        <w:t>16</w:t>
      </w:r>
      <w:r>
        <w:rPr>
          <w:rFonts w:ascii="仿宋_GB2312" w:eastAsia="仿宋_GB2312" w:hAnsiTheme="minorEastAsia" w:hint="eastAsia"/>
          <w:sz w:val="32"/>
          <w:szCs w:val="32"/>
        </w:rPr>
        <w:t>人</w:t>
      </w:r>
      <w:r>
        <w:rPr>
          <w:rFonts w:ascii="仿宋_GB2312" w:eastAsia="仿宋_GB2312" w:hAnsiTheme="minorEastAsia" w:hint="eastAsia"/>
          <w:sz w:val="32"/>
          <w:szCs w:val="32"/>
        </w:rPr>
        <w:t>.</w:t>
      </w:r>
    </w:p>
    <w:p w14:paraId="59D8E39B" w14:textId="77777777" w:rsidR="00F138DC" w:rsidRDefault="00712E63">
      <w:pPr>
        <w:spacing w:line="56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2019</w:t>
      </w:r>
      <w:r>
        <w:rPr>
          <w:rFonts w:ascii="仿宋_GB2312" w:eastAsia="仿宋_GB2312" w:hAnsiTheme="minorEastAsia" w:hint="eastAsia"/>
          <w:sz w:val="32"/>
          <w:szCs w:val="32"/>
        </w:rPr>
        <w:t>年我局决算收入</w:t>
      </w:r>
      <w:r>
        <w:rPr>
          <w:rFonts w:ascii="仿宋_GB2312" w:eastAsia="仿宋_GB2312" w:hAnsiTheme="minorEastAsia" w:hint="eastAsia"/>
          <w:sz w:val="32"/>
          <w:szCs w:val="32"/>
        </w:rPr>
        <w:t>1816.62</w:t>
      </w:r>
      <w:r>
        <w:rPr>
          <w:rFonts w:ascii="仿宋_GB2312" w:eastAsia="仿宋_GB2312" w:hAnsiTheme="minorEastAsia" w:hint="eastAsia"/>
          <w:sz w:val="32"/>
          <w:szCs w:val="32"/>
        </w:rPr>
        <w:t>万元，支出</w:t>
      </w:r>
      <w:r>
        <w:rPr>
          <w:rFonts w:ascii="仿宋_GB2312" w:eastAsia="仿宋_GB2312" w:hAnsiTheme="minorEastAsia" w:hint="eastAsia"/>
          <w:sz w:val="32"/>
          <w:szCs w:val="32"/>
        </w:rPr>
        <w:t>1799.27</w:t>
      </w:r>
      <w:r>
        <w:rPr>
          <w:rFonts w:ascii="仿宋_GB2312" w:eastAsia="仿宋_GB2312" w:hAnsiTheme="minorEastAsia" w:hint="eastAsia"/>
          <w:sz w:val="32"/>
          <w:szCs w:val="32"/>
        </w:rPr>
        <w:t>万元，本年结余</w:t>
      </w:r>
      <w:r>
        <w:rPr>
          <w:rFonts w:ascii="仿宋_GB2312" w:eastAsia="仿宋_GB2312" w:hAnsiTheme="minorEastAsia" w:hint="eastAsia"/>
          <w:sz w:val="32"/>
          <w:szCs w:val="32"/>
        </w:rPr>
        <w:t>17.35</w:t>
      </w:r>
      <w:r>
        <w:rPr>
          <w:rFonts w:ascii="仿宋_GB2312" w:eastAsia="仿宋_GB2312" w:hAnsiTheme="minorEastAsia" w:hint="eastAsia"/>
          <w:sz w:val="32"/>
          <w:szCs w:val="32"/>
        </w:rPr>
        <w:t>万元。</w:t>
      </w:r>
      <w:r>
        <w:rPr>
          <w:rFonts w:eastAsia="仿宋_GB2312"/>
          <w:kern w:val="0"/>
          <w:sz w:val="32"/>
          <w:szCs w:val="32"/>
        </w:rPr>
        <w:t>年末固定资产</w:t>
      </w:r>
      <w:r>
        <w:rPr>
          <w:rFonts w:eastAsia="仿宋_GB2312" w:hint="eastAsia"/>
          <w:kern w:val="0"/>
          <w:sz w:val="32"/>
          <w:szCs w:val="32"/>
        </w:rPr>
        <w:t>151.33</w:t>
      </w:r>
      <w:r>
        <w:rPr>
          <w:rFonts w:eastAsia="仿宋_GB2312" w:hint="eastAsia"/>
          <w:kern w:val="0"/>
          <w:sz w:val="32"/>
          <w:szCs w:val="32"/>
        </w:rPr>
        <w:t>万元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ascii="仿宋_GB2312" w:eastAsia="仿宋_GB2312" w:hint="eastAsia"/>
          <w:kern w:val="0"/>
          <w:sz w:val="32"/>
          <w:szCs w:val="32"/>
        </w:rPr>
        <w:t>其中：房屋及构筑物</w:t>
      </w:r>
      <w:r>
        <w:rPr>
          <w:rFonts w:ascii="仿宋_GB2312" w:eastAsia="仿宋_GB2312" w:hint="eastAsia"/>
          <w:kern w:val="0"/>
          <w:sz w:val="32"/>
          <w:szCs w:val="32"/>
        </w:rPr>
        <w:t>107.11</w:t>
      </w:r>
      <w:r>
        <w:rPr>
          <w:rFonts w:ascii="仿宋_GB2312" w:eastAsia="仿宋_GB2312" w:hint="eastAsia"/>
          <w:kern w:val="0"/>
          <w:sz w:val="32"/>
          <w:szCs w:val="32"/>
        </w:rPr>
        <w:t>万元、专用设备</w:t>
      </w:r>
      <w:r>
        <w:rPr>
          <w:rFonts w:ascii="仿宋_GB2312" w:eastAsia="仿宋_GB2312" w:hint="eastAsia"/>
          <w:kern w:val="0"/>
          <w:sz w:val="32"/>
          <w:szCs w:val="32"/>
        </w:rPr>
        <w:t>0.76</w:t>
      </w:r>
      <w:r>
        <w:rPr>
          <w:rFonts w:ascii="仿宋_GB2312" w:eastAsia="仿宋_GB2312" w:hint="eastAsia"/>
          <w:kern w:val="0"/>
          <w:sz w:val="32"/>
          <w:szCs w:val="32"/>
        </w:rPr>
        <w:t>万元、通用设备</w:t>
      </w:r>
      <w:r>
        <w:rPr>
          <w:rFonts w:ascii="仿宋_GB2312" w:eastAsia="仿宋_GB2312" w:hint="eastAsia"/>
          <w:kern w:val="0"/>
          <w:sz w:val="32"/>
          <w:szCs w:val="32"/>
        </w:rPr>
        <w:t>37</w:t>
      </w:r>
      <w:r>
        <w:rPr>
          <w:rFonts w:ascii="仿宋_GB2312" w:eastAsia="仿宋_GB2312" w:hint="eastAsia"/>
          <w:kern w:val="0"/>
          <w:sz w:val="32"/>
          <w:szCs w:val="32"/>
        </w:rPr>
        <w:t>万元、家具用具</w:t>
      </w:r>
      <w:r>
        <w:rPr>
          <w:rFonts w:ascii="仿宋_GB2312" w:eastAsia="仿宋_GB2312" w:hint="eastAsia"/>
          <w:kern w:val="0"/>
          <w:sz w:val="32"/>
          <w:szCs w:val="32"/>
        </w:rPr>
        <w:t>6.46</w:t>
      </w:r>
      <w:r>
        <w:rPr>
          <w:rFonts w:ascii="仿宋_GB2312" w:eastAsia="仿宋_GB2312" w:hint="eastAsia"/>
          <w:kern w:val="0"/>
          <w:sz w:val="32"/>
          <w:szCs w:val="32"/>
        </w:rPr>
        <w:t>万元，公务用车</w:t>
      </w:r>
      <w:r>
        <w:rPr>
          <w:rFonts w:ascii="仿宋_GB2312" w:eastAsia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辆，都为公车平台委托管理车辆。</w:t>
      </w:r>
    </w:p>
    <w:p w14:paraId="70A0A06D" w14:textId="77777777" w:rsidR="00F138DC" w:rsidRDefault="00712E63">
      <w:pPr>
        <w:spacing w:line="56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我局严格按照《会计法》、《行政单位会计制度》、《行</w:t>
      </w:r>
      <w:r>
        <w:rPr>
          <w:rFonts w:eastAsia="仿宋_GB2312" w:hint="eastAsia"/>
          <w:kern w:val="0"/>
          <w:sz w:val="32"/>
          <w:szCs w:val="32"/>
        </w:rPr>
        <w:lastRenderedPageBreak/>
        <w:t>政单位财务规则》等规定，结合实际情况，严格执行单位经费支出制度，规范财务核算，完整披露相关信息。</w:t>
      </w:r>
    </w:p>
    <w:p w14:paraId="5D375DBF" w14:textId="77777777" w:rsidR="00F138DC" w:rsidRDefault="00712E63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二、部门（单位）整体支出绩效状况</w:t>
      </w:r>
    </w:p>
    <w:p w14:paraId="301454CF" w14:textId="77777777" w:rsidR="00F138DC" w:rsidRDefault="00712E63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2019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年初财政批复部门预算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1282.27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万元，实际总收入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1816.62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万元，全部为财政拨款收入。上年结转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239.63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万元。</w:t>
      </w:r>
    </w:p>
    <w:p w14:paraId="17065CAC" w14:textId="77777777" w:rsidR="00F138DC" w:rsidRDefault="00712E63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2019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年度总支出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1799.27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万元，其中：基本支出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1537.44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万元（人员经费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1309.96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万元，公用经费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227.48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万元），项目支出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261.82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万元。年末结转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256.97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万元。</w:t>
      </w:r>
    </w:p>
    <w:p w14:paraId="6A1DF34C" w14:textId="77777777" w:rsidR="00F138DC" w:rsidRDefault="00712E63">
      <w:pPr>
        <w:pStyle w:val="Default"/>
        <w:ind w:firstLineChars="200" w:firstLine="640"/>
        <w:rPr>
          <w:rFonts w:ascii="仿宋_GB2312" w:eastAsia="仿宋_GB2312" w:hAnsiTheme="minorEastAsia" w:cs="仿宋_GB2312"/>
          <w:sz w:val="32"/>
          <w:szCs w:val="32"/>
        </w:rPr>
      </w:pPr>
      <w:r>
        <w:rPr>
          <w:rFonts w:ascii="仿宋_GB2312" w:eastAsia="仿宋_GB2312" w:hAnsiTheme="minorEastAsia" w:cs="仿宋_GB2312" w:hint="eastAsia"/>
          <w:sz w:val="32"/>
          <w:szCs w:val="32"/>
        </w:rPr>
        <w:t>2019</w:t>
      </w:r>
      <w:r>
        <w:rPr>
          <w:rFonts w:ascii="仿宋_GB2312" w:eastAsia="仿宋_GB2312" w:hAnsiTheme="minorEastAsia" w:cs="仿宋_GB2312" w:hint="eastAsia"/>
          <w:sz w:val="32"/>
          <w:szCs w:val="32"/>
        </w:rPr>
        <w:t>年我局整体绩效</w:t>
      </w:r>
      <w:r>
        <w:rPr>
          <w:rFonts w:ascii="仿宋_GB2312" w:eastAsia="仿宋_GB2312" w:hAnsiTheme="minorEastAsia" w:cs="仿宋_GB2312" w:hint="eastAsia"/>
          <w:sz w:val="32"/>
          <w:szCs w:val="32"/>
        </w:rPr>
        <w:t>目标：推进招商引资、工业、科技等健康发展。一年来全局</w:t>
      </w:r>
      <w:r>
        <w:rPr>
          <w:rFonts w:ascii="仿宋_GB2312" w:eastAsia="仿宋_GB2312" w:hAnsiTheme="minorEastAsia" w:cs="仿宋_GB2312" w:hint="eastAsia"/>
          <w:sz w:val="32"/>
          <w:szCs w:val="32"/>
          <w:lang w:val="zh-TW" w:eastAsia="zh-TW"/>
        </w:rPr>
        <w:t>坚持以习近平新时代中国特色社会主义思想为指导，认真学习贯彻落实党的十九大、十九届二中、三中、四中全会和省、市、</w:t>
      </w:r>
      <w:proofErr w:type="gramStart"/>
      <w:r>
        <w:rPr>
          <w:rFonts w:ascii="仿宋_GB2312" w:eastAsia="仿宋_GB2312" w:hAnsiTheme="minorEastAsia" w:cs="仿宋_GB2312" w:hint="eastAsia"/>
          <w:sz w:val="32"/>
          <w:szCs w:val="32"/>
          <w:lang w:val="zh-TW" w:eastAsia="zh-TW"/>
        </w:rPr>
        <w:t>县相关</w:t>
      </w:r>
      <w:proofErr w:type="gramEnd"/>
      <w:r>
        <w:rPr>
          <w:rFonts w:ascii="仿宋_GB2312" w:eastAsia="仿宋_GB2312" w:hAnsiTheme="minorEastAsia" w:cs="仿宋_GB2312" w:hint="eastAsia"/>
          <w:sz w:val="32"/>
          <w:szCs w:val="32"/>
          <w:lang w:val="zh-TW" w:eastAsia="zh-TW"/>
        </w:rPr>
        <w:t>会议精神，按照</w:t>
      </w:r>
      <w:r>
        <w:rPr>
          <w:rFonts w:ascii="仿宋_GB2312" w:eastAsia="仿宋_GB2312" w:hAnsiTheme="minorEastAsia" w:cs="仿宋_GB2312" w:hint="eastAsia"/>
          <w:sz w:val="32"/>
          <w:szCs w:val="32"/>
        </w:rPr>
        <w:t>“</w:t>
      </w:r>
      <w:r>
        <w:rPr>
          <w:rFonts w:ascii="仿宋_GB2312" w:eastAsia="仿宋_GB2312" w:hAnsiTheme="minorEastAsia" w:cs="仿宋_GB2312" w:hint="eastAsia"/>
          <w:sz w:val="32"/>
          <w:szCs w:val="32"/>
          <w:lang w:val="zh-TW" w:eastAsia="zh-TW"/>
        </w:rPr>
        <w:t>强工壮农、兴城活旅、生态和谐、协调发展</w:t>
      </w:r>
      <w:r>
        <w:rPr>
          <w:rFonts w:ascii="仿宋_GB2312" w:eastAsia="仿宋_GB2312" w:hAnsiTheme="minorEastAsia" w:cs="仿宋_GB2312" w:hint="eastAsia"/>
          <w:sz w:val="32"/>
          <w:szCs w:val="32"/>
        </w:rPr>
        <w:t>”</w:t>
      </w:r>
      <w:r>
        <w:rPr>
          <w:rFonts w:ascii="仿宋_GB2312" w:eastAsia="仿宋_GB2312" w:hAnsiTheme="minorEastAsia" w:cs="仿宋_GB2312" w:hint="eastAsia"/>
          <w:sz w:val="32"/>
          <w:szCs w:val="32"/>
          <w:lang w:val="zh-TW" w:eastAsia="zh-TW"/>
        </w:rPr>
        <w:t>总体要求，坚决打好三大攻坚战，统筹推进稳增长、促改革、调结构、惠民生、防风险各项工作，促进经济社会持续健康发展，为努力开创</w:t>
      </w:r>
      <w:r>
        <w:rPr>
          <w:rFonts w:ascii="仿宋_GB2312" w:eastAsia="仿宋_GB2312" w:hAnsiTheme="minorEastAsia" w:cs="仿宋_GB2312" w:hint="eastAsia"/>
          <w:sz w:val="32"/>
          <w:szCs w:val="32"/>
        </w:rPr>
        <w:t>“</w:t>
      </w:r>
      <w:r>
        <w:rPr>
          <w:rFonts w:ascii="仿宋_GB2312" w:eastAsia="仿宋_GB2312" w:hAnsiTheme="minorEastAsia" w:cs="仿宋_GB2312" w:hint="eastAsia"/>
          <w:sz w:val="32"/>
          <w:szCs w:val="32"/>
          <w:lang w:val="zh-TW" w:eastAsia="zh-TW"/>
        </w:rPr>
        <w:t>一个阵地、五个新晃</w:t>
      </w:r>
      <w:r>
        <w:rPr>
          <w:rFonts w:ascii="仿宋_GB2312" w:eastAsia="仿宋_GB2312" w:hAnsiTheme="minorEastAsia" w:cs="仿宋_GB2312" w:hint="eastAsia"/>
          <w:sz w:val="32"/>
          <w:szCs w:val="32"/>
        </w:rPr>
        <w:t>”</w:t>
      </w:r>
      <w:r>
        <w:rPr>
          <w:rFonts w:ascii="仿宋_GB2312" w:eastAsia="仿宋_GB2312" w:hAnsiTheme="minorEastAsia" w:cs="仿宋_GB2312" w:hint="eastAsia"/>
          <w:sz w:val="32"/>
          <w:szCs w:val="32"/>
          <w:lang w:val="zh-TW" w:eastAsia="zh-TW"/>
        </w:rPr>
        <w:t>建设新局面提供有力的保障</w:t>
      </w:r>
      <w:r>
        <w:rPr>
          <w:rFonts w:ascii="仿宋_GB2312" w:eastAsia="仿宋_GB2312" w:hAnsiTheme="minorEastAsia" w:cs="仿宋_GB2312" w:hint="eastAsia"/>
          <w:sz w:val="32"/>
          <w:szCs w:val="32"/>
          <w:lang w:val="zh-TW"/>
        </w:rPr>
        <w:t>。</w:t>
      </w:r>
      <w:r>
        <w:rPr>
          <w:rFonts w:ascii="仿宋_GB2312" w:eastAsia="仿宋_GB2312" w:hAnsiTheme="minorEastAsia" w:cs="仿宋_GB2312" w:hint="eastAsia"/>
          <w:sz w:val="32"/>
          <w:szCs w:val="32"/>
          <w:shd w:val="clear" w:color="auto" w:fill="FFFFFF"/>
        </w:rPr>
        <w:t>较好的完成了本年绩效目标任务。</w:t>
      </w:r>
    </w:p>
    <w:p w14:paraId="1A0B8906" w14:textId="77777777" w:rsidR="00F138DC" w:rsidRDefault="00F138DC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</w:p>
    <w:p w14:paraId="4794598F" w14:textId="77777777" w:rsidR="00F138DC" w:rsidRDefault="00712E63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三、存在的问题及原因</w:t>
      </w:r>
    </w:p>
    <w:p w14:paraId="213CAD80" w14:textId="77777777" w:rsidR="00F138DC" w:rsidRDefault="00712E63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预算编制前根据年度内单位可预见的工作任务，确定了单位的年度预算</w:t>
      </w:r>
      <w:r>
        <w:rPr>
          <w:rFonts w:eastAsia="仿宋_GB2312" w:hint="eastAsia"/>
          <w:kern w:val="0"/>
          <w:sz w:val="32"/>
          <w:szCs w:val="32"/>
        </w:rPr>
        <w:t>目标，细化了预算指标，但是在实际支付过程中，个别时候未严格按照预算指标执行。</w:t>
      </w:r>
    </w:p>
    <w:p w14:paraId="2FD8C637" w14:textId="77777777" w:rsidR="00F138DC" w:rsidRDefault="00712E63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lastRenderedPageBreak/>
        <w:t>四、提高财政资金绩效的措施与建议</w:t>
      </w:r>
    </w:p>
    <w:p w14:paraId="2A390718" w14:textId="77777777" w:rsidR="00F138DC" w:rsidRDefault="00712E63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、加强学习，提高思想认识。组织单位财务人员认真学习《预算法》等相关法规、规章、制度，提高单位领导对全面预算管理的重视程度，增强财务人员的预算意识。</w:t>
      </w:r>
    </w:p>
    <w:p w14:paraId="68D1F8C3" w14:textId="77777777" w:rsidR="00F138DC" w:rsidRDefault="00712E63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2</w:t>
      </w:r>
      <w:r>
        <w:rPr>
          <w:rFonts w:eastAsia="仿宋_GB2312" w:hint="eastAsia"/>
          <w:kern w:val="0"/>
          <w:sz w:val="32"/>
          <w:szCs w:val="32"/>
        </w:rPr>
        <w:t>、严格管理，控制“三公”经费和公用经费支出。认真贯彻落实中央八项规定和市委、县委规定，严格按照规定开支有关经费，确保单位“三公”经费只减不增。</w:t>
      </w:r>
    </w:p>
    <w:p w14:paraId="5A4130E6" w14:textId="77777777" w:rsidR="00F138DC" w:rsidRDefault="00712E63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3</w:t>
      </w:r>
      <w:r>
        <w:rPr>
          <w:rFonts w:eastAsia="仿宋_GB2312" w:hint="eastAsia"/>
          <w:kern w:val="0"/>
          <w:sz w:val="32"/>
          <w:szCs w:val="32"/>
        </w:rPr>
        <w:t>、规范财务运行，加强预算支出管理。严格遵循“先有预算，后有支出”的原则，建立健全并严格执行各项资金使用管理制度，建立内部控制制度。严格落实会计核算、报销审批制度，加强对资金使用环节的监督。</w:t>
      </w:r>
    </w:p>
    <w:p w14:paraId="11FDBC27" w14:textId="77777777" w:rsidR="00F138DC" w:rsidRDefault="00F138DC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</w:p>
    <w:p w14:paraId="4E27DA6A" w14:textId="77777777" w:rsidR="00F138DC" w:rsidRDefault="00712E63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五、附件（佐证依据）</w:t>
      </w:r>
    </w:p>
    <w:p w14:paraId="69F301D3" w14:textId="77777777" w:rsidR="00F138DC" w:rsidRDefault="00712E63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部门认为需要作为评价报告附件的有关文件、资料等，以进一步解释和证明报告所反映的相关内容。</w:t>
      </w:r>
    </w:p>
    <w:p w14:paraId="2A99FC61" w14:textId="77777777" w:rsidR="00F138DC" w:rsidRDefault="00712E63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</w:t>
      </w:r>
    </w:p>
    <w:p w14:paraId="7073F153" w14:textId="16B613BF" w:rsidR="00712E63" w:rsidRDefault="00712E63" w:rsidP="00712E63">
      <w:pPr>
        <w:spacing w:line="560" w:lineRule="exact"/>
        <w:ind w:firstLineChars="200" w:firstLine="640"/>
        <w:jc w:val="left"/>
        <w:rPr>
          <w:kern w:val="0"/>
          <w:sz w:val="24"/>
        </w:rPr>
      </w:pPr>
      <w:r>
        <w:rPr>
          <w:rFonts w:eastAsia="仿宋_GB2312"/>
          <w:kern w:val="0"/>
          <w:sz w:val="32"/>
          <w:szCs w:val="32"/>
        </w:rPr>
        <w:t xml:space="preserve">           </w:t>
      </w:r>
    </w:p>
    <w:p w14:paraId="2AFDE00F" w14:textId="622043AD" w:rsidR="00F138DC" w:rsidRDefault="00F138DC"/>
    <w:sectPr w:rsidR="00F138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5BFE"/>
    <w:rsid w:val="000947C2"/>
    <w:rsid w:val="000D645E"/>
    <w:rsid w:val="0021164D"/>
    <w:rsid w:val="0021325A"/>
    <w:rsid w:val="003264D9"/>
    <w:rsid w:val="0033776E"/>
    <w:rsid w:val="003E3D14"/>
    <w:rsid w:val="004262C1"/>
    <w:rsid w:val="005A4489"/>
    <w:rsid w:val="006D3BDB"/>
    <w:rsid w:val="00712E63"/>
    <w:rsid w:val="00865853"/>
    <w:rsid w:val="00A50683"/>
    <w:rsid w:val="00AF2E85"/>
    <w:rsid w:val="00B23595"/>
    <w:rsid w:val="00B81FA5"/>
    <w:rsid w:val="00CA3D80"/>
    <w:rsid w:val="00D67DB9"/>
    <w:rsid w:val="00F12072"/>
    <w:rsid w:val="00F138DC"/>
    <w:rsid w:val="00F4649D"/>
    <w:rsid w:val="00F65BFE"/>
    <w:rsid w:val="00F73796"/>
    <w:rsid w:val="1BAF4CA1"/>
    <w:rsid w:val="6BE5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5ED12"/>
  <w15:docId w15:val="{20D87E9B-DE18-4E33-8AC7-0937470FD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qFormat/>
    <w:rPr>
      <w:b/>
      <w:bCs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2020-10-10T03:05:00Z</cp:lastPrinted>
  <dcterms:created xsi:type="dcterms:W3CDTF">2020-09-15T07:32:00Z</dcterms:created>
  <dcterms:modified xsi:type="dcterms:W3CDTF">2020-11-18T03:23:00Z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