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720" w:firstLineChars="200"/>
        <w:rPr>
          <w:rFonts w:eastAsia="黑体"/>
          <w:color w:val="000000"/>
          <w:sz w:val="36"/>
          <w:szCs w:val="36"/>
        </w:rPr>
      </w:pPr>
      <w:r>
        <w:rPr>
          <w:rFonts w:eastAsia="黑体"/>
          <w:color w:val="000000"/>
          <w:sz w:val="36"/>
          <w:szCs w:val="36"/>
        </w:rPr>
        <w:t>20</w:t>
      </w:r>
      <w:r>
        <w:rPr>
          <w:rFonts w:hint="eastAsia" w:eastAsia="黑体"/>
          <w:color w:val="000000"/>
          <w:sz w:val="36"/>
          <w:szCs w:val="36"/>
        </w:rPr>
        <w:t>20</w:t>
      </w:r>
      <w:r>
        <w:rPr>
          <w:rFonts w:eastAsia="黑体"/>
          <w:color w:val="000000"/>
          <w:sz w:val="36"/>
          <w:szCs w:val="36"/>
        </w:rPr>
        <w:t>年</w:t>
      </w:r>
      <w:r>
        <w:rPr>
          <w:rFonts w:hint="eastAsia" w:eastAsia="黑体"/>
          <w:color w:val="000000"/>
          <w:sz w:val="36"/>
          <w:szCs w:val="36"/>
          <w:lang w:eastAsia="zh-CN"/>
        </w:rPr>
        <w:t>上级</w:t>
      </w:r>
      <w:r>
        <w:rPr>
          <w:rFonts w:eastAsia="黑体"/>
          <w:color w:val="000000"/>
          <w:sz w:val="36"/>
          <w:szCs w:val="36"/>
        </w:rPr>
        <w:t>税收返还和转移支付预算</w:t>
      </w:r>
      <w:r>
        <w:rPr>
          <w:rFonts w:hint="eastAsia" w:eastAsia="黑体"/>
          <w:color w:val="000000"/>
          <w:sz w:val="36"/>
          <w:szCs w:val="36"/>
          <w:lang w:eastAsia="zh-CN"/>
        </w:rPr>
        <w:t>情况</w:t>
      </w:r>
      <w:r>
        <w:rPr>
          <w:rFonts w:eastAsia="黑体"/>
          <w:color w:val="000000"/>
          <w:sz w:val="36"/>
          <w:szCs w:val="36"/>
        </w:rPr>
        <w:t>说明</w:t>
      </w:r>
    </w:p>
    <w:p>
      <w:pPr>
        <w:spacing w:line="600" w:lineRule="exact"/>
        <w:rPr>
          <w:rFonts w:hint="eastAsia" w:eastAsia="黑体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2020年，根据2019年度我县上级税收返还、转移支付基数以及省、市</w:t>
      </w:r>
      <w:r>
        <w:rPr>
          <w:rFonts w:hint="eastAsia" w:eastAsia="仿宋_GB2312"/>
          <w:color w:val="000000"/>
          <w:sz w:val="32"/>
          <w:szCs w:val="32"/>
        </w:rPr>
        <w:t>提前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下达</w:t>
      </w:r>
      <w:r>
        <w:rPr>
          <w:rFonts w:hint="eastAsia" w:eastAsia="仿宋_GB2312"/>
          <w:color w:val="000000"/>
          <w:sz w:val="32"/>
          <w:szCs w:val="32"/>
        </w:rPr>
        <w:t>的转移支付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情况，再适当考虑国内经济形势，上级税收返还及转移支付补助预算178157万元。具体情况如下：</w:t>
      </w:r>
    </w:p>
    <w:p>
      <w:pPr>
        <w:spacing w:line="600" w:lineRule="exact"/>
        <w:ind w:firstLine="640" w:firstLineChars="200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1、返还性收入3486万元，较上年增长11.3%。其中所得税基数返还收入245万元；成品油税费改革税收返还收入705万元；增值税税收返还收入811万元；消费税税收返还收入2万元；增值税“五五分享”税收返还收入1056万元；其他返还性收入667万元。</w:t>
      </w:r>
    </w:p>
    <w:p>
      <w:pPr>
        <w:spacing w:line="600" w:lineRule="exact"/>
        <w:ind w:firstLine="640" w:firstLineChars="200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、一般性转移支付收入151738万元，较上年增长133.80%（主要是2019年仅将县级可用财力部分列入一般性转移支付收入，其他不可用财力列入了专项转移支付，2020年严格按照上级转移支付性质列示）。其中均衡性转移支付收入30659万元；民族地区转移支付收入7943万元；生态功能区转移支付收6540万元；调整工资转移支付收入7269万元；县级基本财力保障奖补转移支付收入11616万元；农村税费改革转移支付收入1330万元；结算补助6092万元；企事业预算划转补助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ab/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-1016万元；其他81305万元。</w:t>
      </w:r>
    </w:p>
    <w:p>
      <w:pPr>
        <w:spacing w:line="600" w:lineRule="exact"/>
        <w:ind w:firstLine="640" w:firstLineChars="200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3、专项转移支付收入22933万元，较上年下降77.54%（主要是2019年部分一般性转移支付列入了专项转移支付导致）。基本为省财政提前下达（告知）的专项转移支付资金，按要求全部编入预算。</w:t>
      </w:r>
    </w:p>
    <w:p>
      <w:pPr>
        <w:spacing w:line="600" w:lineRule="exact"/>
        <w:ind w:firstLine="640" w:firstLineChars="200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附表—2020年新晃侗族自治县一般公共预算税收返还和转移支付预算表</w:t>
      </w:r>
      <w:bookmarkStart w:id="0" w:name="_GoBack"/>
      <w:bookmarkEnd w:id="0"/>
    </w:p>
    <w:sectPr>
      <w:pgSz w:w="11906" w:h="16838"/>
      <w:pgMar w:top="1213" w:right="1576" w:bottom="1213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DE52F0"/>
    <w:rsid w:val="14DD590F"/>
    <w:rsid w:val="15E57AB9"/>
    <w:rsid w:val="188C6E34"/>
    <w:rsid w:val="1CBE6D45"/>
    <w:rsid w:val="23B05D25"/>
    <w:rsid w:val="2A1608BB"/>
    <w:rsid w:val="2AC35B99"/>
    <w:rsid w:val="2C37348A"/>
    <w:rsid w:val="3B8F1E85"/>
    <w:rsid w:val="4134063D"/>
    <w:rsid w:val="41E812A6"/>
    <w:rsid w:val="4648410B"/>
    <w:rsid w:val="46825682"/>
    <w:rsid w:val="51E7758F"/>
    <w:rsid w:val="52050B8B"/>
    <w:rsid w:val="60DE52F0"/>
    <w:rsid w:val="61476FAB"/>
    <w:rsid w:val="65B62486"/>
    <w:rsid w:val="7720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spacing w:line="580" w:lineRule="exact"/>
      <w:ind w:firstLine="420" w:firstLineChars="200"/>
    </w:pPr>
    <w:rPr>
      <w:rFonts w:ascii="Times New Roman" w:hAnsi="Times New Roman" w:eastAsia="仿宋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2020-07-07T08:48:00Z</dcterms:created>
  <dc:creator>海上升明月</dc:creator>
  <cp:lastModifiedBy>Sangkhun</cp:lastModifiedBy>
  <dcterms:modified xsi:type="dcterms:W3CDTF">2020-08-06T07:48:15Z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