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033E6">
      <w:pPr>
        <w:spacing w:line="400" w:lineRule="exact"/>
        <w:jc w:val="both"/>
        <w:rPr>
          <w:rFonts w:hint="eastAsia" w:ascii="仿宋_GB2312" w:hAnsi="仿宋_GB2312" w:eastAsia="仿宋_GB2312" w:cs="仿宋_GB2312"/>
          <w:spacing w:val="28"/>
          <w:sz w:val="36"/>
          <w:szCs w:val="36"/>
          <w:lang w:val="en-US" w:eastAsia="zh-CN"/>
        </w:rPr>
      </w:pPr>
      <w:bookmarkStart w:id="0" w:name="_Hlk8504611"/>
      <w:r>
        <w:rPr>
          <w:rFonts w:hint="eastAsia" w:ascii="仿宋_GB2312" w:hAnsi="仿宋_GB2312" w:eastAsia="仿宋_GB2312" w:cs="仿宋_GB2312"/>
          <w:spacing w:val="28"/>
          <w:sz w:val="36"/>
          <w:szCs w:val="36"/>
          <w:lang w:val="en-US" w:eastAsia="zh-CN"/>
        </w:rPr>
        <w:t xml:space="preserve"> </w:t>
      </w:r>
    </w:p>
    <w:p w14:paraId="4556F7F4">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default" w:ascii="Times New Roman" w:hAnsi="Times New Roman" w:eastAsia="宋体" w:cs="Times New Roman"/>
          <w:b/>
          <w:bCs/>
          <w:color w:val="auto"/>
          <w:spacing w:val="28"/>
          <w:sz w:val="48"/>
          <w:szCs w:val="48"/>
          <w:lang w:val="en-US" w:eastAsia="zh-CN"/>
        </w:rPr>
      </w:pPr>
      <w:r>
        <w:rPr>
          <w:rFonts w:hint="default" w:ascii="Times New Roman" w:hAnsi="Times New Roman" w:eastAsia="宋体" w:cs="Times New Roman"/>
          <w:b/>
          <w:bCs/>
          <w:color w:val="auto"/>
          <w:spacing w:val="28"/>
          <w:sz w:val="48"/>
          <w:szCs w:val="48"/>
          <w:lang w:val="en-US" w:eastAsia="zh-CN"/>
        </w:rPr>
        <w:t>新晃产业开发区管理委员会</w:t>
      </w:r>
    </w:p>
    <w:p w14:paraId="6A6AB310">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default" w:ascii="Times New Roman" w:hAnsi="Times New Roman" w:eastAsia="宋体" w:cs="Times New Roman"/>
          <w:b/>
          <w:bCs/>
          <w:color w:val="auto"/>
          <w:spacing w:val="28"/>
          <w:sz w:val="48"/>
          <w:szCs w:val="48"/>
          <w:lang w:val="en-US" w:eastAsia="zh-CN"/>
        </w:rPr>
      </w:pPr>
      <w:r>
        <w:rPr>
          <w:rFonts w:hint="default" w:ascii="Times New Roman" w:hAnsi="Times New Roman" w:eastAsia="宋体" w:cs="Times New Roman"/>
          <w:b/>
          <w:bCs/>
          <w:color w:val="auto"/>
          <w:spacing w:val="28"/>
          <w:sz w:val="48"/>
          <w:szCs w:val="48"/>
          <w:lang w:val="en-US" w:eastAsia="zh-CN"/>
        </w:rPr>
        <w:t>生态环境管理202</w:t>
      </w:r>
      <w:r>
        <w:rPr>
          <w:rFonts w:hint="eastAsia" w:ascii="Times New Roman" w:hAnsi="Times New Roman" w:eastAsia="宋体" w:cs="Times New Roman"/>
          <w:b/>
          <w:bCs/>
          <w:color w:val="auto"/>
          <w:spacing w:val="28"/>
          <w:sz w:val="48"/>
          <w:szCs w:val="48"/>
          <w:lang w:val="en-US" w:eastAsia="zh-CN"/>
        </w:rPr>
        <w:t>5</w:t>
      </w:r>
      <w:r>
        <w:rPr>
          <w:rFonts w:hint="default" w:ascii="Times New Roman" w:hAnsi="Times New Roman" w:eastAsia="宋体" w:cs="Times New Roman"/>
          <w:b/>
          <w:bCs/>
          <w:color w:val="auto"/>
          <w:spacing w:val="28"/>
          <w:sz w:val="48"/>
          <w:szCs w:val="48"/>
          <w:lang w:val="en-US" w:eastAsia="zh-CN"/>
        </w:rPr>
        <w:t>年度</w:t>
      </w:r>
    </w:p>
    <w:p w14:paraId="4269857A">
      <w:pPr>
        <w:pStyle w:val="16"/>
        <w:rPr>
          <w:rFonts w:hint="default" w:ascii="Times New Roman" w:hAnsi="Times New Roman" w:eastAsia="宋体" w:cs="Times New Roman"/>
          <w:color w:val="auto"/>
          <w:lang w:val="en-US" w:eastAsia="zh-CN"/>
        </w:rPr>
      </w:pPr>
    </w:p>
    <w:p w14:paraId="3F159594">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default" w:ascii="Times New Roman" w:hAnsi="Times New Roman" w:eastAsia="宋体" w:cs="Times New Roman"/>
          <w:b/>
          <w:bCs/>
          <w:color w:val="auto"/>
          <w:spacing w:val="28"/>
          <w:sz w:val="48"/>
          <w:szCs w:val="48"/>
          <w:lang w:val="en-US" w:eastAsia="zh-CN"/>
        </w:rPr>
      </w:pPr>
      <w:r>
        <w:rPr>
          <w:rFonts w:hint="default" w:ascii="Times New Roman" w:hAnsi="Times New Roman" w:eastAsia="宋体" w:cs="Times New Roman"/>
          <w:b/>
          <w:bCs/>
          <w:color w:val="auto"/>
          <w:spacing w:val="28"/>
          <w:sz w:val="48"/>
          <w:szCs w:val="48"/>
          <w:lang w:val="en-US" w:eastAsia="zh-CN"/>
        </w:rPr>
        <w:t>自</w:t>
      </w:r>
    </w:p>
    <w:p w14:paraId="3573AF4D">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default" w:ascii="Times New Roman" w:hAnsi="Times New Roman" w:eastAsia="宋体" w:cs="Times New Roman"/>
          <w:b/>
          <w:bCs/>
          <w:color w:val="auto"/>
          <w:spacing w:val="28"/>
          <w:sz w:val="48"/>
          <w:szCs w:val="48"/>
          <w:lang w:val="en-US" w:eastAsia="zh-CN"/>
        </w:rPr>
      </w:pPr>
      <w:r>
        <w:rPr>
          <w:rFonts w:hint="default" w:ascii="Times New Roman" w:hAnsi="Times New Roman" w:eastAsia="宋体" w:cs="Times New Roman"/>
          <w:b/>
          <w:bCs/>
          <w:color w:val="auto"/>
          <w:spacing w:val="28"/>
          <w:sz w:val="48"/>
          <w:szCs w:val="48"/>
          <w:lang w:val="en-US" w:eastAsia="zh-CN"/>
        </w:rPr>
        <w:t>评</w:t>
      </w:r>
    </w:p>
    <w:p w14:paraId="34F7D613">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default" w:ascii="Times New Roman" w:hAnsi="Times New Roman" w:eastAsia="宋体" w:cs="Times New Roman"/>
          <w:b/>
          <w:bCs/>
          <w:color w:val="auto"/>
          <w:spacing w:val="28"/>
          <w:sz w:val="48"/>
          <w:szCs w:val="48"/>
          <w:lang w:val="en-US" w:eastAsia="zh-CN"/>
        </w:rPr>
      </w:pPr>
      <w:r>
        <w:rPr>
          <w:rFonts w:hint="default" w:ascii="Times New Roman" w:hAnsi="Times New Roman" w:eastAsia="宋体" w:cs="Times New Roman"/>
          <w:b/>
          <w:bCs/>
          <w:color w:val="auto"/>
          <w:spacing w:val="28"/>
          <w:sz w:val="48"/>
          <w:szCs w:val="48"/>
          <w:lang w:val="en-US" w:eastAsia="zh-CN"/>
        </w:rPr>
        <w:t>估</w:t>
      </w:r>
    </w:p>
    <w:p w14:paraId="55D32A51">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default" w:ascii="Times New Roman" w:hAnsi="Times New Roman" w:eastAsia="宋体" w:cs="Times New Roman"/>
          <w:b/>
          <w:bCs/>
          <w:color w:val="auto"/>
          <w:spacing w:val="28"/>
          <w:sz w:val="48"/>
          <w:szCs w:val="48"/>
          <w:lang w:val="en-US" w:eastAsia="zh-CN"/>
        </w:rPr>
      </w:pPr>
      <w:r>
        <w:rPr>
          <w:rFonts w:hint="default" w:ascii="Times New Roman" w:hAnsi="Times New Roman" w:eastAsia="宋体" w:cs="Times New Roman"/>
          <w:b/>
          <w:bCs/>
          <w:color w:val="auto"/>
          <w:spacing w:val="28"/>
          <w:sz w:val="48"/>
          <w:szCs w:val="48"/>
          <w:lang w:val="en-US" w:eastAsia="zh-CN"/>
        </w:rPr>
        <w:t>报</w:t>
      </w:r>
    </w:p>
    <w:p w14:paraId="7F066342">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ind w:left="0" w:leftChars="0" w:firstLine="0" w:firstLineChars="0"/>
        <w:jc w:val="center"/>
        <w:textAlignment w:val="auto"/>
        <w:rPr>
          <w:rFonts w:hint="default" w:ascii="Times New Roman" w:hAnsi="Times New Roman" w:eastAsia="宋体" w:cs="Times New Roman"/>
          <w:b/>
          <w:bCs/>
          <w:color w:val="auto"/>
          <w:spacing w:val="28"/>
          <w:sz w:val="48"/>
          <w:szCs w:val="48"/>
          <w:lang w:val="en-US" w:eastAsia="zh-CN"/>
        </w:rPr>
      </w:pPr>
      <w:r>
        <w:rPr>
          <w:rFonts w:hint="default" w:ascii="Times New Roman" w:hAnsi="Times New Roman" w:eastAsia="宋体" w:cs="Times New Roman"/>
          <w:b/>
          <w:bCs/>
          <w:color w:val="auto"/>
          <w:spacing w:val="28"/>
          <w:sz w:val="48"/>
          <w:szCs w:val="48"/>
          <w:lang w:val="en-US" w:eastAsia="zh-CN"/>
        </w:rPr>
        <w:t>告</w:t>
      </w:r>
    </w:p>
    <w:p w14:paraId="504E2D9E">
      <w:pPr>
        <w:pStyle w:val="16"/>
        <w:ind w:left="0" w:leftChars="0" w:firstLine="0" w:firstLineChars="0"/>
        <w:rPr>
          <w:rFonts w:hint="default" w:ascii="Times New Roman" w:hAnsi="Times New Roman" w:eastAsia="宋体" w:cs="Times New Roman"/>
          <w:color w:val="auto"/>
          <w:lang w:val="en-US" w:eastAsia="zh-CN"/>
        </w:rPr>
      </w:pPr>
    </w:p>
    <w:p w14:paraId="0FEB75E1">
      <w:pPr>
        <w:rPr>
          <w:rFonts w:hint="default" w:ascii="Times New Roman" w:hAnsi="Times New Roman" w:eastAsia="宋体" w:cs="Times New Roman"/>
          <w:b/>
          <w:bCs/>
          <w:color w:val="auto"/>
          <w:spacing w:val="28"/>
          <w:sz w:val="40"/>
          <w:szCs w:val="40"/>
          <w:lang w:val="en-US" w:eastAsia="zh-CN"/>
        </w:rPr>
      </w:pPr>
    </w:p>
    <w:p w14:paraId="629A94F5">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0" w:firstLineChars="0"/>
        <w:jc w:val="center"/>
        <w:textAlignment w:val="auto"/>
        <w:rPr>
          <w:rFonts w:hint="default" w:ascii="Times New Roman" w:hAnsi="Times New Roman" w:eastAsia="宋体" w:cs="Times New Roman"/>
          <w:b/>
          <w:bCs/>
          <w:color w:val="auto"/>
          <w:spacing w:val="28"/>
          <w:sz w:val="32"/>
          <w:szCs w:val="32"/>
          <w:lang w:val="en-US" w:eastAsia="zh-CN"/>
        </w:rPr>
      </w:pPr>
      <w:r>
        <w:rPr>
          <w:rFonts w:hint="default" w:ascii="Times New Roman" w:hAnsi="Times New Roman" w:eastAsia="宋体" w:cs="Times New Roman"/>
          <w:b/>
          <w:bCs/>
          <w:color w:val="auto"/>
          <w:spacing w:val="28"/>
          <w:sz w:val="32"/>
          <w:szCs w:val="32"/>
          <w:lang w:val="en-US" w:eastAsia="zh-CN"/>
        </w:rPr>
        <w:t>编制单位：新晃产业开发区管理委员会</w:t>
      </w:r>
      <w:r>
        <w:rPr>
          <w:rFonts w:hint="default" w:ascii="Times New Roman" w:hAnsi="Times New Roman" w:eastAsia="宋体" w:cs="Times New Roman"/>
          <w:b/>
          <w:bCs/>
          <w:color w:val="auto"/>
          <w:spacing w:val="0"/>
          <w:sz w:val="32"/>
          <w:szCs w:val="32"/>
          <w:lang w:eastAsia="zh-CN"/>
        </w:rPr>
        <w:t>（</w:t>
      </w:r>
      <w:r>
        <w:rPr>
          <w:rFonts w:hint="default" w:ascii="Times New Roman" w:hAnsi="Times New Roman" w:eastAsia="宋体" w:cs="Times New Roman"/>
          <w:b/>
          <w:bCs/>
          <w:color w:val="auto"/>
          <w:spacing w:val="0"/>
          <w:sz w:val="32"/>
          <w:szCs w:val="32"/>
          <w:lang w:val="en-US" w:eastAsia="zh-CN"/>
        </w:rPr>
        <w:t>盖章）</w:t>
      </w:r>
    </w:p>
    <w:p w14:paraId="460D8FA9">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0" w:firstLineChars="0"/>
        <w:jc w:val="center"/>
        <w:textAlignment w:val="auto"/>
        <w:rPr>
          <w:rFonts w:hint="default" w:ascii="Times New Roman" w:hAnsi="Times New Roman" w:eastAsia="宋体" w:cs="Times New Roman"/>
          <w:b/>
          <w:bCs/>
          <w:color w:val="auto"/>
          <w:spacing w:val="28"/>
          <w:sz w:val="32"/>
          <w:szCs w:val="32"/>
          <w:lang w:val="en-US" w:eastAsia="zh-CN"/>
        </w:rPr>
      </w:pPr>
      <w:r>
        <w:rPr>
          <w:rFonts w:hint="default" w:ascii="Times New Roman" w:hAnsi="Times New Roman" w:eastAsia="宋体" w:cs="Times New Roman"/>
          <w:b/>
          <w:bCs/>
          <w:color w:val="auto"/>
          <w:spacing w:val="28"/>
          <w:sz w:val="32"/>
          <w:szCs w:val="32"/>
          <w:lang w:val="en-US" w:eastAsia="zh-CN"/>
        </w:rPr>
        <w:t>202</w:t>
      </w:r>
      <w:r>
        <w:rPr>
          <w:rFonts w:hint="eastAsia" w:ascii="Times New Roman" w:hAnsi="Times New Roman" w:eastAsia="宋体" w:cs="Times New Roman"/>
          <w:b/>
          <w:bCs/>
          <w:color w:val="auto"/>
          <w:spacing w:val="28"/>
          <w:sz w:val="32"/>
          <w:szCs w:val="32"/>
          <w:lang w:val="en-US" w:eastAsia="zh-CN"/>
        </w:rPr>
        <w:t>6</w:t>
      </w:r>
      <w:r>
        <w:rPr>
          <w:rFonts w:hint="default" w:ascii="Times New Roman" w:hAnsi="Times New Roman" w:eastAsia="宋体" w:cs="Times New Roman"/>
          <w:b/>
          <w:bCs/>
          <w:color w:val="auto"/>
          <w:spacing w:val="28"/>
          <w:sz w:val="32"/>
          <w:szCs w:val="32"/>
          <w:lang w:val="en-US" w:eastAsia="zh-CN"/>
        </w:rPr>
        <w:t>年</w:t>
      </w:r>
      <w:r>
        <w:rPr>
          <w:rFonts w:hint="eastAsia" w:ascii="Times New Roman" w:hAnsi="Times New Roman" w:eastAsia="宋体" w:cs="Times New Roman"/>
          <w:b/>
          <w:bCs/>
          <w:color w:val="auto"/>
          <w:spacing w:val="28"/>
          <w:sz w:val="32"/>
          <w:szCs w:val="32"/>
          <w:lang w:val="en-US" w:eastAsia="zh-CN"/>
        </w:rPr>
        <w:t>7</w:t>
      </w:r>
      <w:r>
        <w:rPr>
          <w:rFonts w:hint="default" w:ascii="Times New Roman" w:hAnsi="Times New Roman" w:eastAsia="宋体" w:cs="Times New Roman"/>
          <w:b/>
          <w:bCs/>
          <w:color w:val="auto"/>
          <w:spacing w:val="28"/>
          <w:sz w:val="32"/>
          <w:szCs w:val="32"/>
          <w:lang w:val="en-US" w:eastAsia="zh-CN"/>
        </w:rPr>
        <w:t>月</w:t>
      </w:r>
    </w:p>
    <w:p w14:paraId="1ADE6668">
      <w:pPr>
        <w:pStyle w:val="20"/>
        <w:rPr>
          <w:rFonts w:hint="default" w:ascii="Times New Roman" w:hAnsi="Times New Roman" w:eastAsia="宋体" w:cs="Times New Roman"/>
          <w:b/>
          <w:bCs/>
          <w:color w:val="auto"/>
          <w:spacing w:val="28"/>
          <w:sz w:val="32"/>
          <w:szCs w:val="32"/>
          <w:lang w:val="en-US" w:eastAsia="zh-CN"/>
        </w:rPr>
        <w:sectPr>
          <w:pgSz w:w="11906" w:h="16838"/>
          <w:pgMar w:top="1440" w:right="1440" w:bottom="1803"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sdt>
      <w:sdtPr>
        <w:rPr>
          <w:rFonts w:hint="default" w:ascii="Times New Roman" w:hAnsi="Times New Roman" w:eastAsia="宋体" w:cs="Times New Roman"/>
          <w:kern w:val="2"/>
          <w:sz w:val="44"/>
          <w:szCs w:val="44"/>
          <w:lang w:val="en-US" w:eastAsia="zh-CN" w:bidi="ar-SA"/>
        </w:rPr>
        <w:id w:val="147472465"/>
        <w15:color w:val="DBDBDB"/>
        <w:docPartObj>
          <w:docPartGallery w:val="Table of Contents"/>
          <w:docPartUnique/>
        </w:docPartObj>
      </w:sdtPr>
      <w:sdtEndPr>
        <w:rPr>
          <w:rFonts w:hint="default" w:ascii="Times New Roman" w:hAnsi="Times New Roman" w:eastAsia="宋体" w:cs="Times New Roman"/>
          <w:b/>
          <w:bCs/>
          <w:color w:val="auto"/>
          <w:spacing w:val="28"/>
          <w:kern w:val="2"/>
          <w:sz w:val="24"/>
          <w:szCs w:val="32"/>
          <w:lang w:val="en-US" w:eastAsia="zh-CN" w:bidi="ar-SA"/>
        </w:rPr>
      </w:sdtEndPr>
      <w:sdtContent>
        <w:p w14:paraId="390FB825">
          <w:pPr>
            <w:spacing w:before="0" w:beforeLines="0" w:after="0" w:afterLines="0" w:line="240" w:lineRule="auto"/>
            <w:ind w:left="0" w:leftChars="0" w:right="0" w:rightChars="0" w:firstLine="0" w:firstLineChars="0"/>
            <w:jc w:val="center"/>
            <w:rPr>
              <w:rFonts w:hint="default" w:ascii="Times New Roman" w:hAnsi="Times New Roman" w:eastAsia="宋体" w:cs="Times New Roman"/>
              <w:sz w:val="40"/>
              <w:szCs w:val="40"/>
            </w:rPr>
          </w:pPr>
          <w:r>
            <w:rPr>
              <w:rFonts w:hint="default" w:ascii="Times New Roman" w:hAnsi="Times New Roman" w:eastAsia="宋体" w:cs="Times New Roman"/>
              <w:sz w:val="40"/>
              <w:szCs w:val="40"/>
            </w:rPr>
            <w:t>目录</w:t>
          </w:r>
        </w:p>
        <w:p w14:paraId="77188109">
          <w:pPr>
            <w:pStyle w:val="10"/>
            <w:tabs>
              <w:tab w:val="right" w:leader="dot" w:pos="8666"/>
            </w:tabs>
          </w:pPr>
          <w:r>
            <w:rPr>
              <w:rFonts w:hint="default" w:ascii="Times New Roman" w:hAnsi="Times New Roman" w:eastAsia="宋体" w:cs="Times New Roman"/>
              <w:b/>
              <w:bCs/>
              <w:color w:val="auto"/>
              <w:spacing w:val="28"/>
              <w:sz w:val="24"/>
              <w:szCs w:val="24"/>
              <w:lang w:val="en-US" w:eastAsia="zh-CN"/>
            </w:rPr>
            <w:fldChar w:fldCharType="begin"/>
          </w:r>
          <w:r>
            <w:rPr>
              <w:rFonts w:hint="default" w:ascii="Times New Roman" w:hAnsi="Times New Roman" w:eastAsia="宋体" w:cs="Times New Roman"/>
              <w:b/>
              <w:bCs/>
              <w:color w:val="auto"/>
              <w:spacing w:val="28"/>
              <w:sz w:val="24"/>
              <w:szCs w:val="24"/>
              <w:lang w:val="en-US" w:eastAsia="zh-CN"/>
            </w:rPr>
            <w:instrText xml:space="preserve">TOC \o "1-2" \h \u </w:instrText>
          </w:r>
          <w:r>
            <w:rPr>
              <w:rFonts w:hint="default" w:ascii="Times New Roman" w:hAnsi="Times New Roman" w:eastAsia="宋体" w:cs="Times New Roman"/>
              <w:b/>
              <w:bCs/>
              <w:color w:val="auto"/>
              <w:spacing w:val="28"/>
              <w:sz w:val="24"/>
              <w:szCs w:val="24"/>
              <w:lang w:val="en-US" w:eastAsia="zh-CN"/>
            </w:rPr>
            <w:fldChar w:fldCharType="separate"/>
          </w: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_Toc28367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szCs w:val="20"/>
            </w:rPr>
            <w:t>一、园区概况</w:t>
          </w:r>
          <w:r>
            <w:tab/>
          </w:r>
          <w:r>
            <w:fldChar w:fldCharType="begin"/>
          </w:r>
          <w:r>
            <w:instrText xml:space="preserve"> PAGEREF _Toc28367 \h </w:instrText>
          </w:r>
          <w:r>
            <w:fldChar w:fldCharType="separate"/>
          </w:r>
          <w:r>
            <w:t>- 1 -</w:t>
          </w:r>
          <w:r>
            <w:fldChar w:fldCharType="end"/>
          </w:r>
          <w:r>
            <w:rPr>
              <w:rFonts w:hint="default" w:ascii="Times New Roman" w:hAnsi="Times New Roman" w:eastAsia="宋体" w:cs="Times New Roman"/>
              <w:bCs/>
              <w:color w:val="auto"/>
              <w:spacing w:val="28"/>
              <w:szCs w:val="24"/>
              <w:lang w:val="en-US" w:eastAsia="zh-CN"/>
            </w:rPr>
            <w:fldChar w:fldCharType="end"/>
          </w:r>
        </w:p>
        <w:p w14:paraId="6D93E826">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_Toc19653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1.1园区简介</w:t>
          </w:r>
          <w:r>
            <w:tab/>
          </w:r>
          <w:r>
            <w:fldChar w:fldCharType="begin"/>
          </w:r>
          <w:r>
            <w:instrText xml:space="preserve"> PAGEREF _Toc19653 \h </w:instrText>
          </w:r>
          <w:r>
            <w:fldChar w:fldCharType="separate"/>
          </w:r>
          <w:r>
            <w:t>- 1 -</w:t>
          </w:r>
          <w:r>
            <w:fldChar w:fldCharType="end"/>
          </w:r>
          <w:r>
            <w:rPr>
              <w:rFonts w:hint="default" w:ascii="Times New Roman" w:hAnsi="Times New Roman" w:eastAsia="宋体" w:cs="Times New Roman"/>
              <w:bCs/>
              <w:color w:val="auto"/>
              <w:spacing w:val="28"/>
              <w:szCs w:val="24"/>
              <w:lang w:val="en-US" w:eastAsia="zh-CN"/>
            </w:rPr>
            <w:fldChar w:fldCharType="end"/>
          </w:r>
        </w:p>
        <w:p w14:paraId="4FEC9B17">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_Toc9517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1.2园区规划环评批复情况</w:t>
          </w:r>
          <w:r>
            <w:tab/>
          </w:r>
          <w:r>
            <w:fldChar w:fldCharType="begin"/>
          </w:r>
          <w:r>
            <w:instrText xml:space="preserve"> PAGEREF _Toc9517 \h </w:instrText>
          </w:r>
          <w:r>
            <w:fldChar w:fldCharType="separate"/>
          </w:r>
          <w:r>
            <w:t>- 1 -</w:t>
          </w:r>
          <w:r>
            <w:fldChar w:fldCharType="end"/>
          </w:r>
          <w:r>
            <w:rPr>
              <w:rFonts w:hint="default" w:ascii="Times New Roman" w:hAnsi="Times New Roman" w:eastAsia="宋体" w:cs="Times New Roman"/>
              <w:bCs/>
              <w:color w:val="auto"/>
              <w:spacing w:val="28"/>
              <w:szCs w:val="24"/>
              <w:lang w:val="en-US" w:eastAsia="zh-CN"/>
            </w:rPr>
            <w:fldChar w:fldCharType="end"/>
          </w:r>
        </w:p>
        <w:p w14:paraId="786CAB89">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_Toc3850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highlight w:val="none"/>
              <w:lang w:val="en-US" w:eastAsia="zh-CN"/>
            </w:rPr>
            <w:t>1.3园区经济发展概况</w:t>
          </w:r>
          <w:r>
            <w:tab/>
          </w:r>
          <w:r>
            <w:fldChar w:fldCharType="begin"/>
          </w:r>
          <w:r>
            <w:instrText xml:space="preserve"> PAGEREF _Toc3850 \h </w:instrText>
          </w:r>
          <w:r>
            <w:fldChar w:fldCharType="separate"/>
          </w:r>
          <w:r>
            <w:t>- 2 -</w:t>
          </w:r>
          <w:r>
            <w:fldChar w:fldCharType="end"/>
          </w:r>
          <w:r>
            <w:rPr>
              <w:rFonts w:hint="default" w:ascii="Times New Roman" w:hAnsi="Times New Roman" w:eastAsia="宋体" w:cs="Times New Roman"/>
              <w:bCs/>
              <w:color w:val="auto"/>
              <w:spacing w:val="28"/>
              <w:szCs w:val="24"/>
              <w:lang w:val="en-US" w:eastAsia="zh-CN"/>
            </w:rPr>
            <w:fldChar w:fldCharType="end"/>
          </w:r>
        </w:p>
        <w:p w14:paraId="3CABD57E">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_Toc23146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1.4园区企业环保手续情况</w:t>
          </w:r>
          <w:r>
            <w:tab/>
          </w:r>
          <w:r>
            <w:fldChar w:fldCharType="begin"/>
          </w:r>
          <w:r>
            <w:instrText xml:space="preserve"> PAGEREF _Toc23146 \h </w:instrText>
          </w:r>
          <w:r>
            <w:fldChar w:fldCharType="separate"/>
          </w:r>
          <w:r>
            <w:t>- 2 -</w:t>
          </w:r>
          <w:r>
            <w:fldChar w:fldCharType="end"/>
          </w:r>
          <w:r>
            <w:rPr>
              <w:rFonts w:hint="default" w:ascii="Times New Roman" w:hAnsi="Times New Roman" w:eastAsia="宋体" w:cs="Times New Roman"/>
              <w:bCs/>
              <w:color w:val="auto"/>
              <w:spacing w:val="28"/>
              <w:szCs w:val="24"/>
              <w:lang w:val="en-US" w:eastAsia="zh-CN"/>
            </w:rPr>
            <w:fldChar w:fldCharType="end"/>
          </w:r>
        </w:p>
        <w:p w14:paraId="59E0BE4F">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_Toc30419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1.5园区主要污染物总量控制情况</w:t>
          </w:r>
          <w:r>
            <w:tab/>
          </w:r>
          <w:r>
            <w:fldChar w:fldCharType="begin"/>
          </w:r>
          <w:r>
            <w:instrText xml:space="preserve"> PAGEREF _Toc30419 \h </w:instrText>
          </w:r>
          <w:r>
            <w:fldChar w:fldCharType="separate"/>
          </w:r>
          <w:r>
            <w:t>- 4 -</w:t>
          </w:r>
          <w:r>
            <w:fldChar w:fldCharType="end"/>
          </w:r>
          <w:r>
            <w:rPr>
              <w:rFonts w:hint="default" w:ascii="Times New Roman" w:hAnsi="Times New Roman" w:eastAsia="宋体" w:cs="Times New Roman"/>
              <w:bCs/>
              <w:color w:val="auto"/>
              <w:spacing w:val="28"/>
              <w:szCs w:val="24"/>
              <w:lang w:val="en-US" w:eastAsia="zh-CN"/>
            </w:rPr>
            <w:fldChar w:fldCharType="end"/>
          </w:r>
        </w:p>
        <w:p w14:paraId="6E053932">
          <w:pPr>
            <w:pStyle w:val="10"/>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_Toc6571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szCs w:val="20"/>
            </w:rPr>
            <w:t>二、环境管理情况</w:t>
          </w:r>
          <w:r>
            <w:tab/>
          </w:r>
          <w:r>
            <w:fldChar w:fldCharType="begin"/>
          </w:r>
          <w:r>
            <w:instrText xml:space="preserve"> PAGEREF _Toc6571 \h </w:instrText>
          </w:r>
          <w:r>
            <w:fldChar w:fldCharType="separate"/>
          </w:r>
          <w:r>
            <w:t>- 6 -</w:t>
          </w:r>
          <w:r>
            <w:fldChar w:fldCharType="end"/>
          </w:r>
          <w:r>
            <w:rPr>
              <w:rFonts w:hint="default" w:ascii="Times New Roman" w:hAnsi="Times New Roman" w:eastAsia="宋体" w:cs="Times New Roman"/>
              <w:bCs/>
              <w:color w:val="auto"/>
              <w:spacing w:val="28"/>
              <w:szCs w:val="24"/>
              <w:lang w:val="en-US" w:eastAsia="zh-CN"/>
            </w:rPr>
            <w:fldChar w:fldCharType="end"/>
          </w:r>
        </w:p>
        <w:p w14:paraId="782689C2">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_Toc11735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highlight w:val="none"/>
              <w:lang w:val="en-US" w:eastAsia="zh-CN"/>
            </w:rPr>
            <w:t>2.1规划环评批复要求落实情况</w:t>
          </w:r>
          <w:r>
            <w:tab/>
          </w:r>
          <w:r>
            <w:fldChar w:fldCharType="begin"/>
          </w:r>
          <w:r>
            <w:instrText xml:space="preserve"> PAGEREF _Toc11735 \h </w:instrText>
          </w:r>
          <w:r>
            <w:fldChar w:fldCharType="separate"/>
          </w:r>
          <w:r>
            <w:t>- 6 -</w:t>
          </w:r>
          <w:r>
            <w:fldChar w:fldCharType="end"/>
          </w:r>
          <w:r>
            <w:rPr>
              <w:rFonts w:hint="default" w:ascii="Times New Roman" w:hAnsi="Times New Roman" w:eastAsia="宋体" w:cs="Times New Roman"/>
              <w:bCs/>
              <w:color w:val="auto"/>
              <w:spacing w:val="28"/>
              <w:szCs w:val="24"/>
              <w:lang w:val="en-US" w:eastAsia="zh-CN"/>
            </w:rPr>
            <w:fldChar w:fldCharType="end"/>
          </w:r>
        </w:p>
        <w:p w14:paraId="3CAE5387">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_Toc3180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2.2“三线一单”落地应用情况</w:t>
          </w:r>
          <w:r>
            <w:tab/>
          </w:r>
          <w:r>
            <w:fldChar w:fldCharType="begin"/>
          </w:r>
          <w:r>
            <w:instrText xml:space="preserve"> PAGEREF _Toc3180 \h </w:instrText>
          </w:r>
          <w:r>
            <w:fldChar w:fldCharType="separate"/>
          </w:r>
          <w:r>
            <w:t>- 9 -</w:t>
          </w:r>
          <w:r>
            <w:fldChar w:fldCharType="end"/>
          </w:r>
          <w:r>
            <w:rPr>
              <w:rFonts w:hint="default" w:ascii="Times New Roman" w:hAnsi="Times New Roman" w:eastAsia="宋体" w:cs="Times New Roman"/>
              <w:bCs/>
              <w:color w:val="auto"/>
              <w:spacing w:val="28"/>
              <w:szCs w:val="24"/>
              <w:lang w:val="en-US" w:eastAsia="zh-CN"/>
            </w:rPr>
            <w:fldChar w:fldCharType="end"/>
          </w:r>
        </w:p>
        <w:p w14:paraId="4E871487">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_Toc11220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2.3</w:t>
          </w:r>
          <w:r>
            <w:rPr>
              <w:rFonts w:hint="eastAsia" w:ascii="Times New Roman" w:hAnsi="Times New Roman" w:cs="Times New Roman"/>
              <w:lang w:val="en-US" w:eastAsia="zh-CN"/>
            </w:rPr>
            <w:t>环境监测情况</w:t>
          </w:r>
          <w:r>
            <w:tab/>
          </w:r>
          <w:r>
            <w:fldChar w:fldCharType="begin"/>
          </w:r>
          <w:r>
            <w:instrText xml:space="preserve"> PAGEREF _Toc11220 \h </w:instrText>
          </w:r>
          <w:r>
            <w:fldChar w:fldCharType="separate"/>
          </w:r>
          <w:r>
            <w:t>- 18 -</w:t>
          </w:r>
          <w:r>
            <w:fldChar w:fldCharType="end"/>
          </w:r>
          <w:r>
            <w:rPr>
              <w:rFonts w:hint="default" w:ascii="Times New Roman" w:hAnsi="Times New Roman" w:eastAsia="宋体" w:cs="Times New Roman"/>
              <w:bCs/>
              <w:color w:val="auto"/>
              <w:spacing w:val="28"/>
              <w:szCs w:val="24"/>
              <w:lang w:val="en-US" w:eastAsia="zh-CN"/>
            </w:rPr>
            <w:fldChar w:fldCharType="end"/>
          </w:r>
        </w:p>
        <w:p w14:paraId="5B7E5127">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_Toc14038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w:t>
          </w:r>
          <w:r>
            <w:rPr>
              <w:rFonts w:hint="eastAsia" w:ascii="Times New Roman" w:hAnsi="Times New Roman" w:cs="Times New Roman"/>
              <w:lang w:val="en-US" w:eastAsia="zh-CN"/>
            </w:rPr>
            <w:t>4</w:t>
          </w:r>
          <w:r>
            <w:rPr>
              <w:rFonts w:hint="default" w:ascii="Times New Roman" w:hAnsi="Times New Roman" w:cs="Times New Roman"/>
              <w:lang w:val="en-US" w:eastAsia="zh-CN"/>
            </w:rPr>
            <w:t>水环境管理</w:t>
          </w:r>
          <w:r>
            <w:tab/>
          </w:r>
          <w:r>
            <w:fldChar w:fldCharType="begin"/>
          </w:r>
          <w:r>
            <w:instrText xml:space="preserve"> PAGEREF _Toc14038 \h </w:instrText>
          </w:r>
          <w:r>
            <w:fldChar w:fldCharType="separate"/>
          </w:r>
          <w:r>
            <w:t>- 20 -</w:t>
          </w:r>
          <w:r>
            <w:fldChar w:fldCharType="end"/>
          </w:r>
          <w:r>
            <w:rPr>
              <w:rFonts w:hint="default" w:ascii="Times New Roman" w:hAnsi="Times New Roman" w:eastAsia="宋体" w:cs="Times New Roman"/>
              <w:bCs/>
              <w:color w:val="auto"/>
              <w:spacing w:val="28"/>
              <w:szCs w:val="24"/>
              <w:lang w:val="en-US" w:eastAsia="zh-CN"/>
            </w:rPr>
            <w:fldChar w:fldCharType="end"/>
          </w:r>
        </w:p>
        <w:p w14:paraId="56DC4D04">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_Toc18957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w:t>
          </w:r>
          <w:r>
            <w:rPr>
              <w:rFonts w:hint="eastAsia" w:ascii="Times New Roman" w:hAnsi="Times New Roman" w:cs="Times New Roman"/>
              <w:lang w:val="en-US" w:eastAsia="zh-CN"/>
            </w:rPr>
            <w:t>5</w:t>
          </w:r>
          <w:r>
            <w:rPr>
              <w:rFonts w:hint="default" w:ascii="Times New Roman" w:hAnsi="Times New Roman" w:cs="Times New Roman"/>
              <w:lang w:val="en-US" w:eastAsia="zh-CN"/>
            </w:rPr>
            <w:t>大气环境管理</w:t>
          </w:r>
          <w:r>
            <w:tab/>
          </w:r>
          <w:r>
            <w:fldChar w:fldCharType="begin"/>
          </w:r>
          <w:r>
            <w:instrText xml:space="preserve"> PAGEREF _Toc18957 \h </w:instrText>
          </w:r>
          <w:r>
            <w:fldChar w:fldCharType="separate"/>
          </w:r>
          <w:r>
            <w:t>- 21 -</w:t>
          </w:r>
          <w:r>
            <w:fldChar w:fldCharType="end"/>
          </w:r>
          <w:r>
            <w:rPr>
              <w:rFonts w:hint="default" w:ascii="Times New Roman" w:hAnsi="Times New Roman" w:eastAsia="宋体" w:cs="Times New Roman"/>
              <w:bCs/>
              <w:color w:val="auto"/>
              <w:spacing w:val="28"/>
              <w:szCs w:val="24"/>
              <w:lang w:val="en-US" w:eastAsia="zh-CN"/>
            </w:rPr>
            <w:fldChar w:fldCharType="end"/>
          </w:r>
        </w:p>
        <w:p w14:paraId="3421FC36">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_Toc25566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w:t>
          </w:r>
          <w:r>
            <w:rPr>
              <w:rFonts w:hint="eastAsia" w:ascii="Times New Roman" w:hAnsi="Times New Roman" w:cs="Times New Roman"/>
              <w:lang w:val="en-US" w:eastAsia="zh-CN"/>
            </w:rPr>
            <w:t>6</w:t>
          </w:r>
          <w:r>
            <w:rPr>
              <w:rFonts w:hint="default" w:ascii="Times New Roman" w:hAnsi="Times New Roman" w:cs="Times New Roman"/>
              <w:lang w:val="en-US" w:eastAsia="zh-CN"/>
            </w:rPr>
            <w:t>土壤环境管理</w:t>
          </w:r>
          <w:r>
            <w:tab/>
          </w:r>
          <w:r>
            <w:fldChar w:fldCharType="begin"/>
          </w:r>
          <w:r>
            <w:instrText xml:space="preserve"> PAGEREF _Toc25566 \h </w:instrText>
          </w:r>
          <w:r>
            <w:fldChar w:fldCharType="separate"/>
          </w:r>
          <w:r>
            <w:t>- 21 -</w:t>
          </w:r>
          <w:r>
            <w:fldChar w:fldCharType="end"/>
          </w:r>
          <w:r>
            <w:rPr>
              <w:rFonts w:hint="default" w:ascii="Times New Roman" w:hAnsi="Times New Roman" w:eastAsia="宋体" w:cs="Times New Roman"/>
              <w:bCs/>
              <w:color w:val="auto"/>
              <w:spacing w:val="28"/>
              <w:szCs w:val="24"/>
              <w:lang w:val="en-US" w:eastAsia="zh-CN"/>
            </w:rPr>
            <w:fldChar w:fldCharType="end"/>
          </w:r>
        </w:p>
        <w:p w14:paraId="4A34E52D">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_Toc2940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w:t>
          </w:r>
          <w:r>
            <w:rPr>
              <w:rFonts w:hint="eastAsia" w:ascii="Times New Roman" w:hAnsi="Times New Roman" w:cs="Times New Roman"/>
              <w:lang w:val="en-US" w:eastAsia="zh-CN"/>
            </w:rPr>
            <w:t>7</w:t>
          </w:r>
          <w:r>
            <w:rPr>
              <w:rFonts w:hint="default" w:ascii="Times New Roman" w:hAnsi="Times New Roman" w:cs="Times New Roman"/>
              <w:lang w:val="en-US" w:eastAsia="zh-CN"/>
            </w:rPr>
            <w:t>固体废物管理</w:t>
          </w:r>
          <w:r>
            <w:tab/>
          </w:r>
          <w:r>
            <w:fldChar w:fldCharType="begin"/>
          </w:r>
          <w:r>
            <w:instrText xml:space="preserve"> PAGEREF _Toc2940 \h </w:instrText>
          </w:r>
          <w:r>
            <w:fldChar w:fldCharType="separate"/>
          </w:r>
          <w:r>
            <w:t>- 21 -</w:t>
          </w:r>
          <w:r>
            <w:fldChar w:fldCharType="end"/>
          </w:r>
          <w:r>
            <w:rPr>
              <w:rFonts w:hint="default" w:ascii="Times New Roman" w:hAnsi="Times New Roman" w:eastAsia="宋体" w:cs="Times New Roman"/>
              <w:bCs/>
              <w:color w:val="auto"/>
              <w:spacing w:val="28"/>
              <w:szCs w:val="24"/>
              <w:lang w:val="en-US" w:eastAsia="zh-CN"/>
            </w:rPr>
            <w:fldChar w:fldCharType="end"/>
          </w:r>
        </w:p>
        <w:p w14:paraId="512CCB09">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_Toc10016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w:t>
          </w:r>
          <w:r>
            <w:rPr>
              <w:rFonts w:hint="eastAsia" w:ascii="Times New Roman" w:hAnsi="Times New Roman" w:cs="Times New Roman"/>
              <w:lang w:val="en-US" w:eastAsia="zh-CN"/>
            </w:rPr>
            <w:t>8</w:t>
          </w:r>
          <w:r>
            <w:rPr>
              <w:rFonts w:hint="default" w:ascii="Times New Roman" w:hAnsi="Times New Roman" w:cs="Times New Roman"/>
              <w:lang w:val="en-US" w:eastAsia="zh-CN"/>
            </w:rPr>
            <w:t>投诉管理</w:t>
          </w:r>
          <w:r>
            <w:tab/>
          </w:r>
          <w:r>
            <w:fldChar w:fldCharType="begin"/>
          </w:r>
          <w:r>
            <w:instrText xml:space="preserve"> PAGEREF _Toc10016 \h </w:instrText>
          </w:r>
          <w:r>
            <w:fldChar w:fldCharType="separate"/>
          </w:r>
          <w:r>
            <w:t>- 22 -</w:t>
          </w:r>
          <w:r>
            <w:fldChar w:fldCharType="end"/>
          </w:r>
          <w:r>
            <w:rPr>
              <w:rFonts w:hint="default" w:ascii="Times New Roman" w:hAnsi="Times New Roman" w:eastAsia="宋体" w:cs="Times New Roman"/>
              <w:bCs/>
              <w:color w:val="auto"/>
              <w:spacing w:val="28"/>
              <w:szCs w:val="24"/>
              <w:lang w:val="en-US" w:eastAsia="zh-CN"/>
            </w:rPr>
            <w:fldChar w:fldCharType="end"/>
          </w:r>
        </w:p>
        <w:p w14:paraId="4F6CE5DD">
          <w:pPr>
            <w:pStyle w:val="11"/>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_Toc1963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lang w:val="en-US" w:eastAsia="zh-CN"/>
            </w:rPr>
            <w:t>2.</w:t>
          </w:r>
          <w:r>
            <w:rPr>
              <w:rFonts w:hint="eastAsia" w:ascii="Times New Roman" w:hAnsi="Times New Roman" w:cs="Times New Roman"/>
              <w:lang w:val="en-US" w:eastAsia="zh-CN"/>
            </w:rPr>
            <w:t>9</w:t>
          </w:r>
          <w:r>
            <w:rPr>
              <w:rFonts w:hint="default" w:ascii="Times New Roman" w:hAnsi="Times New Roman" w:cs="Times New Roman"/>
              <w:lang w:val="en-US" w:eastAsia="zh-CN"/>
            </w:rPr>
            <w:t>园区信用评价</w:t>
          </w:r>
          <w:r>
            <w:tab/>
          </w:r>
          <w:r>
            <w:fldChar w:fldCharType="begin"/>
          </w:r>
          <w:r>
            <w:instrText xml:space="preserve"> PAGEREF _Toc1963 \h </w:instrText>
          </w:r>
          <w:r>
            <w:fldChar w:fldCharType="separate"/>
          </w:r>
          <w:r>
            <w:t>- 22 -</w:t>
          </w:r>
          <w:r>
            <w:fldChar w:fldCharType="end"/>
          </w:r>
          <w:r>
            <w:rPr>
              <w:rFonts w:hint="default" w:ascii="Times New Roman" w:hAnsi="Times New Roman" w:eastAsia="宋体" w:cs="Times New Roman"/>
              <w:bCs/>
              <w:color w:val="auto"/>
              <w:spacing w:val="28"/>
              <w:szCs w:val="24"/>
              <w:lang w:val="en-US" w:eastAsia="zh-CN"/>
            </w:rPr>
            <w:fldChar w:fldCharType="end"/>
          </w:r>
        </w:p>
        <w:p w14:paraId="70AAD0ED">
          <w:pPr>
            <w:pStyle w:val="10"/>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_Toc19158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szCs w:val="20"/>
            </w:rPr>
            <w:t>三、园区环保工作成效、主要措施做法</w:t>
          </w:r>
          <w:r>
            <w:tab/>
          </w:r>
          <w:r>
            <w:fldChar w:fldCharType="begin"/>
          </w:r>
          <w:r>
            <w:instrText xml:space="preserve"> PAGEREF _Toc19158 \h </w:instrText>
          </w:r>
          <w:r>
            <w:fldChar w:fldCharType="separate"/>
          </w:r>
          <w:r>
            <w:t>- 32 -</w:t>
          </w:r>
          <w:r>
            <w:fldChar w:fldCharType="end"/>
          </w:r>
          <w:r>
            <w:rPr>
              <w:rFonts w:hint="default" w:ascii="Times New Roman" w:hAnsi="Times New Roman" w:eastAsia="宋体" w:cs="Times New Roman"/>
              <w:bCs/>
              <w:color w:val="auto"/>
              <w:spacing w:val="28"/>
              <w:szCs w:val="24"/>
              <w:lang w:val="en-US" w:eastAsia="zh-CN"/>
            </w:rPr>
            <w:fldChar w:fldCharType="end"/>
          </w:r>
        </w:p>
        <w:p w14:paraId="30480BAD">
          <w:pPr>
            <w:pStyle w:val="10"/>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_Toc5469 </w:instrText>
          </w:r>
          <w:r>
            <w:rPr>
              <w:rFonts w:hint="default" w:ascii="Times New Roman" w:hAnsi="Times New Roman" w:eastAsia="宋体" w:cs="Times New Roman"/>
              <w:bCs/>
              <w:spacing w:val="28"/>
              <w:szCs w:val="24"/>
              <w:lang w:val="en-US" w:eastAsia="zh-CN"/>
            </w:rPr>
            <w:fldChar w:fldCharType="separate"/>
          </w:r>
          <w:r>
            <w:rPr>
              <w:rFonts w:hint="default"/>
            </w:rPr>
            <w:t>四、园区生态环境管理存在主要问题和难题</w:t>
          </w:r>
          <w:r>
            <w:tab/>
          </w:r>
          <w:r>
            <w:fldChar w:fldCharType="begin"/>
          </w:r>
          <w:r>
            <w:instrText xml:space="preserve"> PAGEREF _Toc5469 \h </w:instrText>
          </w:r>
          <w:r>
            <w:fldChar w:fldCharType="separate"/>
          </w:r>
          <w:r>
            <w:t>- 33 -</w:t>
          </w:r>
          <w:r>
            <w:fldChar w:fldCharType="end"/>
          </w:r>
          <w:r>
            <w:rPr>
              <w:rFonts w:hint="default" w:ascii="Times New Roman" w:hAnsi="Times New Roman" w:eastAsia="宋体" w:cs="Times New Roman"/>
              <w:bCs/>
              <w:color w:val="auto"/>
              <w:spacing w:val="28"/>
              <w:szCs w:val="24"/>
              <w:lang w:val="en-US" w:eastAsia="zh-CN"/>
            </w:rPr>
            <w:fldChar w:fldCharType="end"/>
          </w:r>
        </w:p>
        <w:p w14:paraId="498BCB9F">
          <w:pPr>
            <w:pStyle w:val="10"/>
            <w:tabs>
              <w:tab w:val="right" w:leader="dot" w:pos="8666"/>
            </w:tabs>
          </w:pPr>
          <w:r>
            <w:rPr>
              <w:rFonts w:hint="default" w:ascii="Times New Roman" w:hAnsi="Times New Roman" w:eastAsia="宋体" w:cs="Times New Roman"/>
              <w:bCs/>
              <w:color w:val="auto"/>
              <w:spacing w:val="28"/>
              <w:szCs w:val="24"/>
              <w:lang w:val="en-US" w:eastAsia="zh-CN"/>
            </w:rPr>
            <w:fldChar w:fldCharType="begin"/>
          </w:r>
          <w:r>
            <w:rPr>
              <w:rFonts w:hint="default" w:ascii="Times New Roman" w:hAnsi="Times New Roman" w:eastAsia="宋体" w:cs="Times New Roman"/>
              <w:bCs/>
              <w:spacing w:val="28"/>
              <w:szCs w:val="24"/>
              <w:lang w:val="en-US" w:eastAsia="zh-CN"/>
            </w:rPr>
            <w:instrText xml:space="preserve"> HYPERLINK \l _Toc29285 </w:instrText>
          </w:r>
          <w:r>
            <w:rPr>
              <w:rFonts w:hint="default" w:ascii="Times New Roman" w:hAnsi="Times New Roman" w:eastAsia="宋体" w:cs="Times New Roman"/>
              <w:bCs/>
              <w:spacing w:val="28"/>
              <w:szCs w:val="24"/>
              <w:lang w:val="en-US" w:eastAsia="zh-CN"/>
            </w:rPr>
            <w:fldChar w:fldCharType="separate"/>
          </w:r>
          <w:r>
            <w:rPr>
              <w:rFonts w:hint="default" w:ascii="Times New Roman" w:hAnsi="Times New Roman" w:cs="Times New Roman"/>
              <w:szCs w:val="20"/>
            </w:rPr>
            <w:t>五、下一步工作计划</w:t>
          </w:r>
          <w:r>
            <w:tab/>
          </w:r>
          <w:r>
            <w:fldChar w:fldCharType="begin"/>
          </w:r>
          <w:r>
            <w:instrText xml:space="preserve"> PAGEREF _Toc29285 \h </w:instrText>
          </w:r>
          <w:r>
            <w:fldChar w:fldCharType="separate"/>
          </w:r>
          <w:r>
            <w:t>- 34 -</w:t>
          </w:r>
          <w:r>
            <w:fldChar w:fldCharType="end"/>
          </w:r>
          <w:r>
            <w:rPr>
              <w:rFonts w:hint="default" w:ascii="Times New Roman" w:hAnsi="Times New Roman" w:eastAsia="宋体" w:cs="Times New Roman"/>
              <w:bCs/>
              <w:color w:val="auto"/>
              <w:spacing w:val="28"/>
              <w:szCs w:val="24"/>
              <w:lang w:val="en-US" w:eastAsia="zh-CN"/>
            </w:rPr>
            <w:fldChar w:fldCharType="end"/>
          </w:r>
        </w:p>
        <w:p w14:paraId="34FBB9E5">
          <w:pPr>
            <w:pStyle w:val="20"/>
            <w:rPr>
              <w:rFonts w:hint="default" w:ascii="Times New Roman" w:hAnsi="Times New Roman" w:eastAsia="宋体" w:cs="Times New Roman"/>
              <w:b/>
              <w:bCs/>
              <w:color w:val="auto"/>
              <w:spacing w:val="28"/>
              <w:sz w:val="32"/>
              <w:szCs w:val="32"/>
              <w:lang w:val="en-US" w:eastAsia="zh-CN"/>
            </w:rPr>
            <w:sectPr>
              <w:footerReference r:id="rId3" w:type="default"/>
              <w:pgSz w:w="11906" w:h="16838"/>
              <w:pgMar w:top="1440" w:right="1440" w:bottom="1803"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宋体" w:cs="Times New Roman"/>
              <w:bCs/>
              <w:color w:val="auto"/>
              <w:spacing w:val="28"/>
              <w:szCs w:val="24"/>
              <w:lang w:val="en-US" w:eastAsia="zh-CN"/>
            </w:rPr>
            <w:fldChar w:fldCharType="end"/>
          </w:r>
        </w:p>
      </w:sdtContent>
    </w:sdt>
    <w:p w14:paraId="40A0E546">
      <w:pPr>
        <w:pStyle w:val="2"/>
        <w:bidi w:val="0"/>
        <w:rPr>
          <w:rFonts w:hint="default" w:ascii="Times New Roman" w:hAnsi="Times New Roman" w:cs="Times New Roman"/>
          <w:sz w:val="36"/>
          <w:szCs w:val="20"/>
        </w:rPr>
      </w:pPr>
      <w:bookmarkStart w:id="1" w:name="_Toc28367"/>
      <w:r>
        <w:rPr>
          <w:rFonts w:hint="default" w:ascii="Times New Roman" w:hAnsi="Times New Roman" w:cs="Times New Roman"/>
          <w:sz w:val="36"/>
          <w:szCs w:val="20"/>
        </w:rPr>
        <w:t>一、园区概况</w:t>
      </w:r>
      <w:bookmarkEnd w:id="1"/>
    </w:p>
    <w:p w14:paraId="4961A3C1">
      <w:pPr>
        <w:pStyle w:val="3"/>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lang w:val="en-US" w:eastAsia="zh-CN"/>
        </w:rPr>
      </w:pPr>
      <w:bookmarkStart w:id="2" w:name="_Toc19653"/>
      <w:r>
        <w:rPr>
          <w:rFonts w:hint="default" w:ascii="Times New Roman" w:hAnsi="Times New Roman" w:cs="Times New Roman"/>
          <w:b/>
          <w:lang w:val="en-US" w:eastAsia="zh-CN"/>
        </w:rPr>
        <w:t>1.1园区简介</w:t>
      </w:r>
      <w:bookmarkEnd w:id="2"/>
    </w:p>
    <w:p w14:paraId="25F65132">
      <w:pPr>
        <w:pStyle w:val="16"/>
        <w:snapToGrid w:val="0"/>
        <w:spacing w:after="0" w:line="600" w:lineRule="exact"/>
        <w:ind w:left="0" w:leftChars="0" w:firstLine="643"/>
        <w:rPr>
          <w:rFonts w:hint="default" w:ascii="Times New Roman" w:hAnsi="Times New Roman" w:eastAsia="仿宋_GB2312" w:cs="Times New Roman"/>
          <w:sz w:val="32"/>
          <w:szCs w:val="32"/>
        </w:rPr>
      </w:pPr>
      <w:r>
        <w:rPr>
          <w:rFonts w:hint="default" w:ascii="Times New Roman" w:hAnsi="Times New Roman" w:eastAsia="仿宋" w:cs="Times New Roman"/>
          <w:kern w:val="2"/>
          <w:sz w:val="32"/>
          <w:szCs w:val="32"/>
          <w:lang w:val="en-US" w:eastAsia="zh-CN" w:bidi="ar-SA"/>
        </w:rPr>
        <w:t>新晃</w:t>
      </w:r>
      <w:r>
        <w:rPr>
          <w:rFonts w:hint="eastAsia" w:ascii="Times New Roman" w:hAnsi="Times New Roman" w:eastAsia="仿宋" w:cs="Times New Roman"/>
          <w:kern w:val="2"/>
          <w:sz w:val="32"/>
          <w:szCs w:val="32"/>
          <w:lang w:val="en-US" w:eastAsia="zh-CN" w:bidi="ar-SA"/>
        </w:rPr>
        <w:t>产业开发区</w:t>
      </w:r>
      <w:r>
        <w:rPr>
          <w:rFonts w:hint="default" w:ascii="Times New Roman" w:hAnsi="Times New Roman" w:eastAsia="仿宋" w:cs="Times New Roman"/>
          <w:kern w:val="2"/>
          <w:sz w:val="32"/>
          <w:szCs w:val="32"/>
          <w:lang w:val="en-US" w:eastAsia="zh-CN" w:bidi="ar-SA"/>
        </w:rPr>
        <w:t>前身为新晃前锋工业</w:t>
      </w:r>
      <w:r>
        <w:rPr>
          <w:rFonts w:hint="eastAsia" w:ascii="Times New Roman" w:hAnsi="Times New Roman" w:eastAsia="仿宋" w:cs="Times New Roman"/>
          <w:kern w:val="2"/>
          <w:sz w:val="32"/>
          <w:szCs w:val="32"/>
          <w:lang w:val="en-US" w:eastAsia="zh-CN" w:bidi="ar-SA"/>
        </w:rPr>
        <w:t>园</w:t>
      </w:r>
      <w:r>
        <w:rPr>
          <w:rFonts w:hint="default" w:ascii="Times New Roman" w:hAnsi="Times New Roman" w:eastAsia="仿宋" w:cs="Times New Roman"/>
          <w:kern w:val="2"/>
          <w:sz w:val="32"/>
          <w:szCs w:val="32"/>
          <w:lang w:val="en-US" w:eastAsia="zh-CN" w:bidi="ar-SA"/>
        </w:rPr>
        <w:t>，园区代码</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S439110，2010年新晃县委、县政府决定建设前锋工业园，选址新晃县鱼市镇，而后为加快园区建设，新晃县规划建设新晃工业集中区，并于2012年11月经湖南省人民政府批准成立省级工业集中区（湘政办函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2012</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187号）</w:t>
      </w:r>
      <w:r>
        <w:rPr>
          <w:rFonts w:hint="eastAsia" w:ascii="Times New Roman" w:hAnsi="Times New Roman" w:eastAsia="仿宋" w:cs="Times New Roman"/>
          <w:kern w:val="2"/>
          <w:sz w:val="32"/>
          <w:szCs w:val="32"/>
          <w:lang w:val="en-US" w:eastAsia="zh-CN" w:bidi="ar-SA"/>
        </w:rPr>
        <w:t>，于2021年7月经湖南省发展和改革委员会批准</w:t>
      </w:r>
      <w:r>
        <w:rPr>
          <w:rFonts w:hint="default" w:ascii="Times New Roman" w:hAnsi="Times New Roman" w:eastAsia="仿宋_GB2312" w:cs="Times New Roman"/>
          <w:sz w:val="32"/>
          <w:szCs w:val="32"/>
        </w:rPr>
        <w:t>更名为新晃产业开发区</w:t>
      </w:r>
      <w:r>
        <w:rPr>
          <w:rFonts w:hint="eastAsia" w:ascii="Times New Roman" w:hAnsi="Times New Roman" w:eastAsia="仿宋" w:cs="Times New Roman"/>
          <w:kern w:val="2"/>
          <w:sz w:val="32"/>
          <w:szCs w:val="32"/>
          <w:lang w:val="en-US" w:eastAsia="zh-CN" w:bidi="ar-SA"/>
        </w:rPr>
        <w:t>（湘发改地区〔2021〕517号）</w:t>
      </w:r>
      <w:r>
        <w:rPr>
          <w:rFonts w:hint="eastAsia" w:ascii="Times New Roman" w:hAnsi="Times New Roman" w:eastAsia="仿宋_GB2312" w:cs="Times New Roman"/>
          <w:sz w:val="32"/>
          <w:szCs w:val="32"/>
          <w:lang w:eastAsia="zh-CN"/>
        </w:rPr>
        <w:t>。</w:t>
      </w:r>
      <w:r>
        <w:rPr>
          <w:rFonts w:hint="default" w:ascii="Times New Roman" w:hAnsi="Times New Roman" w:eastAsia="仿宋" w:cs="Times New Roman"/>
          <w:kern w:val="2"/>
          <w:sz w:val="32"/>
          <w:szCs w:val="32"/>
          <w:lang w:val="en-US" w:eastAsia="zh-CN" w:bidi="ar-SA"/>
        </w:rPr>
        <w:t>2014年取得了湖南省环境保护厅《关于湖南省新晃工业集中区环境影响报告书的批复意见的函》（湘环评函</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2014</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16号），</w:t>
      </w:r>
      <w:r>
        <w:rPr>
          <w:rFonts w:hint="eastAsia" w:ascii="Times New Roman" w:hAnsi="Times New Roman" w:eastAsia="仿宋" w:cs="Times New Roman"/>
          <w:kern w:val="2"/>
          <w:sz w:val="32"/>
          <w:szCs w:val="32"/>
          <w:lang w:val="en-US" w:eastAsia="zh-CN" w:bidi="ar-SA"/>
        </w:rPr>
        <w:t>2021年10月21日取得湖南省生态环境厅关于《湖南新晃工业集中区调扩区规划环境影响报告书》审查意见的函，调扩区后为“一区两园”架构。</w:t>
      </w:r>
    </w:p>
    <w:p w14:paraId="6AE3BD85">
      <w:pPr>
        <w:pStyle w:val="16"/>
        <w:snapToGrid w:val="0"/>
        <w:spacing w:after="0" w:line="600" w:lineRule="exact"/>
        <w:ind w:left="0" w:leftChars="0" w:firstLine="643"/>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具体方案为：</w:t>
      </w:r>
    </w:p>
    <w:p w14:paraId="1C95303D">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1、前锋工业园鱼市镇片区：</w:t>
      </w:r>
      <w:r>
        <w:rPr>
          <w:rFonts w:hint="eastAsia" w:ascii="Times New Roman" w:hAnsi="Times New Roman" w:eastAsia="仿宋" w:cs="Times New Roman"/>
          <w:kern w:val="2"/>
          <w:sz w:val="32"/>
          <w:szCs w:val="32"/>
          <w:lang w:val="en-US" w:eastAsia="zh-CN" w:bidi="ar-SA"/>
        </w:rPr>
        <w:t>前锋工业园规划面积341.71公顷，西南临鱼市镇镇界，北至滨江路，东南至乐业路、光明路，</w:t>
      </w:r>
      <w:r>
        <w:rPr>
          <w:rFonts w:hint="default" w:ascii="Times New Roman" w:hAnsi="Times New Roman" w:eastAsia="仿宋" w:cs="Times New Roman"/>
          <w:kern w:val="2"/>
          <w:sz w:val="32"/>
          <w:szCs w:val="32"/>
          <w:lang w:val="en-US" w:eastAsia="zh-CN" w:bidi="ar-SA"/>
        </w:rPr>
        <w:t>主要布局化工产业、金属材料、新能源及装备产业，同时配套发展轻工电子产业，化工产业主要指专业化学品制造、无机盐制造、医药及日用化学品制造、涂料及类似产业制造。</w:t>
      </w:r>
    </w:p>
    <w:p w14:paraId="44833F56">
      <w:pPr>
        <w:pStyle w:val="16"/>
        <w:pageBreakBefore w:val="0"/>
        <w:widowControl w:val="0"/>
        <w:kinsoku/>
        <w:wordWrap/>
        <w:overflowPunct/>
        <w:topLinePunct w:val="0"/>
        <w:autoSpaceDE/>
        <w:autoSpaceDN/>
        <w:bidi w:val="0"/>
        <w:adjustRightInd/>
        <w:snapToGrid w:val="0"/>
        <w:spacing w:after="0" w:line="600" w:lineRule="exact"/>
        <w:ind w:left="0" w:leftChars="0" w:firstLine="643"/>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w:t>
      </w:r>
      <w:r>
        <w:rPr>
          <w:rFonts w:hint="default" w:ascii="Times New Roman" w:hAnsi="Times New Roman" w:eastAsia="仿宋" w:cs="Times New Roman"/>
          <w:kern w:val="2"/>
          <w:sz w:val="32"/>
          <w:szCs w:val="32"/>
          <w:lang w:val="en-US" w:eastAsia="zh-CN" w:bidi="ar-SA"/>
        </w:rPr>
        <w:t>、柏树林工业园：</w:t>
      </w:r>
      <w:r>
        <w:rPr>
          <w:rFonts w:hint="eastAsia" w:ascii="Times New Roman" w:hAnsi="Times New Roman" w:eastAsia="仿宋" w:cs="Times New Roman"/>
          <w:kern w:val="2"/>
          <w:sz w:val="32"/>
          <w:szCs w:val="32"/>
          <w:lang w:val="en-US" w:eastAsia="zh-CN" w:bidi="ar-SA"/>
        </w:rPr>
        <w:t>柏树林工业</w:t>
      </w:r>
      <w:r>
        <w:rPr>
          <w:rFonts w:hint="default" w:ascii="Times New Roman" w:hAnsi="Times New Roman" w:eastAsia="仿宋" w:cs="Times New Roman"/>
          <w:kern w:val="2"/>
          <w:sz w:val="32"/>
          <w:szCs w:val="32"/>
          <w:lang w:val="en-US" w:eastAsia="zh-CN" w:bidi="ar-SA"/>
        </w:rPr>
        <w:t>园</w:t>
      </w:r>
      <w:r>
        <w:rPr>
          <w:rFonts w:hint="eastAsia" w:ascii="Times New Roman" w:hAnsi="Times New Roman" w:eastAsia="仿宋" w:cs="Times New Roman"/>
          <w:kern w:val="2"/>
          <w:sz w:val="32"/>
          <w:szCs w:val="32"/>
          <w:lang w:val="en-US" w:eastAsia="zh-CN" w:bidi="ar-SA"/>
        </w:rPr>
        <w:t>规划面积31.72公顷，南临舞水河，北至湘黔铁路，省道S232与规划北环路的两侧，重点发展农产品深加工。</w:t>
      </w:r>
      <w:r>
        <w:rPr>
          <w:rFonts w:hint="default" w:ascii="Times New Roman" w:hAnsi="Times New Roman" w:eastAsia="仿宋" w:cs="Times New Roman"/>
          <w:kern w:val="2"/>
          <w:sz w:val="32"/>
          <w:szCs w:val="32"/>
          <w:lang w:val="en-US" w:eastAsia="zh-CN" w:bidi="ar-SA"/>
        </w:rPr>
        <w:t>已现有老蔡、乡土源等企业发展农产品加工产业区。</w:t>
      </w:r>
    </w:p>
    <w:p w14:paraId="548529C2">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lang w:val="en-US" w:eastAsia="zh-CN"/>
        </w:rPr>
      </w:pPr>
      <w:bookmarkStart w:id="3" w:name="_Toc9517"/>
      <w:r>
        <w:rPr>
          <w:rFonts w:hint="default" w:ascii="Times New Roman" w:hAnsi="Times New Roman" w:cs="Times New Roman"/>
          <w:b/>
          <w:lang w:val="en-US" w:eastAsia="zh-CN"/>
        </w:rPr>
        <w:t>1.2园区规划环评批复情况</w:t>
      </w:r>
      <w:bookmarkEnd w:id="3"/>
    </w:p>
    <w:p w14:paraId="68FD5DE5">
      <w:pPr>
        <w:pStyle w:val="16"/>
        <w:pageBreakBefore w:val="0"/>
        <w:widowControl w:val="0"/>
        <w:kinsoku/>
        <w:wordWrap/>
        <w:overflowPunct/>
        <w:topLinePunct w:val="0"/>
        <w:autoSpaceDE/>
        <w:autoSpaceDN/>
        <w:bidi w:val="0"/>
        <w:adjustRightInd/>
        <w:snapToGrid w:val="0"/>
        <w:spacing w:after="0" w:line="600" w:lineRule="exact"/>
        <w:ind w:left="0" w:leftChars="0" w:firstLine="643"/>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新晃</w:t>
      </w:r>
      <w:r>
        <w:rPr>
          <w:rFonts w:hint="eastAsia" w:ascii="Times New Roman" w:hAnsi="Times New Roman" w:eastAsia="仿宋" w:cs="Times New Roman"/>
          <w:kern w:val="2"/>
          <w:sz w:val="32"/>
          <w:szCs w:val="32"/>
          <w:lang w:val="en-US" w:eastAsia="zh-CN" w:bidi="ar-SA"/>
        </w:rPr>
        <w:t>产业开发区</w:t>
      </w:r>
      <w:r>
        <w:rPr>
          <w:rFonts w:hint="default" w:ascii="Times New Roman" w:hAnsi="Times New Roman" w:eastAsia="仿宋" w:cs="Times New Roman"/>
          <w:kern w:val="2"/>
          <w:sz w:val="32"/>
          <w:szCs w:val="32"/>
          <w:lang w:val="en-US" w:eastAsia="zh-CN" w:bidi="ar-SA"/>
        </w:rPr>
        <w:t>均按照国家及湖南省相关管理要求开展了园区规划环评、工业园区突发环境事件应急预案，具体如下：</w:t>
      </w:r>
    </w:p>
    <w:p w14:paraId="28B6F74D">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2014年，新晃侗族自治县工业集中区管理委员会委托湖南省环科院编制了《湖南省新晃工业集中区环境影响报告书》，并于2014年1月获得湖南省环境保护厅批复（湘环评函〔2014〕16号）且新一轮规划环评已通过评审会</w:t>
      </w:r>
      <w:r>
        <w:rPr>
          <w:rFonts w:hint="eastAsia" w:ascii="Times New Roman" w:hAnsi="Times New Roman" w:eastAsia="仿宋" w:cs="Times New Roman"/>
          <w:kern w:val="2"/>
          <w:sz w:val="32"/>
          <w:szCs w:val="32"/>
          <w:lang w:val="en-US" w:eastAsia="zh-CN" w:bidi="ar-SA"/>
        </w:rPr>
        <w:t>；2021年10月21日完成新晃工业集中区调扩区环评并取得湖南省生态环境厅关于《湖南新晃工业集中区调扩区规划环境影响报告书》审查意见的函</w:t>
      </w:r>
      <w:r>
        <w:rPr>
          <w:rFonts w:hint="default" w:ascii="Times New Roman" w:hAnsi="Times New Roman" w:eastAsia="仿宋" w:cs="Times New Roman"/>
          <w:kern w:val="2"/>
          <w:sz w:val="32"/>
          <w:szCs w:val="32"/>
          <w:lang w:val="en-US" w:eastAsia="zh-CN" w:bidi="ar-SA"/>
        </w:rPr>
        <w:t>（湘环评函〔</w:t>
      </w:r>
      <w:r>
        <w:rPr>
          <w:rFonts w:hint="eastAsia" w:ascii="Times New Roman" w:hAnsi="Times New Roman" w:eastAsia="仿宋" w:cs="Times New Roman"/>
          <w:kern w:val="2"/>
          <w:sz w:val="32"/>
          <w:szCs w:val="32"/>
          <w:lang w:val="en-US" w:eastAsia="zh-CN" w:bidi="ar-SA"/>
        </w:rPr>
        <w:t>2021</w:t>
      </w:r>
      <w:r>
        <w:rPr>
          <w:rFonts w:hint="default"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32</w:t>
      </w:r>
      <w:r>
        <w:rPr>
          <w:rFonts w:hint="default" w:ascii="Times New Roman" w:hAnsi="Times New Roman" w:eastAsia="仿宋" w:cs="Times New Roman"/>
          <w:kern w:val="2"/>
          <w:sz w:val="32"/>
          <w:szCs w:val="32"/>
          <w:lang w:val="en-US" w:eastAsia="zh-CN" w:bidi="ar-SA"/>
        </w:rPr>
        <w:t>号）。</w:t>
      </w:r>
    </w:p>
    <w:p w14:paraId="23B11179">
      <w:pPr>
        <w:pStyle w:val="16"/>
        <w:pageBreakBefore w:val="0"/>
        <w:widowControl w:val="0"/>
        <w:kinsoku/>
        <w:wordWrap/>
        <w:overflowPunct/>
        <w:topLinePunct w:val="0"/>
        <w:autoSpaceDE/>
        <w:autoSpaceDN/>
        <w:bidi w:val="0"/>
        <w:adjustRightInd/>
        <w:snapToGrid w:val="0"/>
        <w:spacing w:after="0" w:line="600" w:lineRule="exact"/>
        <w:ind w:left="0" w:leftChars="0" w:firstLine="643"/>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2018年2月，新晃侗族自治县工业集中区管理委员会编制《新晃侗族自治县工业集中区突发环境事件应急预案》，并于2018年2月在湖南省环境应急与事故调查中心进行备案</w:t>
      </w:r>
      <w:r>
        <w:rPr>
          <w:rFonts w:hint="eastAsia" w:ascii="Times New Roman" w:hAnsi="Times New Roman" w:eastAsia="仿宋" w:cs="Times New Roman"/>
          <w:kern w:val="2"/>
          <w:sz w:val="32"/>
          <w:szCs w:val="32"/>
          <w:lang w:val="en-US" w:eastAsia="zh-CN" w:bidi="ar-SA"/>
        </w:rPr>
        <w:t>，2021年1月完成新晃县产业开发区突发环境事件应急预案（2022修订）并完成省市县三级备案</w:t>
      </w:r>
      <w:r>
        <w:rPr>
          <w:rFonts w:hint="default"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2025年7月完成新晃产业开发区突发环境事件应急预案（2025年修订版）并完成了省市县三级备案工作</w:t>
      </w:r>
      <w:r>
        <w:rPr>
          <w:rFonts w:hint="default" w:ascii="Times New Roman" w:hAnsi="Times New Roman" w:eastAsia="仿宋" w:cs="Times New Roman"/>
          <w:kern w:val="2"/>
          <w:sz w:val="32"/>
          <w:szCs w:val="32"/>
          <w:lang w:val="en-US" w:eastAsia="zh-CN" w:bidi="ar-SA"/>
        </w:rPr>
        <w:t>。</w:t>
      </w:r>
    </w:p>
    <w:p w14:paraId="376F9E8A">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color w:val="auto"/>
          <w:highlight w:val="none"/>
          <w:lang w:val="en-US" w:eastAsia="zh-CN"/>
        </w:rPr>
      </w:pPr>
      <w:bookmarkStart w:id="4" w:name="_Toc3850"/>
      <w:r>
        <w:rPr>
          <w:rFonts w:hint="default" w:ascii="Times New Roman" w:hAnsi="Times New Roman" w:cs="Times New Roman"/>
          <w:b/>
          <w:color w:val="auto"/>
          <w:highlight w:val="none"/>
          <w:lang w:val="en-US" w:eastAsia="zh-CN"/>
        </w:rPr>
        <w:t>1.3园区经济发展概况</w:t>
      </w:r>
      <w:bookmarkEnd w:id="4"/>
    </w:p>
    <w:p w14:paraId="3431C4EC">
      <w:pPr>
        <w:pStyle w:val="16"/>
        <w:pageBreakBefore w:val="0"/>
        <w:widowControl w:val="0"/>
        <w:kinsoku/>
        <w:wordWrap/>
        <w:overflowPunct/>
        <w:topLinePunct w:val="0"/>
        <w:autoSpaceDE/>
        <w:autoSpaceDN/>
        <w:bidi w:val="0"/>
        <w:adjustRightInd/>
        <w:snapToGrid w:val="0"/>
        <w:spacing w:after="0" w:line="600" w:lineRule="exact"/>
        <w:ind w:left="0" w:leftChars="0" w:firstLine="643"/>
        <w:textAlignment w:val="auto"/>
        <w:rPr>
          <w:rFonts w:hint="default"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2025年，新晃产业开发区现有规模以上工业企业51家，完成主营业务收入为85.14亿元，同比增长7.04%。2025年，园区上交税金总额为2.4亿元，同比增长54.8%。</w:t>
      </w:r>
    </w:p>
    <w:p w14:paraId="2D8502CD">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color w:val="auto"/>
          <w:lang w:val="zh-CN" w:eastAsia="zh-CN"/>
        </w:rPr>
      </w:pPr>
      <w:bookmarkStart w:id="5" w:name="_Toc23146"/>
      <w:r>
        <w:rPr>
          <w:rFonts w:hint="default" w:ascii="Times New Roman" w:hAnsi="Times New Roman" w:cs="Times New Roman"/>
          <w:b/>
          <w:color w:val="auto"/>
          <w:lang w:val="en-US" w:eastAsia="zh-CN"/>
        </w:rPr>
        <w:t>1.4园区企业环保手续情况</w:t>
      </w:r>
      <w:bookmarkEnd w:id="5"/>
    </w:p>
    <w:p w14:paraId="4F61B83C">
      <w:pPr>
        <w:pStyle w:val="16"/>
        <w:snapToGrid w:val="0"/>
        <w:spacing w:after="0" w:line="600" w:lineRule="exact"/>
        <w:ind w:left="0" w:leftChars="0" w:firstLine="643"/>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pPr>
      <w:bookmarkStart w:id="6" w:name="_Toc30419"/>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截至202</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5</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年底，园区已入园企业数量5</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个，本年度内新入园企业数量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个。园区内已完成环评批复手续企业数量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47</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个，本年度新增项目环评批复</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个。园区内已完成环保竣工验收手续企业数量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28</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个，本年度新增环保竣工验收企业数量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w:t>
      </w:r>
      <w:r>
        <w:rPr>
          <w:rFonts w:hint="eastAsia" w:ascii="Times New Roman" w:hAnsi="Times New Roman" w:eastAsia="仿宋" w:cs="Times New Roman"/>
          <w:color w:val="000000" w:themeColor="text1"/>
          <w:kern w:val="2"/>
          <w:sz w:val="32"/>
          <w:szCs w:val="32"/>
          <w:lang w:val="zh-CN" w:eastAsia="zh-CN" w:bidi="ar-SA"/>
          <w14:textFill>
            <w14:solidFill>
              <w14:schemeClr w14:val="tx1"/>
            </w14:solidFill>
          </w14:textFill>
        </w:rPr>
        <w:t>，</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个环评登记备案无需验收。</w:t>
      </w:r>
    </w:p>
    <w:p w14:paraId="7B38DB9A">
      <w:pPr>
        <w:pStyle w:val="16"/>
        <w:snapToGrid w:val="0"/>
        <w:spacing w:after="0" w:line="600" w:lineRule="exact"/>
        <w:ind w:left="0" w:leftChars="0" w:firstLine="643"/>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pP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园区内已完成应急预案备案手续企业数量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24</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个，本年度新增应急预案备案手续企业数量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个，新增应急预案修编企业数量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2</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个。园区内已取得排污许可证企业数量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42</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个，其中重点管理的企业数量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13</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个，简化管理企业数量</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13</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个，登记管理企业数量1</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6</w:t>
      </w:r>
      <w:r>
        <w:rPr>
          <w:rFonts w:hint="default" w:ascii="Times New Roman" w:hAnsi="Times New Roman" w:eastAsia="仿宋" w:cs="Times New Roman"/>
          <w:color w:val="000000" w:themeColor="text1"/>
          <w:kern w:val="2"/>
          <w:sz w:val="32"/>
          <w:szCs w:val="32"/>
          <w:lang w:val="zh-CN" w:eastAsia="zh-CN" w:bidi="ar-SA"/>
          <w14:textFill>
            <w14:solidFill>
              <w14:schemeClr w14:val="tx1"/>
            </w14:solidFill>
          </w14:textFill>
        </w:rPr>
        <w:t>个。</w:t>
      </w:r>
    </w:p>
    <w:p w14:paraId="088AB793">
      <w:pPr>
        <w:keepNext w:val="0"/>
        <w:keepLines w:val="0"/>
        <w:pageBreakBefore w:val="0"/>
        <w:widowControl w:val="0"/>
        <w:kinsoku/>
        <w:wordWrap/>
        <w:overflowPunct/>
        <w:topLinePunct w:val="0"/>
        <w:autoSpaceDE/>
        <w:autoSpaceDN/>
        <w:bidi w:val="0"/>
        <w:adjustRightInd w:val="0"/>
        <w:snapToGrid w:val="0"/>
        <w:spacing w:before="227" w:beforeLines="50" w:line="240" w:lineRule="auto"/>
        <w:jc w:val="center"/>
        <w:textAlignment w:val="auto"/>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表1 园区企业环保执行情况汇总表</w:t>
      </w:r>
    </w:p>
    <w:tbl>
      <w:tblPr>
        <w:tblStyle w:val="17"/>
        <w:tblW w:w="503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927"/>
        <w:gridCol w:w="1342"/>
        <w:gridCol w:w="1540"/>
        <w:gridCol w:w="1013"/>
        <w:gridCol w:w="883"/>
        <w:gridCol w:w="1337"/>
        <w:gridCol w:w="654"/>
      </w:tblGrid>
      <w:tr w14:paraId="1D7542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108FEC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序号</w:t>
            </w:r>
          </w:p>
        </w:tc>
        <w:tc>
          <w:tcPr>
            <w:tcW w:w="1056" w:type="pct"/>
            <w:tcBorders>
              <w:tl2br w:val="nil"/>
              <w:tr2bl w:val="nil"/>
            </w:tcBorders>
            <w:noWrap w:val="0"/>
            <w:tcMar>
              <w:top w:w="15" w:type="dxa"/>
              <w:left w:w="15" w:type="dxa"/>
              <w:bottom w:w="0" w:type="dxa"/>
              <w:right w:w="15" w:type="dxa"/>
            </w:tcMar>
            <w:vAlign w:val="center"/>
          </w:tcPr>
          <w:p w14:paraId="7697F3B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企业名称</w:t>
            </w:r>
          </w:p>
        </w:tc>
        <w:tc>
          <w:tcPr>
            <w:tcW w:w="735" w:type="pct"/>
            <w:tcBorders>
              <w:tl2br w:val="nil"/>
              <w:tr2bl w:val="nil"/>
            </w:tcBorders>
            <w:noWrap w:val="0"/>
            <w:vAlign w:val="center"/>
          </w:tcPr>
          <w:p w14:paraId="09C7C3C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行业</w:t>
            </w:r>
          </w:p>
        </w:tc>
        <w:tc>
          <w:tcPr>
            <w:tcW w:w="844" w:type="pct"/>
            <w:tcBorders>
              <w:tl2br w:val="nil"/>
              <w:tr2bl w:val="nil"/>
            </w:tcBorders>
            <w:noWrap w:val="0"/>
            <w:tcMar>
              <w:top w:w="15" w:type="dxa"/>
              <w:left w:w="15" w:type="dxa"/>
              <w:bottom w:w="0" w:type="dxa"/>
              <w:right w:w="15" w:type="dxa"/>
            </w:tcMar>
            <w:vAlign w:val="center"/>
          </w:tcPr>
          <w:p w14:paraId="6D48B54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是否有环评手续</w:t>
            </w:r>
          </w:p>
          <w:p w14:paraId="0D354331">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（批复文号）</w:t>
            </w:r>
          </w:p>
        </w:tc>
        <w:tc>
          <w:tcPr>
            <w:tcW w:w="555" w:type="pct"/>
            <w:tcBorders>
              <w:tl2br w:val="nil"/>
              <w:tr2bl w:val="nil"/>
            </w:tcBorders>
            <w:noWrap w:val="0"/>
            <w:tcMar>
              <w:top w:w="15" w:type="dxa"/>
              <w:left w:w="15" w:type="dxa"/>
              <w:bottom w:w="0" w:type="dxa"/>
              <w:right w:w="15" w:type="dxa"/>
            </w:tcMar>
            <w:vAlign w:val="center"/>
          </w:tcPr>
          <w:p w14:paraId="7AD9A2A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是否验收</w:t>
            </w:r>
          </w:p>
        </w:tc>
        <w:tc>
          <w:tcPr>
            <w:tcW w:w="484" w:type="pct"/>
            <w:tcBorders>
              <w:tl2br w:val="nil"/>
              <w:tr2bl w:val="nil"/>
            </w:tcBorders>
            <w:noWrap w:val="0"/>
            <w:vAlign w:val="center"/>
          </w:tcPr>
          <w:p w14:paraId="3AB58AB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应急预案备案情况</w:t>
            </w:r>
          </w:p>
        </w:tc>
        <w:tc>
          <w:tcPr>
            <w:tcW w:w="732" w:type="pct"/>
            <w:tcBorders>
              <w:tl2br w:val="nil"/>
              <w:tr2bl w:val="nil"/>
            </w:tcBorders>
            <w:noWrap w:val="0"/>
            <w:vAlign w:val="center"/>
          </w:tcPr>
          <w:p w14:paraId="3A93E08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是否取得排污许可证</w:t>
            </w:r>
          </w:p>
        </w:tc>
        <w:tc>
          <w:tcPr>
            <w:tcW w:w="358" w:type="pct"/>
            <w:tcBorders>
              <w:tl2br w:val="nil"/>
              <w:tr2bl w:val="nil"/>
            </w:tcBorders>
            <w:noWrap w:val="0"/>
            <w:vAlign w:val="center"/>
          </w:tcPr>
          <w:p w14:paraId="38794DF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管理</w:t>
            </w:r>
          </w:p>
          <w:p w14:paraId="78ECAD80">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18"/>
                <w:szCs w:val="18"/>
                <w:highlight w:val="none"/>
                <w:lang w:val="en-US" w:eastAsia="zh-CN"/>
                <w14:textFill>
                  <w14:solidFill>
                    <w14:schemeClr w14:val="tx1"/>
                  </w14:solidFill>
                </w14:textFill>
              </w:rPr>
              <w:t>类别</w:t>
            </w:r>
          </w:p>
        </w:tc>
      </w:tr>
      <w:tr w14:paraId="3968FE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2D42792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w:t>
            </w:r>
          </w:p>
        </w:tc>
        <w:tc>
          <w:tcPr>
            <w:tcW w:w="1056" w:type="pct"/>
            <w:tcBorders>
              <w:tl2br w:val="nil"/>
              <w:tr2bl w:val="nil"/>
            </w:tcBorders>
            <w:noWrap w:val="0"/>
            <w:tcMar>
              <w:top w:w="15" w:type="dxa"/>
              <w:left w:w="15" w:type="dxa"/>
              <w:bottom w:w="0" w:type="dxa"/>
              <w:right w:w="15" w:type="dxa"/>
            </w:tcMar>
            <w:vAlign w:val="center"/>
          </w:tcPr>
          <w:p w14:paraId="4C140A2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长沙道尚循环科技有限公司</w:t>
            </w:r>
          </w:p>
        </w:tc>
        <w:tc>
          <w:tcPr>
            <w:tcW w:w="735" w:type="pct"/>
            <w:tcBorders>
              <w:tl2br w:val="nil"/>
              <w:tr2bl w:val="nil"/>
            </w:tcBorders>
            <w:noWrap w:val="0"/>
            <w:vAlign w:val="center"/>
          </w:tcPr>
          <w:p w14:paraId="329560F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C4210金属废料和碎屑加工</w:t>
            </w:r>
          </w:p>
        </w:tc>
        <w:tc>
          <w:tcPr>
            <w:tcW w:w="844" w:type="pct"/>
            <w:tcBorders>
              <w:tl2br w:val="nil"/>
              <w:tr2bl w:val="nil"/>
            </w:tcBorders>
            <w:noWrap w:val="0"/>
            <w:tcMar>
              <w:top w:w="15" w:type="dxa"/>
              <w:left w:w="15" w:type="dxa"/>
              <w:bottom w:w="0" w:type="dxa"/>
              <w:right w:w="15" w:type="dxa"/>
            </w:tcMar>
            <w:vAlign w:val="center"/>
          </w:tcPr>
          <w:p w14:paraId="16F943F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怀环评[2023]31号</w:t>
            </w:r>
          </w:p>
        </w:tc>
        <w:tc>
          <w:tcPr>
            <w:tcW w:w="555" w:type="pct"/>
            <w:tcBorders>
              <w:tl2br w:val="nil"/>
              <w:tr2bl w:val="nil"/>
            </w:tcBorders>
            <w:noWrap w:val="0"/>
            <w:tcMar>
              <w:top w:w="15" w:type="dxa"/>
              <w:left w:w="15" w:type="dxa"/>
              <w:bottom w:w="0" w:type="dxa"/>
              <w:right w:w="15" w:type="dxa"/>
            </w:tcMar>
            <w:vAlign w:val="center"/>
          </w:tcPr>
          <w:p w14:paraId="67DCA64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暂未验收</w:t>
            </w:r>
          </w:p>
        </w:tc>
        <w:tc>
          <w:tcPr>
            <w:tcW w:w="484" w:type="pct"/>
            <w:tcBorders>
              <w:tl2br w:val="nil"/>
              <w:tr2bl w:val="nil"/>
            </w:tcBorders>
            <w:noWrap w:val="0"/>
            <w:vAlign w:val="center"/>
          </w:tcPr>
          <w:p w14:paraId="1E944A4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2023.09</w:t>
            </w:r>
          </w:p>
        </w:tc>
        <w:tc>
          <w:tcPr>
            <w:tcW w:w="732" w:type="pct"/>
            <w:tcBorders>
              <w:tl2br w:val="nil"/>
              <w:tr2bl w:val="nil"/>
            </w:tcBorders>
            <w:noWrap w:val="0"/>
            <w:vAlign w:val="center"/>
          </w:tcPr>
          <w:p w14:paraId="3A52829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91430124MA4R2WDF2E001V</w:t>
            </w:r>
          </w:p>
        </w:tc>
        <w:tc>
          <w:tcPr>
            <w:tcW w:w="358" w:type="pct"/>
            <w:tcBorders>
              <w:tl2br w:val="nil"/>
              <w:tr2bl w:val="nil"/>
            </w:tcBorders>
            <w:noWrap w:val="0"/>
            <w:vAlign w:val="center"/>
          </w:tcPr>
          <w:p w14:paraId="2035FBB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3CBEDE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4381BA0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w:t>
            </w:r>
          </w:p>
        </w:tc>
        <w:tc>
          <w:tcPr>
            <w:tcW w:w="1056" w:type="pct"/>
            <w:tcBorders>
              <w:tl2br w:val="nil"/>
              <w:tr2bl w:val="nil"/>
            </w:tcBorders>
            <w:noWrap w:val="0"/>
            <w:tcMar>
              <w:top w:w="15" w:type="dxa"/>
              <w:left w:w="15" w:type="dxa"/>
              <w:bottom w:w="0" w:type="dxa"/>
              <w:right w:w="15" w:type="dxa"/>
            </w:tcMar>
            <w:vAlign w:val="center"/>
          </w:tcPr>
          <w:p w14:paraId="72C82CF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红星（新晃）精细化学有限责任公司</w:t>
            </w:r>
          </w:p>
        </w:tc>
        <w:tc>
          <w:tcPr>
            <w:tcW w:w="735" w:type="pct"/>
            <w:tcBorders>
              <w:tl2br w:val="nil"/>
              <w:tr2bl w:val="nil"/>
            </w:tcBorders>
            <w:noWrap w:val="0"/>
            <w:vAlign w:val="center"/>
          </w:tcPr>
          <w:p w14:paraId="41FDC5C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C2613无机盐制造</w:t>
            </w:r>
          </w:p>
        </w:tc>
        <w:tc>
          <w:tcPr>
            <w:tcW w:w="844" w:type="pct"/>
            <w:tcBorders>
              <w:tl2br w:val="nil"/>
              <w:tr2bl w:val="nil"/>
            </w:tcBorders>
            <w:noWrap w:val="0"/>
            <w:tcMar>
              <w:top w:w="15" w:type="dxa"/>
              <w:left w:w="15" w:type="dxa"/>
              <w:bottom w:w="0" w:type="dxa"/>
              <w:right w:w="15" w:type="dxa"/>
            </w:tcMar>
            <w:vAlign w:val="center"/>
          </w:tcPr>
          <w:p w14:paraId="421702E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湘环评[2006]77号</w:t>
            </w:r>
          </w:p>
        </w:tc>
        <w:tc>
          <w:tcPr>
            <w:tcW w:w="555" w:type="pct"/>
            <w:tcBorders>
              <w:tl2br w:val="nil"/>
              <w:tr2bl w:val="nil"/>
            </w:tcBorders>
            <w:noWrap w:val="0"/>
            <w:tcMar>
              <w:top w:w="15" w:type="dxa"/>
              <w:left w:w="15" w:type="dxa"/>
              <w:bottom w:w="0" w:type="dxa"/>
              <w:right w:w="15" w:type="dxa"/>
            </w:tcMar>
            <w:vAlign w:val="center"/>
          </w:tcPr>
          <w:p w14:paraId="5232CEB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lang w:val="en-US"/>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2008.9</w:t>
            </w:r>
          </w:p>
        </w:tc>
        <w:tc>
          <w:tcPr>
            <w:tcW w:w="484" w:type="pct"/>
            <w:tcBorders>
              <w:tl2br w:val="nil"/>
              <w:tr2bl w:val="nil"/>
            </w:tcBorders>
            <w:noWrap w:val="0"/>
            <w:vAlign w:val="center"/>
          </w:tcPr>
          <w:p w14:paraId="63D1F4B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2021.10</w:t>
            </w:r>
          </w:p>
        </w:tc>
        <w:tc>
          <w:tcPr>
            <w:tcW w:w="732" w:type="pct"/>
            <w:tcBorders>
              <w:tl2br w:val="nil"/>
              <w:tr2bl w:val="nil"/>
            </w:tcBorders>
            <w:noWrap w:val="0"/>
            <w:vAlign w:val="center"/>
          </w:tcPr>
          <w:p w14:paraId="2C1DF8F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914312277700946485001V</w:t>
            </w:r>
          </w:p>
        </w:tc>
        <w:tc>
          <w:tcPr>
            <w:tcW w:w="358" w:type="pct"/>
            <w:tcBorders>
              <w:tl2br w:val="nil"/>
              <w:tr2bl w:val="nil"/>
            </w:tcBorders>
            <w:noWrap w:val="0"/>
            <w:vAlign w:val="center"/>
          </w:tcPr>
          <w:p w14:paraId="20C26D9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4A5746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8DEA631">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3</w:t>
            </w:r>
          </w:p>
        </w:tc>
        <w:tc>
          <w:tcPr>
            <w:tcW w:w="1056" w:type="pct"/>
            <w:tcBorders>
              <w:tl2br w:val="nil"/>
              <w:tr2bl w:val="nil"/>
            </w:tcBorders>
            <w:shd w:val="clear" w:color="auto" w:fill="auto"/>
            <w:noWrap w:val="0"/>
            <w:tcMar>
              <w:top w:w="15" w:type="dxa"/>
              <w:left w:w="15" w:type="dxa"/>
              <w:bottom w:w="0" w:type="dxa"/>
              <w:right w:w="15" w:type="dxa"/>
            </w:tcMar>
            <w:vAlign w:val="center"/>
          </w:tcPr>
          <w:p w14:paraId="1000FD5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新晃白云环保有限公司</w:t>
            </w:r>
          </w:p>
        </w:tc>
        <w:tc>
          <w:tcPr>
            <w:tcW w:w="735" w:type="pct"/>
            <w:tcBorders>
              <w:tl2br w:val="nil"/>
              <w:tr2bl w:val="nil"/>
            </w:tcBorders>
            <w:shd w:val="clear" w:color="auto" w:fill="auto"/>
            <w:noWrap w:val="0"/>
            <w:vAlign w:val="center"/>
          </w:tcPr>
          <w:p w14:paraId="5A47A59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N7724危险废物治理</w:t>
            </w:r>
          </w:p>
        </w:tc>
        <w:tc>
          <w:tcPr>
            <w:tcW w:w="844" w:type="pct"/>
            <w:tcBorders>
              <w:tl2br w:val="nil"/>
              <w:tr2bl w:val="nil"/>
            </w:tcBorders>
            <w:shd w:val="clear" w:color="auto" w:fill="auto"/>
            <w:noWrap w:val="0"/>
            <w:tcMar>
              <w:top w:w="15" w:type="dxa"/>
              <w:left w:w="15" w:type="dxa"/>
              <w:bottom w:w="0" w:type="dxa"/>
              <w:right w:w="15" w:type="dxa"/>
            </w:tcMar>
            <w:vAlign w:val="center"/>
          </w:tcPr>
          <w:p w14:paraId="3C18DF6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怀环审[2018]39号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8342B9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2021.2</w:t>
            </w:r>
          </w:p>
        </w:tc>
        <w:tc>
          <w:tcPr>
            <w:tcW w:w="484" w:type="pct"/>
            <w:tcBorders>
              <w:tl2br w:val="nil"/>
              <w:tr2bl w:val="nil"/>
            </w:tcBorders>
            <w:shd w:val="clear" w:color="auto" w:fill="auto"/>
            <w:noWrap w:val="0"/>
            <w:vAlign w:val="center"/>
          </w:tcPr>
          <w:p w14:paraId="0882CB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2023.12</w:t>
            </w:r>
          </w:p>
        </w:tc>
        <w:tc>
          <w:tcPr>
            <w:tcW w:w="732" w:type="pct"/>
            <w:tcBorders>
              <w:tl2br w:val="nil"/>
              <w:tr2bl w:val="nil"/>
            </w:tcBorders>
            <w:shd w:val="clear" w:color="auto" w:fill="auto"/>
            <w:noWrap w:val="0"/>
            <w:vAlign w:val="center"/>
          </w:tcPr>
          <w:p w14:paraId="29A7E7C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91431227MA4L2LCY6T002R</w:t>
            </w:r>
          </w:p>
        </w:tc>
        <w:tc>
          <w:tcPr>
            <w:tcW w:w="358" w:type="pct"/>
            <w:tcBorders>
              <w:tl2br w:val="nil"/>
              <w:tr2bl w:val="nil"/>
            </w:tcBorders>
            <w:shd w:val="clear" w:color="auto" w:fill="auto"/>
            <w:noWrap w:val="0"/>
            <w:vAlign w:val="center"/>
          </w:tcPr>
          <w:p w14:paraId="51AEA6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05F941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79CDB5A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4</w:t>
            </w:r>
          </w:p>
        </w:tc>
        <w:tc>
          <w:tcPr>
            <w:tcW w:w="1056" w:type="pct"/>
            <w:tcBorders>
              <w:tl2br w:val="nil"/>
              <w:tr2bl w:val="nil"/>
            </w:tcBorders>
            <w:shd w:val="clear" w:color="auto" w:fill="auto"/>
            <w:noWrap w:val="0"/>
            <w:tcMar>
              <w:top w:w="15" w:type="dxa"/>
              <w:left w:w="15" w:type="dxa"/>
              <w:bottom w:w="0" w:type="dxa"/>
              <w:right w:w="15" w:type="dxa"/>
            </w:tcMar>
            <w:vAlign w:val="center"/>
          </w:tcPr>
          <w:p w14:paraId="4D5C26E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新晃合创新材料有限公司</w:t>
            </w:r>
          </w:p>
        </w:tc>
        <w:tc>
          <w:tcPr>
            <w:tcW w:w="735" w:type="pct"/>
            <w:tcBorders>
              <w:tl2br w:val="nil"/>
              <w:tr2bl w:val="nil"/>
            </w:tcBorders>
            <w:shd w:val="clear" w:color="auto" w:fill="auto"/>
            <w:noWrap w:val="0"/>
            <w:vAlign w:val="center"/>
          </w:tcPr>
          <w:p w14:paraId="5EB6938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C2613无机盐制造、C2661化学试剂和助剂制造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65B341C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怀环审[2010]67号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655E873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2011.11</w:t>
            </w:r>
          </w:p>
        </w:tc>
        <w:tc>
          <w:tcPr>
            <w:tcW w:w="484" w:type="pct"/>
            <w:tcBorders>
              <w:tl2br w:val="nil"/>
              <w:tr2bl w:val="nil"/>
            </w:tcBorders>
            <w:shd w:val="clear" w:color="auto" w:fill="auto"/>
            <w:noWrap w:val="0"/>
            <w:vAlign w:val="center"/>
          </w:tcPr>
          <w:p w14:paraId="29A35B1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2019.03</w:t>
            </w:r>
          </w:p>
        </w:tc>
        <w:tc>
          <w:tcPr>
            <w:tcW w:w="732" w:type="pct"/>
            <w:tcBorders>
              <w:tl2br w:val="nil"/>
              <w:tr2bl w:val="nil"/>
            </w:tcBorders>
            <w:shd w:val="clear" w:color="auto" w:fill="auto"/>
            <w:noWrap w:val="0"/>
            <w:vAlign w:val="center"/>
          </w:tcPr>
          <w:p w14:paraId="18E4B38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91431227554911893P001R</w:t>
            </w:r>
          </w:p>
        </w:tc>
        <w:tc>
          <w:tcPr>
            <w:tcW w:w="358" w:type="pct"/>
            <w:tcBorders>
              <w:tl2br w:val="nil"/>
              <w:tr2bl w:val="nil"/>
            </w:tcBorders>
            <w:shd w:val="clear" w:color="auto" w:fill="auto"/>
            <w:noWrap w:val="0"/>
            <w:vAlign w:val="center"/>
          </w:tcPr>
          <w:p w14:paraId="0E86CCC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77EADC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2CC24DC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5</w:t>
            </w:r>
          </w:p>
        </w:tc>
        <w:tc>
          <w:tcPr>
            <w:tcW w:w="1056" w:type="pct"/>
            <w:tcBorders>
              <w:tl2br w:val="nil"/>
              <w:tr2bl w:val="nil"/>
            </w:tcBorders>
            <w:shd w:val="clear" w:color="auto" w:fill="auto"/>
            <w:noWrap w:val="0"/>
            <w:tcMar>
              <w:top w:w="15" w:type="dxa"/>
              <w:left w:w="15" w:type="dxa"/>
              <w:bottom w:w="0" w:type="dxa"/>
              <w:right w:w="15" w:type="dxa"/>
            </w:tcMar>
            <w:vAlign w:val="center"/>
          </w:tcPr>
          <w:p w14:paraId="7E258F4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新晃产业开发区管理委员会（新晃工业集中区酒店塘集中式污水处理站）</w:t>
            </w:r>
          </w:p>
        </w:tc>
        <w:tc>
          <w:tcPr>
            <w:tcW w:w="735" w:type="pct"/>
            <w:tcBorders>
              <w:tl2br w:val="nil"/>
              <w:tr2bl w:val="nil"/>
            </w:tcBorders>
            <w:shd w:val="clear" w:color="auto" w:fill="auto"/>
            <w:noWrap w:val="0"/>
            <w:vAlign w:val="center"/>
          </w:tcPr>
          <w:p w14:paraId="006F93E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D4620污水处理及再生利用</w:t>
            </w:r>
          </w:p>
        </w:tc>
        <w:tc>
          <w:tcPr>
            <w:tcW w:w="844" w:type="pct"/>
            <w:tcBorders>
              <w:tl2br w:val="nil"/>
              <w:tr2bl w:val="nil"/>
            </w:tcBorders>
            <w:shd w:val="clear" w:color="auto" w:fill="auto"/>
            <w:noWrap w:val="0"/>
            <w:tcMar>
              <w:top w:w="15" w:type="dxa"/>
              <w:left w:w="15" w:type="dxa"/>
              <w:bottom w:w="0" w:type="dxa"/>
              <w:right w:w="15" w:type="dxa"/>
            </w:tcMar>
            <w:vAlign w:val="center"/>
          </w:tcPr>
          <w:p w14:paraId="4662977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怀环审[2020]118号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7F12EFE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2022.07</w:t>
            </w:r>
          </w:p>
        </w:tc>
        <w:tc>
          <w:tcPr>
            <w:tcW w:w="484" w:type="pct"/>
            <w:tcBorders>
              <w:tl2br w:val="nil"/>
              <w:tr2bl w:val="nil"/>
            </w:tcBorders>
            <w:shd w:val="clear" w:color="auto" w:fill="auto"/>
            <w:noWrap w:val="0"/>
            <w:vAlign w:val="center"/>
          </w:tcPr>
          <w:p w14:paraId="74EC350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2025.06</w:t>
            </w:r>
          </w:p>
        </w:tc>
        <w:tc>
          <w:tcPr>
            <w:tcW w:w="732" w:type="pct"/>
            <w:tcBorders>
              <w:tl2br w:val="nil"/>
              <w:tr2bl w:val="nil"/>
            </w:tcBorders>
            <w:shd w:val="clear" w:color="auto" w:fill="auto"/>
            <w:noWrap w:val="0"/>
            <w:vAlign w:val="center"/>
          </w:tcPr>
          <w:p w14:paraId="193A3AB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124312276985606669001V</w:t>
            </w:r>
          </w:p>
        </w:tc>
        <w:tc>
          <w:tcPr>
            <w:tcW w:w="358" w:type="pct"/>
            <w:tcBorders>
              <w:tl2br w:val="nil"/>
              <w:tr2bl w:val="nil"/>
            </w:tcBorders>
            <w:shd w:val="clear" w:color="auto" w:fill="auto"/>
            <w:noWrap w:val="0"/>
            <w:vAlign w:val="center"/>
          </w:tcPr>
          <w:p w14:paraId="6539C41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659A4A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76EA49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6</w:t>
            </w:r>
          </w:p>
        </w:tc>
        <w:tc>
          <w:tcPr>
            <w:tcW w:w="1056" w:type="pct"/>
            <w:tcBorders>
              <w:tl2br w:val="nil"/>
              <w:tr2bl w:val="nil"/>
            </w:tcBorders>
            <w:shd w:val="clear" w:color="auto" w:fill="auto"/>
            <w:noWrap w:val="0"/>
            <w:tcMar>
              <w:top w:w="15" w:type="dxa"/>
              <w:left w:w="15" w:type="dxa"/>
              <w:bottom w:w="0" w:type="dxa"/>
              <w:right w:w="15" w:type="dxa"/>
            </w:tcMar>
            <w:vAlign w:val="center"/>
          </w:tcPr>
          <w:p w14:paraId="4B35912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新晃华东硅锰有限责任公司</w:t>
            </w:r>
          </w:p>
        </w:tc>
        <w:tc>
          <w:tcPr>
            <w:tcW w:w="735" w:type="pct"/>
            <w:tcBorders>
              <w:tl2br w:val="nil"/>
              <w:tr2bl w:val="nil"/>
            </w:tcBorders>
            <w:shd w:val="clear" w:color="auto" w:fill="auto"/>
            <w:noWrap w:val="0"/>
            <w:vAlign w:val="center"/>
          </w:tcPr>
          <w:p w14:paraId="4993FCB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C3140铁合金冶炼</w:t>
            </w:r>
          </w:p>
        </w:tc>
        <w:tc>
          <w:tcPr>
            <w:tcW w:w="844" w:type="pct"/>
            <w:tcBorders>
              <w:tl2br w:val="nil"/>
              <w:tr2bl w:val="nil"/>
            </w:tcBorders>
            <w:shd w:val="clear" w:color="auto" w:fill="auto"/>
            <w:noWrap w:val="0"/>
            <w:tcMar>
              <w:top w:w="15" w:type="dxa"/>
              <w:left w:w="15" w:type="dxa"/>
              <w:bottom w:w="0" w:type="dxa"/>
              <w:right w:w="15" w:type="dxa"/>
            </w:tcMar>
            <w:vAlign w:val="center"/>
          </w:tcPr>
          <w:p w14:paraId="15AA79E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怀环审[2020]195号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C7A175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2022.12</w:t>
            </w:r>
          </w:p>
        </w:tc>
        <w:tc>
          <w:tcPr>
            <w:tcW w:w="484" w:type="pct"/>
            <w:tcBorders>
              <w:tl2br w:val="nil"/>
              <w:tr2bl w:val="nil"/>
            </w:tcBorders>
            <w:shd w:val="clear" w:color="auto" w:fill="auto"/>
            <w:noWrap w:val="0"/>
            <w:vAlign w:val="center"/>
          </w:tcPr>
          <w:p w14:paraId="243BCD6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2022.12</w:t>
            </w:r>
          </w:p>
        </w:tc>
        <w:tc>
          <w:tcPr>
            <w:tcW w:w="732" w:type="pct"/>
            <w:tcBorders>
              <w:tl2br w:val="nil"/>
              <w:tr2bl w:val="nil"/>
            </w:tcBorders>
            <w:shd w:val="clear" w:color="auto" w:fill="auto"/>
            <w:noWrap w:val="0"/>
            <w:vAlign w:val="center"/>
          </w:tcPr>
          <w:p w14:paraId="3324E8D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9143122776072989XL001R</w:t>
            </w:r>
          </w:p>
        </w:tc>
        <w:tc>
          <w:tcPr>
            <w:tcW w:w="358" w:type="pct"/>
            <w:tcBorders>
              <w:tl2br w:val="nil"/>
              <w:tr2bl w:val="nil"/>
            </w:tcBorders>
            <w:shd w:val="clear" w:color="auto" w:fill="auto"/>
            <w:noWrap w:val="0"/>
            <w:vAlign w:val="center"/>
          </w:tcPr>
          <w:p w14:paraId="19A1B26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199D6C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0B64DD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7</w:t>
            </w:r>
          </w:p>
        </w:tc>
        <w:tc>
          <w:tcPr>
            <w:tcW w:w="1056" w:type="pct"/>
            <w:tcBorders>
              <w:tl2br w:val="nil"/>
              <w:tr2bl w:val="nil"/>
            </w:tcBorders>
            <w:shd w:val="clear" w:color="auto" w:fill="auto"/>
            <w:noWrap w:val="0"/>
            <w:tcMar>
              <w:top w:w="15" w:type="dxa"/>
              <w:left w:w="15" w:type="dxa"/>
              <w:bottom w:w="0" w:type="dxa"/>
              <w:right w:w="15" w:type="dxa"/>
            </w:tcMar>
            <w:vAlign w:val="center"/>
          </w:tcPr>
          <w:p w14:paraId="60CEFB6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湖南美蓝环保科技有限公司</w:t>
            </w:r>
          </w:p>
        </w:tc>
        <w:tc>
          <w:tcPr>
            <w:tcW w:w="735" w:type="pct"/>
            <w:tcBorders>
              <w:tl2br w:val="nil"/>
              <w:tr2bl w:val="nil"/>
            </w:tcBorders>
            <w:shd w:val="clear" w:color="auto" w:fill="auto"/>
            <w:noWrap w:val="0"/>
            <w:vAlign w:val="center"/>
          </w:tcPr>
          <w:p w14:paraId="255E904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N7724危险废物治理</w:t>
            </w:r>
          </w:p>
        </w:tc>
        <w:tc>
          <w:tcPr>
            <w:tcW w:w="844" w:type="pct"/>
            <w:tcBorders>
              <w:tl2br w:val="nil"/>
              <w:tr2bl w:val="nil"/>
            </w:tcBorders>
            <w:shd w:val="clear" w:color="auto" w:fill="auto"/>
            <w:noWrap w:val="0"/>
            <w:tcMar>
              <w:top w:w="15" w:type="dxa"/>
              <w:left w:w="15" w:type="dxa"/>
              <w:bottom w:w="0" w:type="dxa"/>
              <w:right w:w="15" w:type="dxa"/>
            </w:tcMar>
            <w:vAlign w:val="center"/>
          </w:tcPr>
          <w:p w14:paraId="4E2B882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怀环评[2023]36号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3ECD516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2024.5</w:t>
            </w:r>
          </w:p>
        </w:tc>
        <w:tc>
          <w:tcPr>
            <w:tcW w:w="484" w:type="pct"/>
            <w:tcBorders>
              <w:tl2br w:val="nil"/>
              <w:tr2bl w:val="nil"/>
            </w:tcBorders>
            <w:shd w:val="clear" w:color="auto" w:fill="auto"/>
            <w:noWrap w:val="0"/>
            <w:vAlign w:val="center"/>
          </w:tcPr>
          <w:p w14:paraId="7CEBFD8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2023.11</w:t>
            </w:r>
          </w:p>
        </w:tc>
        <w:tc>
          <w:tcPr>
            <w:tcW w:w="732" w:type="pct"/>
            <w:tcBorders>
              <w:tl2br w:val="nil"/>
              <w:tr2bl w:val="nil"/>
            </w:tcBorders>
            <w:shd w:val="clear" w:color="auto" w:fill="auto"/>
            <w:noWrap w:val="0"/>
            <w:vAlign w:val="center"/>
          </w:tcPr>
          <w:p w14:paraId="6A1E15A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91431227MAC05BPH4R001V</w:t>
            </w:r>
          </w:p>
        </w:tc>
        <w:tc>
          <w:tcPr>
            <w:tcW w:w="358" w:type="pct"/>
            <w:tcBorders>
              <w:tl2br w:val="nil"/>
              <w:tr2bl w:val="nil"/>
            </w:tcBorders>
            <w:shd w:val="clear" w:color="auto" w:fill="auto"/>
            <w:noWrap w:val="0"/>
            <w:vAlign w:val="center"/>
          </w:tcPr>
          <w:p w14:paraId="006BD54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578E9B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DD7123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8</w:t>
            </w:r>
          </w:p>
        </w:tc>
        <w:tc>
          <w:tcPr>
            <w:tcW w:w="1056" w:type="pct"/>
            <w:tcBorders>
              <w:tl2br w:val="nil"/>
              <w:tr2bl w:val="nil"/>
            </w:tcBorders>
            <w:shd w:val="clear" w:color="auto" w:fill="auto"/>
            <w:noWrap w:val="0"/>
            <w:tcMar>
              <w:top w:w="15" w:type="dxa"/>
              <w:left w:w="15" w:type="dxa"/>
              <w:bottom w:w="0" w:type="dxa"/>
              <w:right w:w="15" w:type="dxa"/>
            </w:tcMar>
            <w:vAlign w:val="center"/>
          </w:tcPr>
          <w:p w14:paraId="23D515F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新晃侗族自治县前锋水务有限公司</w:t>
            </w:r>
          </w:p>
        </w:tc>
        <w:tc>
          <w:tcPr>
            <w:tcW w:w="735" w:type="pct"/>
            <w:tcBorders>
              <w:tl2br w:val="nil"/>
              <w:tr2bl w:val="nil"/>
            </w:tcBorders>
            <w:shd w:val="clear" w:color="auto" w:fill="auto"/>
            <w:noWrap w:val="0"/>
            <w:vAlign w:val="center"/>
          </w:tcPr>
          <w:p w14:paraId="59AE579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D4620污水处理及其再生利用</w:t>
            </w:r>
          </w:p>
        </w:tc>
        <w:tc>
          <w:tcPr>
            <w:tcW w:w="844" w:type="pct"/>
            <w:tcBorders>
              <w:tl2br w:val="nil"/>
              <w:tr2bl w:val="nil"/>
            </w:tcBorders>
            <w:shd w:val="clear" w:color="auto" w:fill="auto"/>
            <w:noWrap w:val="0"/>
            <w:tcMar>
              <w:top w:w="15" w:type="dxa"/>
              <w:left w:w="15" w:type="dxa"/>
              <w:bottom w:w="0" w:type="dxa"/>
              <w:right w:w="15" w:type="dxa"/>
            </w:tcMar>
            <w:vAlign w:val="center"/>
          </w:tcPr>
          <w:p w14:paraId="459B540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怀环审[2015]39号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05CD3C5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2018.8</w:t>
            </w:r>
          </w:p>
        </w:tc>
        <w:tc>
          <w:tcPr>
            <w:tcW w:w="484" w:type="pct"/>
            <w:tcBorders>
              <w:tl2br w:val="nil"/>
              <w:tr2bl w:val="nil"/>
            </w:tcBorders>
            <w:shd w:val="clear" w:color="auto" w:fill="auto"/>
            <w:noWrap w:val="0"/>
            <w:vAlign w:val="center"/>
          </w:tcPr>
          <w:p w14:paraId="71D0EBB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2021.12</w:t>
            </w:r>
          </w:p>
        </w:tc>
        <w:tc>
          <w:tcPr>
            <w:tcW w:w="732" w:type="pct"/>
            <w:tcBorders>
              <w:tl2br w:val="nil"/>
              <w:tr2bl w:val="nil"/>
            </w:tcBorders>
            <w:shd w:val="clear" w:color="auto" w:fill="auto"/>
            <w:noWrap w:val="0"/>
            <w:vAlign w:val="center"/>
          </w:tcPr>
          <w:p w14:paraId="1BF5E65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91431227068239018T001T</w:t>
            </w:r>
          </w:p>
        </w:tc>
        <w:tc>
          <w:tcPr>
            <w:tcW w:w="358" w:type="pct"/>
            <w:tcBorders>
              <w:tl2br w:val="nil"/>
              <w:tr2bl w:val="nil"/>
            </w:tcBorders>
            <w:shd w:val="clear" w:color="auto" w:fill="auto"/>
            <w:noWrap w:val="0"/>
            <w:vAlign w:val="center"/>
          </w:tcPr>
          <w:p w14:paraId="5207CAD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5C2637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29F524AB">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w:t>
            </w:r>
          </w:p>
        </w:tc>
        <w:tc>
          <w:tcPr>
            <w:tcW w:w="1056" w:type="pct"/>
            <w:tcBorders>
              <w:tl2br w:val="nil"/>
              <w:tr2bl w:val="nil"/>
            </w:tcBorders>
            <w:shd w:val="clear" w:color="auto" w:fill="auto"/>
            <w:noWrap w:val="0"/>
            <w:tcMar>
              <w:top w:w="15" w:type="dxa"/>
              <w:left w:w="15" w:type="dxa"/>
              <w:bottom w:w="0" w:type="dxa"/>
              <w:right w:w="15" w:type="dxa"/>
            </w:tcMar>
            <w:vAlign w:val="center"/>
          </w:tcPr>
          <w:p w14:paraId="19E1206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新晃秦箭炉料有限公司</w:t>
            </w:r>
          </w:p>
        </w:tc>
        <w:tc>
          <w:tcPr>
            <w:tcW w:w="735" w:type="pct"/>
            <w:tcBorders>
              <w:tl2br w:val="nil"/>
              <w:tr2bl w:val="nil"/>
            </w:tcBorders>
            <w:shd w:val="clear" w:color="auto" w:fill="auto"/>
            <w:noWrap w:val="0"/>
            <w:vAlign w:val="center"/>
          </w:tcPr>
          <w:p w14:paraId="3C1F4AC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C3140铁合金冶炼</w:t>
            </w:r>
          </w:p>
        </w:tc>
        <w:tc>
          <w:tcPr>
            <w:tcW w:w="844" w:type="pct"/>
            <w:tcBorders>
              <w:tl2br w:val="nil"/>
              <w:tr2bl w:val="nil"/>
            </w:tcBorders>
            <w:shd w:val="clear" w:color="auto" w:fill="auto"/>
            <w:noWrap w:val="0"/>
            <w:tcMar>
              <w:top w:w="15" w:type="dxa"/>
              <w:left w:w="15" w:type="dxa"/>
              <w:bottom w:w="0" w:type="dxa"/>
              <w:right w:w="15" w:type="dxa"/>
            </w:tcMar>
            <w:vAlign w:val="center"/>
          </w:tcPr>
          <w:p w14:paraId="0D4DC1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怀环审[2020]194号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F827BE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2023.12</w:t>
            </w:r>
          </w:p>
        </w:tc>
        <w:tc>
          <w:tcPr>
            <w:tcW w:w="484" w:type="pct"/>
            <w:tcBorders>
              <w:tl2br w:val="nil"/>
              <w:tr2bl w:val="nil"/>
            </w:tcBorders>
            <w:shd w:val="clear" w:color="auto" w:fill="auto"/>
            <w:noWrap w:val="0"/>
            <w:vAlign w:val="center"/>
          </w:tcPr>
          <w:p w14:paraId="1EC6D4D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2023.12</w:t>
            </w:r>
          </w:p>
        </w:tc>
        <w:tc>
          <w:tcPr>
            <w:tcW w:w="732" w:type="pct"/>
            <w:tcBorders>
              <w:tl2br w:val="nil"/>
              <w:tr2bl w:val="nil"/>
            </w:tcBorders>
            <w:shd w:val="clear" w:color="auto" w:fill="auto"/>
            <w:noWrap w:val="0"/>
            <w:vAlign w:val="center"/>
          </w:tcPr>
          <w:p w14:paraId="6CEFF34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t>91431227799105195L001R</w:t>
            </w:r>
          </w:p>
        </w:tc>
        <w:tc>
          <w:tcPr>
            <w:tcW w:w="358" w:type="pct"/>
            <w:tcBorders>
              <w:tl2br w:val="nil"/>
              <w:tr2bl w:val="nil"/>
            </w:tcBorders>
            <w:shd w:val="clear" w:color="auto" w:fill="auto"/>
            <w:noWrap w:val="0"/>
            <w:vAlign w:val="center"/>
          </w:tcPr>
          <w:p w14:paraId="19F3FC7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2FD32E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DF0004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10</w:t>
            </w:r>
          </w:p>
        </w:tc>
        <w:tc>
          <w:tcPr>
            <w:tcW w:w="1056" w:type="pct"/>
            <w:tcBorders>
              <w:tl2br w:val="nil"/>
              <w:tr2bl w:val="nil"/>
            </w:tcBorders>
            <w:shd w:val="clear" w:color="auto" w:fill="auto"/>
            <w:noWrap w:val="0"/>
            <w:tcMar>
              <w:top w:w="15" w:type="dxa"/>
              <w:left w:w="15" w:type="dxa"/>
              <w:bottom w:w="0" w:type="dxa"/>
              <w:right w:w="15" w:type="dxa"/>
            </w:tcMar>
            <w:vAlign w:val="center"/>
          </w:tcPr>
          <w:p w14:paraId="6AB870C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新晃三鑫钡业有限责任公司</w:t>
            </w:r>
          </w:p>
        </w:tc>
        <w:tc>
          <w:tcPr>
            <w:tcW w:w="735" w:type="pct"/>
            <w:tcBorders>
              <w:tl2br w:val="nil"/>
              <w:tr2bl w:val="nil"/>
            </w:tcBorders>
            <w:shd w:val="clear" w:color="auto" w:fill="auto"/>
            <w:noWrap w:val="0"/>
            <w:vAlign w:val="center"/>
          </w:tcPr>
          <w:p w14:paraId="307472E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C2613无机盐制造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6AF977D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湘环评[2011]349号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7C0BE4E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2021.03</w:t>
            </w:r>
          </w:p>
        </w:tc>
        <w:tc>
          <w:tcPr>
            <w:tcW w:w="484" w:type="pct"/>
            <w:tcBorders>
              <w:tl2br w:val="nil"/>
              <w:tr2bl w:val="nil"/>
            </w:tcBorders>
            <w:shd w:val="clear" w:color="auto" w:fill="auto"/>
            <w:noWrap w:val="0"/>
            <w:vAlign w:val="center"/>
          </w:tcPr>
          <w:p w14:paraId="5EB5DB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2023.11</w:t>
            </w:r>
          </w:p>
        </w:tc>
        <w:tc>
          <w:tcPr>
            <w:tcW w:w="732" w:type="pct"/>
            <w:tcBorders>
              <w:tl2br w:val="nil"/>
              <w:tr2bl w:val="nil"/>
            </w:tcBorders>
            <w:shd w:val="clear" w:color="auto" w:fill="auto"/>
            <w:noWrap w:val="0"/>
            <w:vAlign w:val="center"/>
          </w:tcPr>
          <w:p w14:paraId="29504FE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914312275910197145001V</w:t>
            </w:r>
          </w:p>
        </w:tc>
        <w:tc>
          <w:tcPr>
            <w:tcW w:w="358" w:type="pct"/>
            <w:tcBorders>
              <w:tl2br w:val="nil"/>
              <w:tr2bl w:val="nil"/>
            </w:tcBorders>
            <w:shd w:val="clear" w:color="auto" w:fill="auto"/>
            <w:noWrap w:val="0"/>
            <w:vAlign w:val="center"/>
          </w:tcPr>
          <w:p w14:paraId="2E921E6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53946F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5200F97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11</w:t>
            </w:r>
          </w:p>
        </w:tc>
        <w:tc>
          <w:tcPr>
            <w:tcW w:w="1056" w:type="pct"/>
            <w:tcBorders>
              <w:tl2br w:val="nil"/>
              <w:tr2bl w:val="nil"/>
            </w:tcBorders>
            <w:shd w:val="clear" w:color="auto" w:fill="auto"/>
            <w:noWrap w:val="0"/>
            <w:tcMar>
              <w:top w:w="15" w:type="dxa"/>
              <w:left w:w="15" w:type="dxa"/>
              <w:bottom w:w="0" w:type="dxa"/>
              <w:right w:w="15" w:type="dxa"/>
            </w:tcMar>
            <w:vAlign w:val="center"/>
          </w:tcPr>
          <w:p w14:paraId="3DF0B9D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新晃县顺发铁合金有限公司（双鼎）</w:t>
            </w:r>
          </w:p>
        </w:tc>
        <w:tc>
          <w:tcPr>
            <w:tcW w:w="735" w:type="pct"/>
            <w:tcBorders>
              <w:tl2br w:val="nil"/>
              <w:tr2bl w:val="nil"/>
            </w:tcBorders>
            <w:shd w:val="clear" w:color="auto" w:fill="auto"/>
            <w:noWrap w:val="0"/>
            <w:vAlign w:val="center"/>
          </w:tcPr>
          <w:p w14:paraId="2D38A5B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C3140铁合金冶炼</w:t>
            </w:r>
          </w:p>
        </w:tc>
        <w:tc>
          <w:tcPr>
            <w:tcW w:w="844" w:type="pct"/>
            <w:tcBorders>
              <w:tl2br w:val="nil"/>
              <w:tr2bl w:val="nil"/>
            </w:tcBorders>
            <w:shd w:val="clear" w:color="auto" w:fill="auto"/>
            <w:noWrap w:val="0"/>
            <w:tcMar>
              <w:top w:w="15" w:type="dxa"/>
              <w:left w:w="15" w:type="dxa"/>
              <w:bottom w:w="0" w:type="dxa"/>
              <w:right w:w="15" w:type="dxa"/>
            </w:tcMar>
            <w:vAlign w:val="center"/>
          </w:tcPr>
          <w:p w14:paraId="0B0B98D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湘环评[2013]41号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5BB11E9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2015.2</w:t>
            </w:r>
          </w:p>
        </w:tc>
        <w:tc>
          <w:tcPr>
            <w:tcW w:w="484" w:type="pct"/>
            <w:tcBorders>
              <w:tl2br w:val="nil"/>
              <w:tr2bl w:val="nil"/>
            </w:tcBorders>
            <w:shd w:val="clear" w:color="auto" w:fill="auto"/>
            <w:noWrap w:val="0"/>
            <w:vAlign w:val="center"/>
          </w:tcPr>
          <w:p w14:paraId="29CB196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2019.03</w:t>
            </w:r>
          </w:p>
        </w:tc>
        <w:tc>
          <w:tcPr>
            <w:tcW w:w="732" w:type="pct"/>
            <w:tcBorders>
              <w:tl2br w:val="nil"/>
              <w:tr2bl w:val="nil"/>
            </w:tcBorders>
            <w:shd w:val="clear" w:color="auto" w:fill="auto"/>
            <w:noWrap w:val="0"/>
            <w:vAlign w:val="center"/>
          </w:tcPr>
          <w:p w14:paraId="04F779D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914312276940162330001V</w:t>
            </w:r>
          </w:p>
        </w:tc>
        <w:tc>
          <w:tcPr>
            <w:tcW w:w="358" w:type="pct"/>
            <w:tcBorders>
              <w:tl2br w:val="nil"/>
              <w:tr2bl w:val="nil"/>
            </w:tcBorders>
            <w:shd w:val="clear" w:color="auto" w:fill="auto"/>
            <w:noWrap w:val="0"/>
            <w:vAlign w:val="center"/>
          </w:tcPr>
          <w:p w14:paraId="63DC393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4D2272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46576E91">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12</w:t>
            </w:r>
          </w:p>
        </w:tc>
        <w:tc>
          <w:tcPr>
            <w:tcW w:w="1056" w:type="pct"/>
            <w:tcBorders>
              <w:tl2br w:val="nil"/>
              <w:tr2bl w:val="nil"/>
            </w:tcBorders>
            <w:shd w:val="clear" w:color="auto" w:fill="auto"/>
            <w:noWrap w:val="0"/>
            <w:tcMar>
              <w:top w:w="15" w:type="dxa"/>
              <w:left w:w="15" w:type="dxa"/>
              <w:bottom w:w="0" w:type="dxa"/>
              <w:right w:w="15" w:type="dxa"/>
            </w:tcMar>
            <w:vAlign w:val="center"/>
          </w:tcPr>
          <w:p w14:paraId="2C74562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新晃鲁湘钡业有限公司</w:t>
            </w:r>
          </w:p>
        </w:tc>
        <w:tc>
          <w:tcPr>
            <w:tcW w:w="735" w:type="pct"/>
            <w:tcBorders>
              <w:tl2br w:val="nil"/>
              <w:tr2bl w:val="nil"/>
            </w:tcBorders>
            <w:shd w:val="clear" w:color="auto" w:fill="auto"/>
            <w:noWrap w:val="0"/>
            <w:vAlign w:val="center"/>
          </w:tcPr>
          <w:p w14:paraId="1714842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C2613无机盐制造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5B66BD2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怀环评[2021]109号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546BDA0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2023.05</w:t>
            </w:r>
          </w:p>
        </w:tc>
        <w:tc>
          <w:tcPr>
            <w:tcW w:w="484" w:type="pct"/>
            <w:tcBorders>
              <w:tl2br w:val="nil"/>
              <w:tr2bl w:val="nil"/>
            </w:tcBorders>
            <w:shd w:val="clear" w:color="auto" w:fill="auto"/>
            <w:noWrap w:val="0"/>
            <w:vAlign w:val="center"/>
          </w:tcPr>
          <w:p w14:paraId="22F45E7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2023.07</w:t>
            </w:r>
          </w:p>
        </w:tc>
        <w:tc>
          <w:tcPr>
            <w:tcW w:w="732" w:type="pct"/>
            <w:tcBorders>
              <w:tl2br w:val="nil"/>
              <w:tr2bl w:val="nil"/>
            </w:tcBorders>
            <w:shd w:val="clear" w:color="auto" w:fill="auto"/>
            <w:noWrap w:val="0"/>
            <w:vAlign w:val="center"/>
          </w:tcPr>
          <w:p w14:paraId="305E042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91431227673568573W001Y</w:t>
            </w:r>
          </w:p>
        </w:tc>
        <w:tc>
          <w:tcPr>
            <w:tcW w:w="358" w:type="pct"/>
            <w:tcBorders>
              <w:tl2br w:val="nil"/>
              <w:tr2bl w:val="nil"/>
            </w:tcBorders>
            <w:shd w:val="clear" w:color="auto" w:fill="auto"/>
            <w:noWrap w:val="0"/>
            <w:vAlign w:val="center"/>
          </w:tcPr>
          <w:p w14:paraId="7A4CC3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2393E2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E5D24C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13</w:t>
            </w:r>
          </w:p>
        </w:tc>
        <w:tc>
          <w:tcPr>
            <w:tcW w:w="1056" w:type="pct"/>
            <w:tcBorders>
              <w:tl2br w:val="nil"/>
              <w:tr2bl w:val="nil"/>
            </w:tcBorders>
            <w:shd w:val="clear" w:color="auto" w:fill="auto"/>
            <w:noWrap w:val="0"/>
            <w:tcMar>
              <w:top w:w="15" w:type="dxa"/>
              <w:left w:w="15" w:type="dxa"/>
              <w:bottom w:w="0" w:type="dxa"/>
              <w:right w:w="15" w:type="dxa"/>
            </w:tcMar>
            <w:vAlign w:val="center"/>
          </w:tcPr>
          <w:p w14:paraId="7324908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新晃新中化工有限责任公司</w:t>
            </w:r>
          </w:p>
        </w:tc>
        <w:tc>
          <w:tcPr>
            <w:tcW w:w="735" w:type="pct"/>
            <w:tcBorders>
              <w:tl2br w:val="nil"/>
              <w:tr2bl w:val="nil"/>
            </w:tcBorders>
            <w:shd w:val="clear" w:color="auto" w:fill="auto"/>
            <w:noWrap w:val="0"/>
            <w:vAlign w:val="center"/>
          </w:tcPr>
          <w:p w14:paraId="6229A3C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C266专用化学产品制造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3C823D1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怀环函[2004]44号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0F3E1AC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3999039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2021.06</w:t>
            </w:r>
          </w:p>
        </w:tc>
        <w:tc>
          <w:tcPr>
            <w:tcW w:w="732" w:type="pct"/>
            <w:tcBorders>
              <w:tl2br w:val="nil"/>
              <w:tr2bl w:val="nil"/>
            </w:tcBorders>
            <w:shd w:val="clear" w:color="auto" w:fill="auto"/>
            <w:noWrap w:val="0"/>
            <w:vAlign w:val="center"/>
          </w:tcPr>
          <w:p w14:paraId="7BC8382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91431227763268689P001V</w:t>
            </w:r>
          </w:p>
        </w:tc>
        <w:tc>
          <w:tcPr>
            <w:tcW w:w="358" w:type="pct"/>
            <w:tcBorders>
              <w:tl2br w:val="nil"/>
              <w:tr2bl w:val="nil"/>
            </w:tcBorders>
            <w:shd w:val="clear" w:color="auto" w:fill="auto"/>
            <w:noWrap w:val="0"/>
            <w:vAlign w:val="center"/>
          </w:tcPr>
          <w:p w14:paraId="3C9567E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重点</w:t>
            </w:r>
          </w:p>
        </w:tc>
      </w:tr>
      <w:tr w14:paraId="107249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10818E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14</w:t>
            </w:r>
          </w:p>
        </w:tc>
        <w:tc>
          <w:tcPr>
            <w:tcW w:w="1056" w:type="pct"/>
            <w:tcBorders>
              <w:tl2br w:val="nil"/>
              <w:tr2bl w:val="nil"/>
            </w:tcBorders>
            <w:shd w:val="clear" w:color="auto" w:fill="auto"/>
            <w:noWrap w:val="0"/>
            <w:tcMar>
              <w:top w:w="15" w:type="dxa"/>
              <w:left w:w="15" w:type="dxa"/>
              <w:bottom w:w="0" w:type="dxa"/>
              <w:right w:w="15" w:type="dxa"/>
            </w:tcMar>
            <w:vAlign w:val="center"/>
          </w:tcPr>
          <w:p w14:paraId="6D69700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怀化长江铜业有限公司</w:t>
            </w:r>
          </w:p>
        </w:tc>
        <w:tc>
          <w:tcPr>
            <w:tcW w:w="735" w:type="pct"/>
            <w:tcBorders>
              <w:tl2br w:val="nil"/>
              <w:tr2bl w:val="nil"/>
            </w:tcBorders>
            <w:shd w:val="clear" w:color="auto" w:fill="auto"/>
            <w:noWrap w:val="0"/>
            <w:vAlign w:val="center"/>
          </w:tcPr>
          <w:p w14:paraId="38834A7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C3392有色金属铸造、压延加工</w:t>
            </w:r>
          </w:p>
        </w:tc>
        <w:tc>
          <w:tcPr>
            <w:tcW w:w="844" w:type="pct"/>
            <w:tcBorders>
              <w:tl2br w:val="nil"/>
              <w:tr2bl w:val="nil"/>
            </w:tcBorders>
            <w:shd w:val="clear" w:color="auto" w:fill="auto"/>
            <w:noWrap w:val="0"/>
            <w:tcMar>
              <w:top w:w="15" w:type="dxa"/>
              <w:left w:w="15" w:type="dxa"/>
              <w:bottom w:w="0" w:type="dxa"/>
              <w:right w:w="15" w:type="dxa"/>
            </w:tcMar>
            <w:vAlign w:val="center"/>
          </w:tcPr>
          <w:p w14:paraId="140E87B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怀环表[2010]29号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1A243DE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2015.1</w:t>
            </w:r>
          </w:p>
        </w:tc>
        <w:tc>
          <w:tcPr>
            <w:tcW w:w="484" w:type="pct"/>
            <w:tcBorders>
              <w:tl2br w:val="nil"/>
              <w:tr2bl w:val="nil"/>
            </w:tcBorders>
            <w:shd w:val="clear" w:color="auto" w:fill="auto"/>
            <w:noWrap w:val="0"/>
            <w:vAlign w:val="center"/>
          </w:tcPr>
          <w:p w14:paraId="30A6077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2014.12</w:t>
            </w:r>
          </w:p>
        </w:tc>
        <w:tc>
          <w:tcPr>
            <w:tcW w:w="732" w:type="pct"/>
            <w:tcBorders>
              <w:tl2br w:val="nil"/>
              <w:tr2bl w:val="nil"/>
            </w:tcBorders>
            <w:shd w:val="clear" w:color="auto" w:fill="auto"/>
            <w:noWrap w:val="0"/>
            <w:vAlign w:val="center"/>
          </w:tcPr>
          <w:p w14:paraId="556AAF4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914312275701678151001Q</w:t>
            </w:r>
          </w:p>
        </w:tc>
        <w:tc>
          <w:tcPr>
            <w:tcW w:w="358" w:type="pct"/>
            <w:tcBorders>
              <w:tl2br w:val="nil"/>
              <w:tr2bl w:val="nil"/>
            </w:tcBorders>
            <w:shd w:val="clear" w:color="auto" w:fill="auto"/>
            <w:noWrap w:val="0"/>
            <w:vAlign w:val="center"/>
          </w:tcPr>
          <w:p w14:paraId="762A06E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7178E5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232" w:type="pct"/>
            <w:tcBorders>
              <w:tl2br w:val="nil"/>
              <w:tr2bl w:val="nil"/>
            </w:tcBorders>
            <w:noWrap w:val="0"/>
            <w:tcMar>
              <w:top w:w="15" w:type="dxa"/>
              <w:left w:w="15" w:type="dxa"/>
              <w:bottom w:w="0" w:type="dxa"/>
              <w:right w:w="15" w:type="dxa"/>
            </w:tcMar>
            <w:vAlign w:val="center"/>
          </w:tcPr>
          <w:p w14:paraId="62B916D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15</w:t>
            </w:r>
          </w:p>
        </w:tc>
        <w:tc>
          <w:tcPr>
            <w:tcW w:w="1056" w:type="pct"/>
            <w:tcBorders>
              <w:tl2br w:val="nil"/>
              <w:tr2bl w:val="nil"/>
            </w:tcBorders>
            <w:shd w:val="clear" w:color="auto" w:fill="auto"/>
            <w:noWrap w:val="0"/>
            <w:tcMar>
              <w:top w:w="15" w:type="dxa"/>
              <w:left w:w="15" w:type="dxa"/>
              <w:bottom w:w="0" w:type="dxa"/>
              <w:right w:w="15" w:type="dxa"/>
            </w:tcMar>
            <w:vAlign w:val="center"/>
          </w:tcPr>
          <w:p w14:paraId="6253007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新晃协立模具加工有限公司</w:t>
            </w:r>
          </w:p>
        </w:tc>
        <w:tc>
          <w:tcPr>
            <w:tcW w:w="735" w:type="pct"/>
            <w:tcBorders>
              <w:tl2br w:val="nil"/>
              <w:tr2bl w:val="nil"/>
            </w:tcBorders>
            <w:shd w:val="clear" w:color="auto" w:fill="auto"/>
            <w:noWrap w:val="0"/>
            <w:vAlign w:val="center"/>
          </w:tcPr>
          <w:p w14:paraId="04658F2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C2239其他纸制品制造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42880E5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怀环晃审[2024]2号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7AA3E7B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2015.7</w:t>
            </w:r>
          </w:p>
        </w:tc>
        <w:tc>
          <w:tcPr>
            <w:tcW w:w="484" w:type="pct"/>
            <w:tcBorders>
              <w:tl2br w:val="nil"/>
              <w:tr2bl w:val="nil"/>
            </w:tcBorders>
            <w:shd w:val="clear" w:color="auto" w:fill="auto"/>
            <w:noWrap w:val="0"/>
            <w:vAlign w:val="center"/>
          </w:tcPr>
          <w:p w14:paraId="5F531CD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2021.06</w:t>
            </w:r>
          </w:p>
        </w:tc>
        <w:tc>
          <w:tcPr>
            <w:tcW w:w="732" w:type="pct"/>
            <w:tcBorders>
              <w:tl2br w:val="nil"/>
              <w:tr2bl w:val="nil"/>
            </w:tcBorders>
            <w:shd w:val="clear" w:color="auto" w:fill="auto"/>
            <w:noWrap w:val="0"/>
            <w:vAlign w:val="center"/>
          </w:tcPr>
          <w:p w14:paraId="45F2789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91431227MAC2XF0R25001P</w:t>
            </w:r>
          </w:p>
        </w:tc>
        <w:tc>
          <w:tcPr>
            <w:tcW w:w="358" w:type="pct"/>
            <w:tcBorders>
              <w:tl2br w:val="nil"/>
              <w:tr2bl w:val="nil"/>
            </w:tcBorders>
            <w:shd w:val="clear" w:color="auto" w:fill="auto"/>
            <w:noWrap w:val="0"/>
            <w:vAlign w:val="center"/>
          </w:tcPr>
          <w:p w14:paraId="6037696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448017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03DA674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16</w:t>
            </w:r>
          </w:p>
        </w:tc>
        <w:tc>
          <w:tcPr>
            <w:tcW w:w="1056" w:type="pct"/>
            <w:tcBorders>
              <w:tl2br w:val="nil"/>
              <w:tr2bl w:val="nil"/>
            </w:tcBorders>
            <w:shd w:val="clear" w:color="auto" w:fill="auto"/>
            <w:noWrap w:val="0"/>
            <w:tcMar>
              <w:top w:w="15" w:type="dxa"/>
              <w:left w:w="15" w:type="dxa"/>
              <w:bottom w:w="0" w:type="dxa"/>
              <w:right w:w="15" w:type="dxa"/>
            </w:tcMar>
            <w:vAlign w:val="center"/>
          </w:tcPr>
          <w:p w14:paraId="57A3EDA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湖南英宏再生资源有限责任公司</w:t>
            </w:r>
          </w:p>
        </w:tc>
        <w:tc>
          <w:tcPr>
            <w:tcW w:w="735" w:type="pct"/>
            <w:tcBorders>
              <w:tl2br w:val="nil"/>
              <w:tr2bl w:val="nil"/>
            </w:tcBorders>
            <w:shd w:val="clear" w:color="auto" w:fill="auto"/>
            <w:noWrap w:val="0"/>
            <w:vAlign w:val="center"/>
          </w:tcPr>
          <w:p w14:paraId="7E62CB2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C4220非金属废料和碎屑加工处理</w:t>
            </w:r>
          </w:p>
        </w:tc>
        <w:tc>
          <w:tcPr>
            <w:tcW w:w="844" w:type="pct"/>
            <w:tcBorders>
              <w:tl2br w:val="nil"/>
              <w:tr2bl w:val="nil"/>
            </w:tcBorders>
            <w:shd w:val="clear" w:color="auto" w:fill="auto"/>
            <w:noWrap w:val="0"/>
            <w:tcMar>
              <w:top w:w="15" w:type="dxa"/>
              <w:left w:w="15" w:type="dxa"/>
              <w:bottom w:w="0" w:type="dxa"/>
              <w:right w:w="15" w:type="dxa"/>
            </w:tcMar>
            <w:vAlign w:val="center"/>
          </w:tcPr>
          <w:p w14:paraId="06425D7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怀环晃审[2023]6号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3222D20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2024.04</w:t>
            </w:r>
          </w:p>
        </w:tc>
        <w:tc>
          <w:tcPr>
            <w:tcW w:w="484" w:type="pct"/>
            <w:tcBorders>
              <w:tl2br w:val="nil"/>
              <w:tr2bl w:val="nil"/>
            </w:tcBorders>
            <w:shd w:val="clear" w:color="auto" w:fill="auto"/>
            <w:noWrap w:val="0"/>
            <w:vAlign w:val="center"/>
          </w:tcPr>
          <w:p w14:paraId="1623741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2024.05</w:t>
            </w:r>
          </w:p>
        </w:tc>
        <w:tc>
          <w:tcPr>
            <w:tcW w:w="732" w:type="pct"/>
            <w:tcBorders>
              <w:tl2br w:val="nil"/>
              <w:tr2bl w:val="nil"/>
            </w:tcBorders>
            <w:shd w:val="clear" w:color="auto" w:fill="auto"/>
            <w:noWrap w:val="0"/>
            <w:vAlign w:val="center"/>
          </w:tcPr>
          <w:p w14:paraId="3B3F85E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91431227MAC93GFE7E001U</w:t>
            </w:r>
          </w:p>
        </w:tc>
        <w:tc>
          <w:tcPr>
            <w:tcW w:w="358" w:type="pct"/>
            <w:tcBorders>
              <w:tl2br w:val="nil"/>
              <w:tr2bl w:val="nil"/>
            </w:tcBorders>
            <w:shd w:val="clear" w:color="auto" w:fill="auto"/>
            <w:noWrap w:val="0"/>
            <w:vAlign w:val="center"/>
          </w:tcPr>
          <w:p w14:paraId="7B5221F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15F471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067CB21">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17</w:t>
            </w:r>
          </w:p>
        </w:tc>
        <w:tc>
          <w:tcPr>
            <w:tcW w:w="1056" w:type="pct"/>
            <w:tcBorders>
              <w:tl2br w:val="nil"/>
              <w:tr2bl w:val="nil"/>
            </w:tcBorders>
            <w:shd w:val="clear" w:color="auto" w:fill="auto"/>
            <w:noWrap w:val="0"/>
            <w:tcMar>
              <w:top w:w="15" w:type="dxa"/>
              <w:left w:w="15" w:type="dxa"/>
              <w:bottom w:w="0" w:type="dxa"/>
              <w:right w:w="15" w:type="dxa"/>
            </w:tcMar>
            <w:vAlign w:val="center"/>
          </w:tcPr>
          <w:p w14:paraId="0A5985E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怀化市广鑫环保科技有限公司</w:t>
            </w:r>
          </w:p>
        </w:tc>
        <w:tc>
          <w:tcPr>
            <w:tcW w:w="735" w:type="pct"/>
            <w:tcBorders>
              <w:tl2br w:val="nil"/>
              <w:tr2bl w:val="nil"/>
            </w:tcBorders>
            <w:shd w:val="clear" w:color="auto" w:fill="auto"/>
            <w:noWrap w:val="0"/>
            <w:vAlign w:val="center"/>
          </w:tcPr>
          <w:p w14:paraId="188969B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C4210金属废料和碎屑加工处理</w:t>
            </w:r>
          </w:p>
        </w:tc>
        <w:tc>
          <w:tcPr>
            <w:tcW w:w="844" w:type="pct"/>
            <w:tcBorders>
              <w:tl2br w:val="nil"/>
              <w:tr2bl w:val="nil"/>
            </w:tcBorders>
            <w:shd w:val="clear" w:color="auto" w:fill="auto"/>
            <w:noWrap w:val="0"/>
            <w:tcMar>
              <w:top w:w="15" w:type="dxa"/>
              <w:left w:w="15" w:type="dxa"/>
              <w:bottom w:w="0" w:type="dxa"/>
              <w:right w:w="15" w:type="dxa"/>
            </w:tcMar>
            <w:vAlign w:val="center"/>
          </w:tcPr>
          <w:p w14:paraId="24110B7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怀环晃审[2025]1号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3082BD0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暂未验收</w:t>
            </w:r>
          </w:p>
        </w:tc>
        <w:tc>
          <w:tcPr>
            <w:tcW w:w="484" w:type="pct"/>
            <w:tcBorders>
              <w:tl2br w:val="nil"/>
              <w:tr2bl w:val="nil"/>
            </w:tcBorders>
            <w:shd w:val="clear" w:color="auto" w:fill="auto"/>
            <w:noWrap w:val="0"/>
            <w:vAlign w:val="center"/>
          </w:tcPr>
          <w:p w14:paraId="4C9D47B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暂未办理</w:t>
            </w:r>
          </w:p>
        </w:tc>
        <w:tc>
          <w:tcPr>
            <w:tcW w:w="732" w:type="pct"/>
            <w:tcBorders>
              <w:tl2br w:val="nil"/>
              <w:tr2bl w:val="nil"/>
            </w:tcBorders>
            <w:shd w:val="clear" w:color="auto" w:fill="auto"/>
            <w:noWrap w:val="0"/>
            <w:vAlign w:val="center"/>
          </w:tcPr>
          <w:p w14:paraId="595E178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91431227MADQ814493001Q</w:t>
            </w:r>
          </w:p>
        </w:tc>
        <w:tc>
          <w:tcPr>
            <w:tcW w:w="358" w:type="pct"/>
            <w:tcBorders>
              <w:tl2br w:val="nil"/>
              <w:tr2bl w:val="nil"/>
            </w:tcBorders>
            <w:shd w:val="clear" w:color="auto" w:fill="auto"/>
            <w:noWrap w:val="0"/>
            <w:vAlign w:val="center"/>
          </w:tcPr>
          <w:p w14:paraId="1ADADB5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3B8B58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5539E9C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18</w:t>
            </w:r>
          </w:p>
        </w:tc>
        <w:tc>
          <w:tcPr>
            <w:tcW w:w="1056" w:type="pct"/>
            <w:tcBorders>
              <w:tl2br w:val="nil"/>
              <w:tr2bl w:val="nil"/>
            </w:tcBorders>
            <w:shd w:val="clear" w:color="auto" w:fill="auto"/>
            <w:noWrap w:val="0"/>
            <w:tcMar>
              <w:top w:w="15" w:type="dxa"/>
              <w:left w:w="15" w:type="dxa"/>
              <w:bottom w:w="0" w:type="dxa"/>
              <w:right w:w="15" w:type="dxa"/>
            </w:tcMar>
            <w:vAlign w:val="center"/>
          </w:tcPr>
          <w:p w14:paraId="6410460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湖南锦程新侗新能源汽车有限公司</w:t>
            </w:r>
          </w:p>
        </w:tc>
        <w:tc>
          <w:tcPr>
            <w:tcW w:w="735" w:type="pct"/>
            <w:tcBorders>
              <w:tl2br w:val="nil"/>
              <w:tr2bl w:val="nil"/>
            </w:tcBorders>
            <w:shd w:val="clear" w:color="auto" w:fill="auto"/>
            <w:noWrap w:val="0"/>
            <w:vAlign w:val="center"/>
          </w:tcPr>
          <w:p w14:paraId="74817B2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C3612新能源车整车制造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4B6A9D1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湘环评[2017]67号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5E11740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2024.03</w:t>
            </w:r>
          </w:p>
        </w:tc>
        <w:tc>
          <w:tcPr>
            <w:tcW w:w="484" w:type="pct"/>
            <w:tcBorders>
              <w:tl2br w:val="nil"/>
              <w:tr2bl w:val="nil"/>
            </w:tcBorders>
            <w:shd w:val="clear" w:color="auto" w:fill="auto"/>
            <w:noWrap w:val="0"/>
            <w:vAlign w:val="center"/>
          </w:tcPr>
          <w:p w14:paraId="4A9AF23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2024.03</w:t>
            </w:r>
          </w:p>
        </w:tc>
        <w:tc>
          <w:tcPr>
            <w:tcW w:w="732" w:type="pct"/>
            <w:tcBorders>
              <w:tl2br w:val="nil"/>
              <w:tr2bl w:val="nil"/>
            </w:tcBorders>
            <w:shd w:val="clear" w:color="auto" w:fill="auto"/>
            <w:noWrap w:val="0"/>
            <w:vAlign w:val="center"/>
          </w:tcPr>
          <w:p w14:paraId="41A049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91431227MA4LC61A3N001U</w:t>
            </w:r>
          </w:p>
        </w:tc>
        <w:tc>
          <w:tcPr>
            <w:tcW w:w="358" w:type="pct"/>
            <w:tcBorders>
              <w:tl2br w:val="nil"/>
              <w:tr2bl w:val="nil"/>
            </w:tcBorders>
            <w:shd w:val="clear" w:color="auto" w:fill="auto"/>
            <w:noWrap w:val="0"/>
            <w:vAlign w:val="center"/>
          </w:tcPr>
          <w:p w14:paraId="2E85024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761D39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7512993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19</w:t>
            </w:r>
          </w:p>
        </w:tc>
        <w:tc>
          <w:tcPr>
            <w:tcW w:w="1056" w:type="pct"/>
            <w:tcBorders>
              <w:tl2br w:val="nil"/>
              <w:tr2bl w:val="nil"/>
            </w:tcBorders>
            <w:shd w:val="clear" w:color="auto" w:fill="auto"/>
            <w:noWrap w:val="0"/>
            <w:tcMar>
              <w:top w:w="15" w:type="dxa"/>
              <w:left w:w="15" w:type="dxa"/>
              <w:bottom w:w="0" w:type="dxa"/>
              <w:right w:w="15" w:type="dxa"/>
            </w:tcMar>
            <w:vAlign w:val="center"/>
          </w:tcPr>
          <w:p w14:paraId="50E5942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新晃县精亮玻璃有限公司</w:t>
            </w:r>
          </w:p>
        </w:tc>
        <w:tc>
          <w:tcPr>
            <w:tcW w:w="735" w:type="pct"/>
            <w:tcBorders>
              <w:tl2br w:val="nil"/>
              <w:tr2bl w:val="nil"/>
            </w:tcBorders>
            <w:shd w:val="clear" w:color="auto" w:fill="auto"/>
            <w:noWrap w:val="0"/>
            <w:vAlign w:val="center"/>
          </w:tcPr>
          <w:p w14:paraId="64AD0AB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C3042特种玻璃制造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4F62156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怀环晃审[2022]6号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36DF612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2023.11</w:t>
            </w:r>
          </w:p>
        </w:tc>
        <w:tc>
          <w:tcPr>
            <w:tcW w:w="484" w:type="pct"/>
            <w:tcBorders>
              <w:tl2br w:val="nil"/>
              <w:tr2bl w:val="nil"/>
            </w:tcBorders>
            <w:shd w:val="clear" w:color="auto" w:fill="auto"/>
            <w:noWrap w:val="0"/>
            <w:vAlign w:val="center"/>
          </w:tcPr>
          <w:p w14:paraId="3532D8F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2023.11</w:t>
            </w:r>
          </w:p>
        </w:tc>
        <w:tc>
          <w:tcPr>
            <w:tcW w:w="732" w:type="pct"/>
            <w:tcBorders>
              <w:tl2br w:val="nil"/>
              <w:tr2bl w:val="nil"/>
            </w:tcBorders>
            <w:shd w:val="clear" w:color="auto" w:fill="auto"/>
            <w:noWrap w:val="0"/>
            <w:vAlign w:val="center"/>
          </w:tcPr>
          <w:p w14:paraId="1EBCE5D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91431227MA4QEUPPX3001P</w:t>
            </w:r>
          </w:p>
        </w:tc>
        <w:tc>
          <w:tcPr>
            <w:tcW w:w="358" w:type="pct"/>
            <w:tcBorders>
              <w:tl2br w:val="nil"/>
              <w:tr2bl w:val="nil"/>
            </w:tcBorders>
            <w:shd w:val="clear" w:color="auto" w:fill="auto"/>
            <w:noWrap w:val="0"/>
            <w:vAlign w:val="center"/>
          </w:tcPr>
          <w:p w14:paraId="3C16DD3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748175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5CFBBD0">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20</w:t>
            </w:r>
          </w:p>
        </w:tc>
        <w:tc>
          <w:tcPr>
            <w:tcW w:w="1056" w:type="pct"/>
            <w:tcBorders>
              <w:tl2br w:val="nil"/>
              <w:tr2bl w:val="nil"/>
            </w:tcBorders>
            <w:shd w:val="clear" w:color="auto" w:fill="auto"/>
            <w:noWrap w:val="0"/>
            <w:tcMar>
              <w:top w:w="15" w:type="dxa"/>
              <w:left w:w="15" w:type="dxa"/>
              <w:bottom w:w="0" w:type="dxa"/>
              <w:right w:w="15" w:type="dxa"/>
            </w:tcMar>
            <w:vAlign w:val="center"/>
          </w:tcPr>
          <w:p w14:paraId="4188882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新晃老蔡食品有限责任公司</w:t>
            </w:r>
          </w:p>
        </w:tc>
        <w:tc>
          <w:tcPr>
            <w:tcW w:w="735" w:type="pct"/>
            <w:tcBorders>
              <w:tl2br w:val="nil"/>
              <w:tr2bl w:val="nil"/>
            </w:tcBorders>
            <w:shd w:val="clear" w:color="auto" w:fill="auto"/>
            <w:noWrap w:val="0"/>
            <w:vAlign w:val="center"/>
          </w:tcPr>
          <w:p w14:paraId="4FC1A2A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C1353肉制品及副产品加工</w:t>
            </w:r>
          </w:p>
        </w:tc>
        <w:tc>
          <w:tcPr>
            <w:tcW w:w="844" w:type="pct"/>
            <w:tcBorders>
              <w:tl2br w:val="nil"/>
              <w:tr2bl w:val="nil"/>
            </w:tcBorders>
            <w:shd w:val="clear" w:color="auto" w:fill="auto"/>
            <w:noWrap w:val="0"/>
            <w:tcMar>
              <w:top w:w="15" w:type="dxa"/>
              <w:left w:w="15" w:type="dxa"/>
              <w:bottom w:w="0" w:type="dxa"/>
              <w:right w:w="15" w:type="dxa"/>
            </w:tcMar>
            <w:vAlign w:val="center"/>
          </w:tcPr>
          <w:p w14:paraId="7A994FA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怀环审[2009]61号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1358976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2017.10</w:t>
            </w:r>
          </w:p>
        </w:tc>
        <w:tc>
          <w:tcPr>
            <w:tcW w:w="484" w:type="pct"/>
            <w:tcBorders>
              <w:tl2br w:val="nil"/>
              <w:tr2bl w:val="nil"/>
            </w:tcBorders>
            <w:shd w:val="clear" w:color="auto" w:fill="auto"/>
            <w:noWrap w:val="0"/>
            <w:vAlign w:val="center"/>
          </w:tcPr>
          <w:p w14:paraId="3A89F09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2020.11</w:t>
            </w:r>
          </w:p>
        </w:tc>
        <w:tc>
          <w:tcPr>
            <w:tcW w:w="732" w:type="pct"/>
            <w:tcBorders>
              <w:tl2br w:val="nil"/>
              <w:tr2bl w:val="nil"/>
            </w:tcBorders>
            <w:shd w:val="clear" w:color="auto" w:fill="auto"/>
            <w:noWrap w:val="0"/>
            <w:vAlign w:val="center"/>
          </w:tcPr>
          <w:p w14:paraId="7BA9E75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91431227L061721728001R</w:t>
            </w:r>
          </w:p>
        </w:tc>
        <w:tc>
          <w:tcPr>
            <w:tcW w:w="358" w:type="pct"/>
            <w:tcBorders>
              <w:tl2br w:val="nil"/>
              <w:tr2bl w:val="nil"/>
            </w:tcBorders>
            <w:shd w:val="clear" w:color="auto" w:fill="auto"/>
            <w:noWrap w:val="0"/>
            <w:vAlign w:val="center"/>
          </w:tcPr>
          <w:p w14:paraId="4799478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663F75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891CA0B">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21</w:t>
            </w:r>
          </w:p>
        </w:tc>
        <w:tc>
          <w:tcPr>
            <w:tcW w:w="1056" w:type="pct"/>
            <w:tcBorders>
              <w:tl2br w:val="nil"/>
              <w:tr2bl w:val="nil"/>
            </w:tcBorders>
            <w:shd w:val="clear" w:color="auto" w:fill="auto"/>
            <w:noWrap w:val="0"/>
            <w:tcMar>
              <w:top w:w="15" w:type="dxa"/>
              <w:left w:w="15" w:type="dxa"/>
              <w:bottom w:w="0" w:type="dxa"/>
              <w:right w:w="15" w:type="dxa"/>
            </w:tcMar>
            <w:vAlign w:val="center"/>
          </w:tcPr>
          <w:p w14:paraId="20A4E3E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湖南立晟新材料有限公司</w:t>
            </w:r>
          </w:p>
        </w:tc>
        <w:tc>
          <w:tcPr>
            <w:tcW w:w="735" w:type="pct"/>
            <w:tcBorders>
              <w:tl2br w:val="nil"/>
              <w:tr2bl w:val="nil"/>
            </w:tcBorders>
            <w:shd w:val="clear" w:color="auto" w:fill="auto"/>
            <w:noWrap w:val="0"/>
            <w:vAlign w:val="center"/>
          </w:tcPr>
          <w:p w14:paraId="4EF49F5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C3089耐火陶瓷制品及其他耐火材料制造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006DE00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怀环晃审[2023]11号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1C24094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2024.03</w:t>
            </w:r>
          </w:p>
        </w:tc>
        <w:tc>
          <w:tcPr>
            <w:tcW w:w="484" w:type="pct"/>
            <w:tcBorders>
              <w:tl2br w:val="nil"/>
              <w:tr2bl w:val="nil"/>
            </w:tcBorders>
            <w:shd w:val="clear" w:color="auto" w:fill="auto"/>
            <w:noWrap w:val="0"/>
            <w:vAlign w:val="center"/>
          </w:tcPr>
          <w:p w14:paraId="45278D7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2024.03</w:t>
            </w:r>
          </w:p>
        </w:tc>
        <w:tc>
          <w:tcPr>
            <w:tcW w:w="732" w:type="pct"/>
            <w:tcBorders>
              <w:tl2br w:val="nil"/>
              <w:tr2bl w:val="nil"/>
            </w:tcBorders>
            <w:shd w:val="clear" w:color="auto" w:fill="auto"/>
            <w:noWrap w:val="0"/>
            <w:vAlign w:val="center"/>
          </w:tcPr>
          <w:p w14:paraId="2BAB92C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91431227MA4PXY8P5T001U</w:t>
            </w:r>
          </w:p>
        </w:tc>
        <w:tc>
          <w:tcPr>
            <w:tcW w:w="358" w:type="pct"/>
            <w:tcBorders>
              <w:tl2br w:val="nil"/>
              <w:tr2bl w:val="nil"/>
            </w:tcBorders>
            <w:shd w:val="clear" w:color="auto" w:fill="auto"/>
            <w:noWrap w:val="0"/>
            <w:vAlign w:val="center"/>
          </w:tcPr>
          <w:p w14:paraId="68A47C9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306C76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D5D83B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22</w:t>
            </w:r>
          </w:p>
        </w:tc>
        <w:tc>
          <w:tcPr>
            <w:tcW w:w="1056" w:type="pct"/>
            <w:tcBorders>
              <w:tl2br w:val="nil"/>
              <w:tr2bl w:val="nil"/>
            </w:tcBorders>
            <w:shd w:val="clear" w:color="auto" w:fill="auto"/>
            <w:noWrap w:val="0"/>
            <w:tcMar>
              <w:top w:w="15" w:type="dxa"/>
              <w:left w:w="15" w:type="dxa"/>
              <w:bottom w:w="0" w:type="dxa"/>
              <w:right w:w="15" w:type="dxa"/>
            </w:tcMar>
            <w:vAlign w:val="center"/>
          </w:tcPr>
          <w:p w14:paraId="3DDC0E5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怀化市新益全新型环保建材有限公司</w:t>
            </w:r>
          </w:p>
        </w:tc>
        <w:tc>
          <w:tcPr>
            <w:tcW w:w="735" w:type="pct"/>
            <w:tcBorders>
              <w:tl2br w:val="nil"/>
              <w:tr2bl w:val="nil"/>
            </w:tcBorders>
            <w:shd w:val="clear" w:color="auto" w:fill="auto"/>
            <w:noWrap w:val="0"/>
            <w:vAlign w:val="center"/>
          </w:tcPr>
          <w:p w14:paraId="505BB74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C3031粘土砖瓦及建筑砌块制造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18C8B86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晃环评[2018]12号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6153052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2025</w:t>
            </w:r>
          </w:p>
        </w:tc>
        <w:tc>
          <w:tcPr>
            <w:tcW w:w="484" w:type="pct"/>
            <w:tcBorders>
              <w:tl2br w:val="nil"/>
              <w:tr2bl w:val="nil"/>
            </w:tcBorders>
            <w:shd w:val="clear" w:color="auto" w:fill="auto"/>
            <w:noWrap w:val="0"/>
            <w:vAlign w:val="center"/>
          </w:tcPr>
          <w:p w14:paraId="3C37A63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2023.07</w:t>
            </w:r>
          </w:p>
        </w:tc>
        <w:tc>
          <w:tcPr>
            <w:tcW w:w="732" w:type="pct"/>
            <w:tcBorders>
              <w:tl2br w:val="nil"/>
              <w:tr2bl w:val="nil"/>
            </w:tcBorders>
            <w:shd w:val="clear" w:color="auto" w:fill="auto"/>
            <w:noWrap w:val="0"/>
            <w:vAlign w:val="center"/>
          </w:tcPr>
          <w:p w14:paraId="78FC32D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91431227MA4PQUNA9W001Q</w:t>
            </w:r>
          </w:p>
        </w:tc>
        <w:tc>
          <w:tcPr>
            <w:tcW w:w="358" w:type="pct"/>
            <w:tcBorders>
              <w:tl2br w:val="nil"/>
              <w:tr2bl w:val="nil"/>
            </w:tcBorders>
            <w:shd w:val="clear" w:color="auto" w:fill="auto"/>
            <w:noWrap w:val="0"/>
            <w:vAlign w:val="center"/>
          </w:tcPr>
          <w:p w14:paraId="0881968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20E8E1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FA5C08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23</w:t>
            </w:r>
          </w:p>
        </w:tc>
        <w:tc>
          <w:tcPr>
            <w:tcW w:w="1056" w:type="pct"/>
            <w:tcBorders>
              <w:tl2br w:val="nil"/>
              <w:tr2bl w:val="nil"/>
            </w:tcBorders>
            <w:shd w:val="clear" w:color="auto" w:fill="auto"/>
            <w:noWrap w:val="0"/>
            <w:tcMar>
              <w:top w:w="15" w:type="dxa"/>
              <w:left w:w="15" w:type="dxa"/>
              <w:bottom w:w="0" w:type="dxa"/>
              <w:right w:w="15" w:type="dxa"/>
            </w:tcMar>
            <w:vAlign w:val="center"/>
          </w:tcPr>
          <w:p w14:paraId="0D9924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湖南阳阳食品科技有限公司</w:t>
            </w:r>
          </w:p>
        </w:tc>
        <w:tc>
          <w:tcPr>
            <w:tcW w:w="735" w:type="pct"/>
            <w:tcBorders>
              <w:tl2br w:val="nil"/>
              <w:tr2bl w:val="nil"/>
            </w:tcBorders>
            <w:shd w:val="clear" w:color="auto" w:fill="auto"/>
            <w:noWrap w:val="0"/>
            <w:vAlign w:val="center"/>
          </w:tcPr>
          <w:p w14:paraId="316EE94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C1431米、面制品制造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652C4DB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怀环晃审[2022]3号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E7D744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06B793C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1B34913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91431227MA7EX9W436001U</w:t>
            </w:r>
          </w:p>
        </w:tc>
        <w:tc>
          <w:tcPr>
            <w:tcW w:w="358" w:type="pct"/>
            <w:tcBorders>
              <w:tl2br w:val="nil"/>
              <w:tr2bl w:val="nil"/>
            </w:tcBorders>
            <w:shd w:val="clear" w:color="auto" w:fill="auto"/>
            <w:noWrap w:val="0"/>
            <w:vAlign w:val="center"/>
          </w:tcPr>
          <w:p w14:paraId="4BFFA1A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简化</w:t>
            </w:r>
          </w:p>
        </w:tc>
      </w:tr>
      <w:tr w14:paraId="54B582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02667B6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24</w:t>
            </w:r>
          </w:p>
        </w:tc>
        <w:tc>
          <w:tcPr>
            <w:tcW w:w="1056" w:type="pct"/>
            <w:tcBorders>
              <w:tl2br w:val="nil"/>
              <w:tr2bl w:val="nil"/>
            </w:tcBorders>
            <w:shd w:val="clear" w:color="auto" w:fill="auto"/>
            <w:noWrap w:val="0"/>
            <w:tcMar>
              <w:top w:w="15" w:type="dxa"/>
              <w:left w:w="15" w:type="dxa"/>
              <w:bottom w:w="0" w:type="dxa"/>
              <w:right w:w="15" w:type="dxa"/>
            </w:tcMar>
            <w:vAlign w:val="center"/>
          </w:tcPr>
          <w:p w14:paraId="69A097F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新晃新冉科技有限公司</w:t>
            </w:r>
          </w:p>
        </w:tc>
        <w:tc>
          <w:tcPr>
            <w:tcW w:w="735" w:type="pct"/>
            <w:tcBorders>
              <w:tl2br w:val="nil"/>
              <w:tr2bl w:val="nil"/>
            </w:tcBorders>
            <w:shd w:val="clear" w:color="auto" w:fill="auto"/>
            <w:noWrap w:val="0"/>
            <w:vAlign w:val="center"/>
          </w:tcPr>
          <w:p w14:paraId="5A20E92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C2319包装装潢及其他印刷</w:t>
            </w:r>
          </w:p>
        </w:tc>
        <w:tc>
          <w:tcPr>
            <w:tcW w:w="844" w:type="pct"/>
            <w:tcBorders>
              <w:tl2br w:val="nil"/>
              <w:tr2bl w:val="nil"/>
            </w:tcBorders>
            <w:shd w:val="clear" w:color="auto" w:fill="auto"/>
            <w:noWrap w:val="0"/>
            <w:tcMar>
              <w:top w:w="15" w:type="dxa"/>
              <w:left w:w="15" w:type="dxa"/>
              <w:bottom w:w="0" w:type="dxa"/>
              <w:right w:w="15" w:type="dxa"/>
            </w:tcMar>
            <w:vAlign w:val="center"/>
          </w:tcPr>
          <w:p w14:paraId="40A4AF0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怀环晃审[2023]10号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9805F8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5FC80AD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685A240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91431227MA7JALP75R001U</w:t>
            </w:r>
          </w:p>
        </w:tc>
        <w:tc>
          <w:tcPr>
            <w:tcW w:w="358" w:type="pct"/>
            <w:tcBorders>
              <w:tl2br w:val="nil"/>
              <w:tr2bl w:val="nil"/>
            </w:tcBorders>
            <w:shd w:val="clear" w:color="auto" w:fill="auto"/>
            <w:noWrap w:val="0"/>
            <w:vAlign w:val="center"/>
          </w:tcPr>
          <w:p w14:paraId="09FAC9E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0B66F0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8555F9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25</w:t>
            </w:r>
          </w:p>
        </w:tc>
        <w:tc>
          <w:tcPr>
            <w:tcW w:w="1056" w:type="pct"/>
            <w:tcBorders>
              <w:tl2br w:val="nil"/>
              <w:tr2bl w:val="nil"/>
            </w:tcBorders>
            <w:shd w:val="clear" w:color="auto" w:fill="auto"/>
            <w:noWrap w:val="0"/>
            <w:tcMar>
              <w:top w:w="15" w:type="dxa"/>
              <w:left w:w="15" w:type="dxa"/>
              <w:bottom w:w="0" w:type="dxa"/>
              <w:right w:w="15" w:type="dxa"/>
            </w:tcMar>
            <w:vAlign w:val="center"/>
          </w:tcPr>
          <w:p w14:paraId="66E3D5B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新晃县顺泰电子有限公司</w:t>
            </w:r>
          </w:p>
        </w:tc>
        <w:tc>
          <w:tcPr>
            <w:tcW w:w="735" w:type="pct"/>
            <w:tcBorders>
              <w:tl2br w:val="nil"/>
              <w:tr2bl w:val="nil"/>
            </w:tcBorders>
            <w:shd w:val="clear" w:color="auto" w:fill="auto"/>
            <w:noWrap w:val="0"/>
            <w:vAlign w:val="center"/>
          </w:tcPr>
          <w:p w14:paraId="6F93794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C3912计算机零部件制造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35CC51B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登记表</w:t>
            </w:r>
          </w:p>
        </w:tc>
        <w:tc>
          <w:tcPr>
            <w:tcW w:w="555" w:type="pct"/>
            <w:tcBorders>
              <w:tl2br w:val="nil"/>
              <w:tr2bl w:val="nil"/>
            </w:tcBorders>
            <w:shd w:val="clear" w:color="auto" w:fill="auto"/>
            <w:noWrap w:val="0"/>
            <w:tcMar>
              <w:top w:w="15" w:type="dxa"/>
              <w:left w:w="15" w:type="dxa"/>
              <w:bottom w:w="0" w:type="dxa"/>
              <w:right w:w="15" w:type="dxa"/>
            </w:tcMar>
            <w:vAlign w:val="center"/>
          </w:tcPr>
          <w:p w14:paraId="2681BCD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484" w:type="pct"/>
            <w:tcBorders>
              <w:tl2br w:val="nil"/>
              <w:tr2bl w:val="nil"/>
            </w:tcBorders>
            <w:shd w:val="clear" w:color="auto" w:fill="auto"/>
            <w:noWrap w:val="0"/>
            <w:vAlign w:val="center"/>
          </w:tcPr>
          <w:p w14:paraId="3929C59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i w:val="0"/>
                <w:iCs w:val="0"/>
                <w:color w:val="000000" w:themeColor="text1"/>
                <w:kern w:val="2"/>
                <w:sz w:val="18"/>
                <w:szCs w:val="18"/>
                <w:u w:val="none"/>
                <w:lang w:val="en-US" w:eastAsia="zh-CN" w:bidi="ar-SA"/>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732" w:type="pct"/>
            <w:tcBorders>
              <w:tl2br w:val="nil"/>
              <w:tr2bl w:val="nil"/>
            </w:tcBorders>
            <w:shd w:val="clear" w:color="auto" w:fill="auto"/>
            <w:noWrap w:val="0"/>
            <w:vAlign w:val="center"/>
          </w:tcPr>
          <w:p w14:paraId="433118B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91431227MA4PLAAD92001Y</w:t>
            </w:r>
          </w:p>
        </w:tc>
        <w:tc>
          <w:tcPr>
            <w:tcW w:w="358" w:type="pct"/>
            <w:tcBorders>
              <w:tl2br w:val="nil"/>
              <w:tr2bl w:val="nil"/>
            </w:tcBorders>
            <w:shd w:val="clear" w:color="auto" w:fill="auto"/>
            <w:noWrap w:val="0"/>
            <w:vAlign w:val="center"/>
          </w:tcPr>
          <w:p w14:paraId="60AA9EA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529CDC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04A28E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26</w:t>
            </w:r>
          </w:p>
        </w:tc>
        <w:tc>
          <w:tcPr>
            <w:tcW w:w="1056" w:type="pct"/>
            <w:tcBorders>
              <w:tl2br w:val="nil"/>
              <w:tr2bl w:val="nil"/>
            </w:tcBorders>
            <w:shd w:val="clear" w:color="auto" w:fill="auto"/>
            <w:noWrap w:val="0"/>
            <w:tcMar>
              <w:top w:w="15" w:type="dxa"/>
              <w:left w:w="15" w:type="dxa"/>
              <w:bottom w:w="0" w:type="dxa"/>
              <w:right w:w="15" w:type="dxa"/>
            </w:tcMar>
            <w:vAlign w:val="center"/>
          </w:tcPr>
          <w:p w14:paraId="2F2ED09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湖南大迈科技有限责任公司</w:t>
            </w:r>
          </w:p>
        </w:tc>
        <w:tc>
          <w:tcPr>
            <w:tcW w:w="735" w:type="pct"/>
            <w:tcBorders>
              <w:tl2br w:val="nil"/>
              <w:tr2bl w:val="nil"/>
            </w:tcBorders>
            <w:shd w:val="clear" w:color="auto" w:fill="auto"/>
            <w:noWrap w:val="0"/>
            <w:vAlign w:val="center"/>
          </w:tcPr>
          <w:p w14:paraId="5F888DA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C3061玻璃纤维及制品制造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0AB001F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晃环评[2020]1号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30353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2021.10</w:t>
            </w:r>
          </w:p>
        </w:tc>
        <w:tc>
          <w:tcPr>
            <w:tcW w:w="484" w:type="pct"/>
            <w:tcBorders>
              <w:tl2br w:val="nil"/>
              <w:tr2bl w:val="nil"/>
            </w:tcBorders>
            <w:shd w:val="clear" w:color="auto" w:fill="auto"/>
            <w:noWrap w:val="0"/>
            <w:vAlign w:val="center"/>
          </w:tcPr>
          <w:p w14:paraId="2EF7912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2022.01</w:t>
            </w:r>
          </w:p>
        </w:tc>
        <w:tc>
          <w:tcPr>
            <w:tcW w:w="732" w:type="pct"/>
            <w:tcBorders>
              <w:tl2br w:val="nil"/>
              <w:tr2bl w:val="nil"/>
            </w:tcBorders>
            <w:shd w:val="clear" w:color="auto" w:fill="auto"/>
            <w:noWrap w:val="0"/>
            <w:vAlign w:val="center"/>
          </w:tcPr>
          <w:p w14:paraId="3390810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91431227MA4QTYJD6P001X</w:t>
            </w:r>
          </w:p>
        </w:tc>
        <w:tc>
          <w:tcPr>
            <w:tcW w:w="358" w:type="pct"/>
            <w:tcBorders>
              <w:tl2br w:val="nil"/>
              <w:tr2bl w:val="nil"/>
            </w:tcBorders>
            <w:shd w:val="clear" w:color="auto" w:fill="auto"/>
            <w:noWrap w:val="0"/>
            <w:vAlign w:val="center"/>
          </w:tcPr>
          <w:p w14:paraId="180FCC2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5204DF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8C0F0B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27</w:t>
            </w:r>
          </w:p>
        </w:tc>
        <w:tc>
          <w:tcPr>
            <w:tcW w:w="1056" w:type="pct"/>
            <w:tcBorders>
              <w:tl2br w:val="nil"/>
              <w:tr2bl w:val="nil"/>
            </w:tcBorders>
            <w:shd w:val="clear" w:color="auto" w:fill="auto"/>
            <w:noWrap w:val="0"/>
            <w:tcMar>
              <w:top w:w="15" w:type="dxa"/>
              <w:left w:w="15" w:type="dxa"/>
              <w:bottom w:w="0" w:type="dxa"/>
              <w:right w:w="15" w:type="dxa"/>
            </w:tcMar>
            <w:vAlign w:val="center"/>
          </w:tcPr>
          <w:p w14:paraId="608F9DC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湖南侗业新材料科技有限公司</w:t>
            </w:r>
          </w:p>
        </w:tc>
        <w:tc>
          <w:tcPr>
            <w:tcW w:w="735" w:type="pct"/>
            <w:tcBorders>
              <w:tl2br w:val="nil"/>
              <w:tr2bl w:val="nil"/>
            </w:tcBorders>
            <w:shd w:val="clear" w:color="auto" w:fill="auto"/>
            <w:noWrap w:val="0"/>
            <w:vAlign w:val="center"/>
          </w:tcPr>
          <w:p w14:paraId="759F66B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C2919其他橡胶制品制造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2F34C54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晃环评[2019]2号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7648D44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2020.09</w:t>
            </w:r>
          </w:p>
        </w:tc>
        <w:tc>
          <w:tcPr>
            <w:tcW w:w="484" w:type="pct"/>
            <w:tcBorders>
              <w:tl2br w:val="nil"/>
              <w:tr2bl w:val="nil"/>
            </w:tcBorders>
            <w:shd w:val="clear" w:color="auto" w:fill="auto"/>
            <w:noWrap w:val="0"/>
            <w:vAlign w:val="center"/>
          </w:tcPr>
          <w:p w14:paraId="23BD99B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2020.09</w:t>
            </w:r>
          </w:p>
        </w:tc>
        <w:tc>
          <w:tcPr>
            <w:tcW w:w="732" w:type="pct"/>
            <w:tcBorders>
              <w:tl2br w:val="nil"/>
              <w:tr2bl w:val="nil"/>
            </w:tcBorders>
            <w:shd w:val="clear" w:color="auto" w:fill="auto"/>
            <w:noWrap w:val="0"/>
            <w:vAlign w:val="center"/>
          </w:tcPr>
          <w:p w14:paraId="27F253E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 xml:space="preserve">91431227MA4Q7NGB0T001Y </w:t>
            </w:r>
          </w:p>
        </w:tc>
        <w:tc>
          <w:tcPr>
            <w:tcW w:w="358" w:type="pct"/>
            <w:tcBorders>
              <w:tl2br w:val="nil"/>
              <w:tr2bl w:val="nil"/>
            </w:tcBorders>
            <w:shd w:val="clear" w:color="auto" w:fill="auto"/>
            <w:noWrap w:val="0"/>
            <w:vAlign w:val="center"/>
          </w:tcPr>
          <w:p w14:paraId="5B5A6B9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0D73BB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75B28B6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28</w:t>
            </w:r>
          </w:p>
        </w:tc>
        <w:tc>
          <w:tcPr>
            <w:tcW w:w="1056" w:type="pct"/>
            <w:tcBorders>
              <w:tl2br w:val="nil"/>
              <w:tr2bl w:val="nil"/>
            </w:tcBorders>
            <w:shd w:val="clear" w:color="auto" w:fill="auto"/>
            <w:noWrap w:val="0"/>
            <w:tcMar>
              <w:top w:w="15" w:type="dxa"/>
              <w:left w:w="15" w:type="dxa"/>
              <w:bottom w:w="0" w:type="dxa"/>
              <w:right w:w="15" w:type="dxa"/>
            </w:tcMar>
            <w:vAlign w:val="center"/>
          </w:tcPr>
          <w:p w14:paraId="1AB9492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新晃都源电子科技有限公司</w:t>
            </w:r>
          </w:p>
        </w:tc>
        <w:tc>
          <w:tcPr>
            <w:tcW w:w="735" w:type="pct"/>
            <w:tcBorders>
              <w:tl2br w:val="nil"/>
              <w:tr2bl w:val="nil"/>
            </w:tcBorders>
            <w:shd w:val="clear" w:color="auto" w:fill="auto"/>
            <w:noWrap w:val="0"/>
            <w:vAlign w:val="center"/>
          </w:tcPr>
          <w:p w14:paraId="1735638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C3831电线、电缆制造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1E2EB33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晃环函[2014]22号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53B8750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2019.05</w:t>
            </w:r>
          </w:p>
        </w:tc>
        <w:tc>
          <w:tcPr>
            <w:tcW w:w="484" w:type="pct"/>
            <w:tcBorders>
              <w:tl2br w:val="nil"/>
              <w:tr2bl w:val="nil"/>
            </w:tcBorders>
            <w:shd w:val="clear" w:color="auto" w:fill="auto"/>
            <w:noWrap w:val="0"/>
            <w:vAlign w:val="center"/>
          </w:tcPr>
          <w:p w14:paraId="53B06D4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772460B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91431227396644741R001X</w:t>
            </w:r>
          </w:p>
        </w:tc>
        <w:tc>
          <w:tcPr>
            <w:tcW w:w="358" w:type="pct"/>
            <w:tcBorders>
              <w:tl2br w:val="nil"/>
              <w:tr2bl w:val="nil"/>
            </w:tcBorders>
            <w:shd w:val="clear" w:color="auto" w:fill="auto"/>
            <w:noWrap w:val="0"/>
            <w:vAlign w:val="center"/>
          </w:tcPr>
          <w:p w14:paraId="5AFAE6F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520EF4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78F22FF5">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29</w:t>
            </w:r>
          </w:p>
        </w:tc>
        <w:tc>
          <w:tcPr>
            <w:tcW w:w="1056" w:type="pct"/>
            <w:tcBorders>
              <w:tl2br w:val="nil"/>
              <w:tr2bl w:val="nil"/>
            </w:tcBorders>
            <w:shd w:val="clear" w:color="auto" w:fill="auto"/>
            <w:noWrap w:val="0"/>
            <w:tcMar>
              <w:top w:w="15" w:type="dxa"/>
              <w:left w:w="15" w:type="dxa"/>
              <w:bottom w:w="0" w:type="dxa"/>
              <w:right w:w="15" w:type="dxa"/>
            </w:tcMar>
            <w:vAlign w:val="center"/>
          </w:tcPr>
          <w:p w14:paraId="1C9A4A3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新晃县富瑞纺织有限公司</w:t>
            </w:r>
          </w:p>
        </w:tc>
        <w:tc>
          <w:tcPr>
            <w:tcW w:w="735" w:type="pct"/>
            <w:tcBorders>
              <w:tl2br w:val="nil"/>
              <w:tr2bl w:val="nil"/>
            </w:tcBorders>
            <w:shd w:val="clear" w:color="auto" w:fill="auto"/>
            <w:noWrap w:val="0"/>
            <w:vAlign w:val="center"/>
          </w:tcPr>
          <w:p w14:paraId="16BCD79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C1712棉织造加工</w:t>
            </w:r>
          </w:p>
        </w:tc>
        <w:tc>
          <w:tcPr>
            <w:tcW w:w="844" w:type="pct"/>
            <w:tcBorders>
              <w:tl2br w:val="nil"/>
              <w:tr2bl w:val="nil"/>
            </w:tcBorders>
            <w:shd w:val="clear" w:color="auto" w:fill="auto"/>
            <w:noWrap w:val="0"/>
            <w:tcMar>
              <w:top w:w="15" w:type="dxa"/>
              <w:left w:w="15" w:type="dxa"/>
              <w:bottom w:w="0" w:type="dxa"/>
              <w:right w:w="15" w:type="dxa"/>
            </w:tcMar>
            <w:vAlign w:val="center"/>
          </w:tcPr>
          <w:p w14:paraId="3D1A641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晃环评[2020]2号（原祥盛纺织）</w:t>
            </w:r>
          </w:p>
        </w:tc>
        <w:tc>
          <w:tcPr>
            <w:tcW w:w="555" w:type="pct"/>
            <w:tcBorders>
              <w:tl2br w:val="nil"/>
              <w:tr2bl w:val="nil"/>
            </w:tcBorders>
            <w:shd w:val="clear" w:color="auto" w:fill="auto"/>
            <w:noWrap w:val="0"/>
            <w:tcMar>
              <w:top w:w="15" w:type="dxa"/>
              <w:left w:w="15" w:type="dxa"/>
              <w:bottom w:w="0" w:type="dxa"/>
              <w:right w:w="15" w:type="dxa"/>
            </w:tcMar>
            <w:vAlign w:val="center"/>
          </w:tcPr>
          <w:p w14:paraId="1FA3E40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443CD74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2824BD1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91431227MA4T1FMD3N001P</w:t>
            </w:r>
          </w:p>
        </w:tc>
        <w:tc>
          <w:tcPr>
            <w:tcW w:w="358" w:type="pct"/>
            <w:tcBorders>
              <w:tl2br w:val="nil"/>
              <w:tr2bl w:val="nil"/>
            </w:tcBorders>
            <w:shd w:val="clear" w:color="auto" w:fill="auto"/>
            <w:noWrap w:val="0"/>
            <w:vAlign w:val="center"/>
          </w:tcPr>
          <w:p w14:paraId="5F8D3BF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78FEA4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9C9A50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30</w:t>
            </w:r>
          </w:p>
        </w:tc>
        <w:tc>
          <w:tcPr>
            <w:tcW w:w="1056" w:type="pct"/>
            <w:tcBorders>
              <w:tl2br w:val="nil"/>
              <w:tr2bl w:val="nil"/>
            </w:tcBorders>
            <w:shd w:val="clear" w:color="auto" w:fill="auto"/>
            <w:noWrap w:val="0"/>
            <w:tcMar>
              <w:top w:w="15" w:type="dxa"/>
              <w:left w:w="15" w:type="dxa"/>
              <w:bottom w:w="0" w:type="dxa"/>
              <w:right w:w="15" w:type="dxa"/>
            </w:tcMar>
            <w:vAlign w:val="center"/>
          </w:tcPr>
          <w:p w14:paraId="2E91B3A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湖南翼达富纺织织造有限公司</w:t>
            </w:r>
          </w:p>
        </w:tc>
        <w:tc>
          <w:tcPr>
            <w:tcW w:w="735" w:type="pct"/>
            <w:tcBorders>
              <w:tl2br w:val="nil"/>
              <w:tr2bl w:val="nil"/>
            </w:tcBorders>
            <w:shd w:val="clear" w:color="auto" w:fill="auto"/>
            <w:noWrap w:val="0"/>
            <w:vAlign w:val="center"/>
          </w:tcPr>
          <w:p w14:paraId="02C4066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C1711棉纺纱加工</w:t>
            </w:r>
          </w:p>
        </w:tc>
        <w:tc>
          <w:tcPr>
            <w:tcW w:w="844" w:type="pct"/>
            <w:tcBorders>
              <w:tl2br w:val="nil"/>
              <w:tr2bl w:val="nil"/>
            </w:tcBorders>
            <w:shd w:val="clear" w:color="auto" w:fill="auto"/>
            <w:noWrap w:val="0"/>
            <w:tcMar>
              <w:top w:w="15" w:type="dxa"/>
              <w:left w:w="15" w:type="dxa"/>
              <w:bottom w:w="0" w:type="dxa"/>
              <w:right w:w="15" w:type="dxa"/>
            </w:tcMar>
            <w:vAlign w:val="center"/>
          </w:tcPr>
          <w:p w14:paraId="66A02CA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晃环评[2020]2号（原祥盛纺织）</w:t>
            </w:r>
          </w:p>
        </w:tc>
        <w:tc>
          <w:tcPr>
            <w:tcW w:w="555" w:type="pct"/>
            <w:tcBorders>
              <w:tl2br w:val="nil"/>
              <w:tr2bl w:val="nil"/>
            </w:tcBorders>
            <w:shd w:val="clear" w:color="auto" w:fill="auto"/>
            <w:noWrap w:val="0"/>
            <w:tcMar>
              <w:top w:w="15" w:type="dxa"/>
              <w:left w:w="15" w:type="dxa"/>
              <w:bottom w:w="0" w:type="dxa"/>
              <w:right w:w="15" w:type="dxa"/>
            </w:tcMar>
            <w:vAlign w:val="center"/>
          </w:tcPr>
          <w:p w14:paraId="28D45CC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2086A7B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7C8CE2E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91431227MA4T1FMD3N001P</w:t>
            </w:r>
          </w:p>
        </w:tc>
        <w:tc>
          <w:tcPr>
            <w:tcW w:w="358" w:type="pct"/>
            <w:tcBorders>
              <w:tl2br w:val="nil"/>
              <w:tr2bl w:val="nil"/>
            </w:tcBorders>
            <w:shd w:val="clear" w:color="auto" w:fill="auto"/>
            <w:noWrap w:val="0"/>
            <w:vAlign w:val="center"/>
          </w:tcPr>
          <w:p w14:paraId="222D25E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5346DC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7226A1D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31</w:t>
            </w:r>
          </w:p>
        </w:tc>
        <w:tc>
          <w:tcPr>
            <w:tcW w:w="1056" w:type="pct"/>
            <w:tcBorders>
              <w:tl2br w:val="nil"/>
              <w:tr2bl w:val="nil"/>
            </w:tcBorders>
            <w:shd w:val="clear" w:color="auto" w:fill="auto"/>
            <w:noWrap w:val="0"/>
            <w:tcMar>
              <w:top w:w="15" w:type="dxa"/>
              <w:left w:w="15" w:type="dxa"/>
              <w:bottom w:w="0" w:type="dxa"/>
              <w:right w:w="15" w:type="dxa"/>
            </w:tcMar>
            <w:vAlign w:val="center"/>
          </w:tcPr>
          <w:p w14:paraId="0C8C583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怀化鸿泰混凝土有限公司</w:t>
            </w:r>
          </w:p>
        </w:tc>
        <w:tc>
          <w:tcPr>
            <w:tcW w:w="735" w:type="pct"/>
            <w:tcBorders>
              <w:tl2br w:val="nil"/>
              <w:tr2bl w:val="nil"/>
            </w:tcBorders>
            <w:shd w:val="clear" w:color="auto" w:fill="auto"/>
            <w:noWrap w:val="0"/>
            <w:vAlign w:val="center"/>
          </w:tcPr>
          <w:p w14:paraId="2E508E4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C3021水泥制品制造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40E6547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晃环评[2019]8号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05CA05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2021.11</w:t>
            </w:r>
          </w:p>
        </w:tc>
        <w:tc>
          <w:tcPr>
            <w:tcW w:w="484" w:type="pct"/>
            <w:tcBorders>
              <w:tl2br w:val="nil"/>
              <w:tr2bl w:val="nil"/>
            </w:tcBorders>
            <w:shd w:val="clear" w:color="auto" w:fill="auto"/>
            <w:noWrap w:val="0"/>
            <w:vAlign w:val="center"/>
          </w:tcPr>
          <w:p w14:paraId="62789BB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2025.10</w:t>
            </w:r>
          </w:p>
        </w:tc>
        <w:tc>
          <w:tcPr>
            <w:tcW w:w="732" w:type="pct"/>
            <w:tcBorders>
              <w:tl2br w:val="nil"/>
              <w:tr2bl w:val="nil"/>
            </w:tcBorders>
            <w:shd w:val="clear" w:color="auto" w:fill="auto"/>
            <w:noWrap w:val="0"/>
            <w:vAlign w:val="center"/>
          </w:tcPr>
          <w:p w14:paraId="70A7489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91431227MA4QJDGA0X001Y</w:t>
            </w:r>
          </w:p>
        </w:tc>
        <w:tc>
          <w:tcPr>
            <w:tcW w:w="358" w:type="pct"/>
            <w:tcBorders>
              <w:tl2br w:val="nil"/>
              <w:tr2bl w:val="nil"/>
            </w:tcBorders>
            <w:shd w:val="clear" w:color="auto" w:fill="auto"/>
            <w:noWrap w:val="0"/>
            <w:vAlign w:val="center"/>
          </w:tcPr>
          <w:p w14:paraId="6C23791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74ACE3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812F1F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32</w:t>
            </w:r>
          </w:p>
        </w:tc>
        <w:tc>
          <w:tcPr>
            <w:tcW w:w="1056" w:type="pct"/>
            <w:tcBorders>
              <w:tl2br w:val="nil"/>
              <w:tr2bl w:val="nil"/>
            </w:tcBorders>
            <w:shd w:val="clear" w:color="auto" w:fill="auto"/>
            <w:noWrap w:val="0"/>
            <w:tcMar>
              <w:top w:w="15" w:type="dxa"/>
              <w:left w:w="15" w:type="dxa"/>
              <w:bottom w:w="0" w:type="dxa"/>
              <w:right w:w="15" w:type="dxa"/>
            </w:tcMar>
            <w:vAlign w:val="center"/>
          </w:tcPr>
          <w:p w14:paraId="45D350D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新晃晃新塑业有限公司</w:t>
            </w:r>
          </w:p>
        </w:tc>
        <w:tc>
          <w:tcPr>
            <w:tcW w:w="735" w:type="pct"/>
            <w:tcBorders>
              <w:tl2br w:val="nil"/>
              <w:tr2bl w:val="nil"/>
            </w:tcBorders>
            <w:shd w:val="clear" w:color="auto" w:fill="auto"/>
            <w:noWrap w:val="0"/>
            <w:vAlign w:val="center"/>
          </w:tcPr>
          <w:p w14:paraId="24DEF6D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C2923塑料丝、绳及编织品制造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28CB069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晃环评[2016]3号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2C4C9E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2016.12</w:t>
            </w:r>
          </w:p>
        </w:tc>
        <w:tc>
          <w:tcPr>
            <w:tcW w:w="484" w:type="pct"/>
            <w:tcBorders>
              <w:tl2br w:val="nil"/>
              <w:tr2bl w:val="nil"/>
            </w:tcBorders>
            <w:shd w:val="clear" w:color="auto" w:fill="auto"/>
            <w:noWrap w:val="0"/>
            <w:vAlign w:val="center"/>
          </w:tcPr>
          <w:p w14:paraId="3D37207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2016.11</w:t>
            </w:r>
          </w:p>
        </w:tc>
        <w:tc>
          <w:tcPr>
            <w:tcW w:w="732" w:type="pct"/>
            <w:tcBorders>
              <w:tl2br w:val="nil"/>
              <w:tr2bl w:val="nil"/>
            </w:tcBorders>
            <w:shd w:val="clear" w:color="auto" w:fill="auto"/>
            <w:noWrap w:val="0"/>
            <w:vAlign w:val="center"/>
          </w:tcPr>
          <w:p w14:paraId="1C0793F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9143122733850808X8001Z</w:t>
            </w:r>
          </w:p>
        </w:tc>
        <w:tc>
          <w:tcPr>
            <w:tcW w:w="358" w:type="pct"/>
            <w:tcBorders>
              <w:tl2br w:val="nil"/>
              <w:tr2bl w:val="nil"/>
            </w:tcBorders>
            <w:shd w:val="clear" w:color="auto" w:fill="auto"/>
            <w:noWrap w:val="0"/>
            <w:vAlign w:val="center"/>
          </w:tcPr>
          <w:p w14:paraId="32EE27A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41C7F6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3DF2D4F">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33</w:t>
            </w:r>
          </w:p>
        </w:tc>
        <w:tc>
          <w:tcPr>
            <w:tcW w:w="1056" w:type="pct"/>
            <w:tcBorders>
              <w:tl2br w:val="nil"/>
              <w:tr2bl w:val="nil"/>
            </w:tcBorders>
            <w:shd w:val="clear" w:color="auto" w:fill="auto"/>
            <w:noWrap w:val="0"/>
            <w:tcMar>
              <w:top w:w="15" w:type="dxa"/>
              <w:left w:w="15" w:type="dxa"/>
              <w:bottom w:w="0" w:type="dxa"/>
              <w:right w:w="15" w:type="dxa"/>
            </w:tcMar>
            <w:vAlign w:val="center"/>
          </w:tcPr>
          <w:p w14:paraId="7AE6E75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新晃县建恒水泥构件有限公司</w:t>
            </w:r>
          </w:p>
        </w:tc>
        <w:tc>
          <w:tcPr>
            <w:tcW w:w="735" w:type="pct"/>
            <w:tcBorders>
              <w:tl2br w:val="nil"/>
              <w:tr2bl w:val="nil"/>
            </w:tcBorders>
            <w:shd w:val="clear" w:color="auto" w:fill="auto"/>
            <w:noWrap w:val="0"/>
            <w:vAlign w:val="center"/>
          </w:tcPr>
          <w:p w14:paraId="1E1A786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C3021水泥制品制造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71397C3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怀环晃审[2021]4号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5201F1D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28AFBB6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3138B96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92431227MA4NPE4N35001X</w:t>
            </w:r>
          </w:p>
        </w:tc>
        <w:tc>
          <w:tcPr>
            <w:tcW w:w="358" w:type="pct"/>
            <w:tcBorders>
              <w:tl2br w:val="nil"/>
              <w:tr2bl w:val="nil"/>
            </w:tcBorders>
            <w:shd w:val="clear" w:color="auto" w:fill="auto"/>
            <w:noWrap w:val="0"/>
            <w:vAlign w:val="center"/>
          </w:tcPr>
          <w:p w14:paraId="1B20674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6647E0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1D41F0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34</w:t>
            </w:r>
          </w:p>
        </w:tc>
        <w:tc>
          <w:tcPr>
            <w:tcW w:w="1056" w:type="pct"/>
            <w:tcBorders>
              <w:tl2br w:val="nil"/>
              <w:tr2bl w:val="nil"/>
            </w:tcBorders>
            <w:shd w:val="clear" w:color="auto" w:fill="auto"/>
            <w:noWrap w:val="0"/>
            <w:tcMar>
              <w:top w:w="15" w:type="dxa"/>
              <w:left w:w="15" w:type="dxa"/>
              <w:bottom w:w="0" w:type="dxa"/>
              <w:right w:w="15" w:type="dxa"/>
            </w:tcMar>
            <w:vAlign w:val="center"/>
          </w:tcPr>
          <w:p w14:paraId="0A63364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新晃国药龙脑科技有限公司</w:t>
            </w:r>
          </w:p>
        </w:tc>
        <w:tc>
          <w:tcPr>
            <w:tcW w:w="735" w:type="pct"/>
            <w:tcBorders>
              <w:tl2br w:val="nil"/>
              <w:tr2bl w:val="nil"/>
            </w:tcBorders>
            <w:shd w:val="clear" w:color="auto" w:fill="auto"/>
            <w:noWrap w:val="0"/>
            <w:vAlign w:val="center"/>
          </w:tcPr>
          <w:p w14:paraId="79FF0A7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C2663林产化学产品制造、C2730中药饮片加工</w:t>
            </w:r>
          </w:p>
        </w:tc>
        <w:tc>
          <w:tcPr>
            <w:tcW w:w="844" w:type="pct"/>
            <w:tcBorders>
              <w:tl2br w:val="nil"/>
              <w:tr2bl w:val="nil"/>
            </w:tcBorders>
            <w:shd w:val="clear" w:color="auto" w:fill="auto"/>
            <w:noWrap w:val="0"/>
            <w:tcMar>
              <w:top w:w="15" w:type="dxa"/>
              <w:left w:w="15" w:type="dxa"/>
              <w:bottom w:w="0" w:type="dxa"/>
              <w:right w:w="15" w:type="dxa"/>
            </w:tcMar>
            <w:vAlign w:val="center"/>
          </w:tcPr>
          <w:p w14:paraId="50C6184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怀环评[2014]21号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FFC588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c>
          <w:tcPr>
            <w:tcW w:w="484" w:type="pct"/>
            <w:tcBorders>
              <w:tl2br w:val="nil"/>
              <w:tr2bl w:val="nil"/>
            </w:tcBorders>
            <w:shd w:val="clear" w:color="auto" w:fill="auto"/>
            <w:noWrap w:val="0"/>
            <w:vAlign w:val="center"/>
          </w:tcPr>
          <w:p w14:paraId="536252B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c>
          <w:tcPr>
            <w:tcW w:w="732" w:type="pct"/>
            <w:tcBorders>
              <w:tl2br w:val="nil"/>
              <w:tr2bl w:val="nil"/>
            </w:tcBorders>
            <w:shd w:val="clear" w:color="auto" w:fill="auto"/>
            <w:noWrap w:val="0"/>
            <w:vAlign w:val="center"/>
          </w:tcPr>
          <w:p w14:paraId="0B2FEAF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c>
          <w:tcPr>
            <w:tcW w:w="358" w:type="pct"/>
            <w:tcBorders>
              <w:tl2br w:val="nil"/>
              <w:tr2bl w:val="nil"/>
            </w:tcBorders>
            <w:shd w:val="clear" w:color="auto" w:fill="auto"/>
            <w:noWrap w:val="0"/>
            <w:vAlign w:val="center"/>
          </w:tcPr>
          <w:p w14:paraId="25799C6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r>
      <w:tr w14:paraId="38D5A8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2988AF5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35</w:t>
            </w:r>
          </w:p>
        </w:tc>
        <w:tc>
          <w:tcPr>
            <w:tcW w:w="1056" w:type="pct"/>
            <w:tcBorders>
              <w:tl2br w:val="nil"/>
              <w:tr2bl w:val="nil"/>
            </w:tcBorders>
            <w:shd w:val="clear" w:color="auto" w:fill="auto"/>
            <w:noWrap w:val="0"/>
            <w:tcMar>
              <w:top w:w="15" w:type="dxa"/>
              <w:left w:w="15" w:type="dxa"/>
              <w:bottom w:w="0" w:type="dxa"/>
              <w:right w:w="15" w:type="dxa"/>
            </w:tcMar>
            <w:vAlign w:val="center"/>
          </w:tcPr>
          <w:p w14:paraId="670E1BD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湖南博雨箱包有限公司</w:t>
            </w:r>
          </w:p>
        </w:tc>
        <w:tc>
          <w:tcPr>
            <w:tcW w:w="735" w:type="pct"/>
            <w:tcBorders>
              <w:tl2br w:val="nil"/>
              <w:tr2bl w:val="nil"/>
            </w:tcBorders>
            <w:shd w:val="clear" w:color="auto" w:fill="auto"/>
            <w:noWrap w:val="0"/>
            <w:vAlign w:val="center"/>
          </w:tcPr>
          <w:p w14:paraId="4C9F174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C3333金属包装容器及材料制造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1239E0C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登记表</w:t>
            </w:r>
          </w:p>
        </w:tc>
        <w:tc>
          <w:tcPr>
            <w:tcW w:w="555" w:type="pct"/>
            <w:tcBorders>
              <w:tl2br w:val="nil"/>
              <w:tr2bl w:val="nil"/>
            </w:tcBorders>
            <w:shd w:val="clear" w:color="auto" w:fill="auto"/>
            <w:noWrap w:val="0"/>
            <w:tcMar>
              <w:top w:w="15" w:type="dxa"/>
              <w:left w:w="15" w:type="dxa"/>
              <w:bottom w:w="0" w:type="dxa"/>
              <w:right w:w="15" w:type="dxa"/>
            </w:tcMar>
            <w:vAlign w:val="center"/>
          </w:tcPr>
          <w:p w14:paraId="0B618CF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484" w:type="pct"/>
            <w:tcBorders>
              <w:tl2br w:val="nil"/>
              <w:tr2bl w:val="nil"/>
            </w:tcBorders>
            <w:shd w:val="clear" w:color="auto" w:fill="auto"/>
            <w:noWrap w:val="0"/>
            <w:vAlign w:val="center"/>
          </w:tcPr>
          <w:p w14:paraId="55FECB2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732" w:type="pct"/>
            <w:tcBorders>
              <w:tl2br w:val="nil"/>
              <w:tr2bl w:val="nil"/>
            </w:tcBorders>
            <w:shd w:val="clear" w:color="auto" w:fill="auto"/>
            <w:noWrap w:val="0"/>
            <w:vAlign w:val="center"/>
          </w:tcPr>
          <w:p w14:paraId="056B1AB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91431227MA4Q4GAB7U001W</w:t>
            </w:r>
          </w:p>
        </w:tc>
        <w:tc>
          <w:tcPr>
            <w:tcW w:w="358" w:type="pct"/>
            <w:tcBorders>
              <w:tl2br w:val="nil"/>
              <w:tr2bl w:val="nil"/>
            </w:tcBorders>
            <w:shd w:val="clear" w:color="auto" w:fill="auto"/>
            <w:noWrap w:val="0"/>
            <w:vAlign w:val="center"/>
          </w:tcPr>
          <w:p w14:paraId="0B4CC11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14D087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731CEC1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36</w:t>
            </w:r>
          </w:p>
        </w:tc>
        <w:tc>
          <w:tcPr>
            <w:tcW w:w="1056" w:type="pct"/>
            <w:tcBorders>
              <w:tl2br w:val="nil"/>
              <w:tr2bl w:val="nil"/>
            </w:tcBorders>
            <w:shd w:val="clear" w:color="auto" w:fill="auto"/>
            <w:noWrap w:val="0"/>
            <w:tcMar>
              <w:top w:w="15" w:type="dxa"/>
              <w:left w:w="15" w:type="dxa"/>
              <w:bottom w:w="0" w:type="dxa"/>
              <w:right w:w="15" w:type="dxa"/>
            </w:tcMar>
            <w:vAlign w:val="center"/>
          </w:tcPr>
          <w:p w14:paraId="10789A9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湖南麦金德环保科技有限公司</w:t>
            </w:r>
          </w:p>
        </w:tc>
        <w:tc>
          <w:tcPr>
            <w:tcW w:w="735" w:type="pct"/>
            <w:tcBorders>
              <w:tl2br w:val="nil"/>
              <w:tr2bl w:val="nil"/>
            </w:tcBorders>
            <w:shd w:val="clear" w:color="auto" w:fill="auto"/>
            <w:noWrap w:val="0"/>
            <w:vAlign w:val="center"/>
          </w:tcPr>
          <w:p w14:paraId="751C3E6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C3061玻璃纤维及制品制造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3D746D9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怀环晃审[2023]8号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1583983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暂未验收</w:t>
            </w:r>
          </w:p>
        </w:tc>
        <w:tc>
          <w:tcPr>
            <w:tcW w:w="484" w:type="pct"/>
            <w:tcBorders>
              <w:tl2br w:val="nil"/>
              <w:tr2bl w:val="nil"/>
            </w:tcBorders>
            <w:shd w:val="clear" w:color="auto" w:fill="auto"/>
            <w:noWrap w:val="0"/>
            <w:vAlign w:val="center"/>
          </w:tcPr>
          <w:p w14:paraId="26C4A77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暂未办理</w:t>
            </w:r>
          </w:p>
        </w:tc>
        <w:tc>
          <w:tcPr>
            <w:tcW w:w="732" w:type="pct"/>
            <w:tcBorders>
              <w:tl2br w:val="nil"/>
              <w:tr2bl w:val="nil"/>
            </w:tcBorders>
            <w:shd w:val="clear" w:color="auto" w:fill="auto"/>
            <w:noWrap w:val="0"/>
            <w:vAlign w:val="center"/>
          </w:tcPr>
          <w:p w14:paraId="44A05DC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91431227MACDHAGL4C001Z</w:t>
            </w:r>
          </w:p>
        </w:tc>
        <w:tc>
          <w:tcPr>
            <w:tcW w:w="358" w:type="pct"/>
            <w:tcBorders>
              <w:tl2br w:val="nil"/>
              <w:tr2bl w:val="nil"/>
            </w:tcBorders>
            <w:shd w:val="clear" w:color="auto" w:fill="auto"/>
            <w:noWrap w:val="0"/>
            <w:vAlign w:val="center"/>
          </w:tcPr>
          <w:p w14:paraId="637B05B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6D4E2F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4EF7B95B">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37</w:t>
            </w:r>
          </w:p>
        </w:tc>
        <w:tc>
          <w:tcPr>
            <w:tcW w:w="1056" w:type="pct"/>
            <w:tcBorders>
              <w:tl2br w:val="nil"/>
              <w:tr2bl w:val="nil"/>
            </w:tcBorders>
            <w:shd w:val="clear" w:color="auto" w:fill="auto"/>
            <w:noWrap w:val="0"/>
            <w:tcMar>
              <w:top w:w="15" w:type="dxa"/>
              <w:left w:w="15" w:type="dxa"/>
              <w:bottom w:w="0" w:type="dxa"/>
              <w:right w:w="15" w:type="dxa"/>
            </w:tcMar>
            <w:vAlign w:val="center"/>
          </w:tcPr>
          <w:p w14:paraId="28A9971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新晃县清发矿产有限责任公司</w:t>
            </w:r>
          </w:p>
        </w:tc>
        <w:tc>
          <w:tcPr>
            <w:tcW w:w="735" w:type="pct"/>
            <w:tcBorders>
              <w:tl2br w:val="nil"/>
              <w:tr2bl w:val="nil"/>
            </w:tcBorders>
            <w:shd w:val="clear" w:color="auto" w:fill="auto"/>
            <w:noWrap w:val="0"/>
            <w:vAlign w:val="center"/>
          </w:tcPr>
          <w:p w14:paraId="787F415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B1099其他未列明非金属矿采选</w:t>
            </w:r>
          </w:p>
        </w:tc>
        <w:tc>
          <w:tcPr>
            <w:tcW w:w="844" w:type="pct"/>
            <w:tcBorders>
              <w:tl2br w:val="nil"/>
              <w:tr2bl w:val="nil"/>
            </w:tcBorders>
            <w:shd w:val="clear" w:color="auto" w:fill="auto"/>
            <w:noWrap w:val="0"/>
            <w:tcMar>
              <w:top w:w="15" w:type="dxa"/>
              <w:left w:w="15" w:type="dxa"/>
              <w:bottom w:w="0" w:type="dxa"/>
              <w:right w:w="15" w:type="dxa"/>
            </w:tcMar>
            <w:vAlign w:val="center"/>
          </w:tcPr>
          <w:p w14:paraId="0D9EB8D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晃环评[2019]7号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6C8DC27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2020.12</w:t>
            </w:r>
          </w:p>
        </w:tc>
        <w:tc>
          <w:tcPr>
            <w:tcW w:w="484" w:type="pct"/>
            <w:tcBorders>
              <w:tl2br w:val="nil"/>
              <w:tr2bl w:val="nil"/>
            </w:tcBorders>
            <w:shd w:val="clear" w:color="auto" w:fill="auto"/>
            <w:noWrap w:val="0"/>
            <w:vAlign w:val="center"/>
          </w:tcPr>
          <w:p w14:paraId="7BB0334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2020.11</w:t>
            </w:r>
          </w:p>
        </w:tc>
        <w:tc>
          <w:tcPr>
            <w:tcW w:w="732" w:type="pct"/>
            <w:tcBorders>
              <w:tl2br w:val="nil"/>
              <w:tr2bl w:val="nil"/>
            </w:tcBorders>
            <w:shd w:val="clear" w:color="auto" w:fill="auto"/>
            <w:noWrap w:val="0"/>
            <w:vAlign w:val="center"/>
          </w:tcPr>
          <w:p w14:paraId="6820626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91431227722590997A001X</w:t>
            </w:r>
          </w:p>
        </w:tc>
        <w:tc>
          <w:tcPr>
            <w:tcW w:w="358" w:type="pct"/>
            <w:tcBorders>
              <w:tl2br w:val="nil"/>
              <w:tr2bl w:val="nil"/>
            </w:tcBorders>
            <w:shd w:val="clear" w:color="auto" w:fill="auto"/>
            <w:noWrap w:val="0"/>
            <w:vAlign w:val="center"/>
          </w:tcPr>
          <w:p w14:paraId="6E01123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749E52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287B34F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38</w:t>
            </w:r>
          </w:p>
        </w:tc>
        <w:tc>
          <w:tcPr>
            <w:tcW w:w="1056" w:type="pct"/>
            <w:tcBorders>
              <w:tl2br w:val="nil"/>
              <w:tr2bl w:val="nil"/>
            </w:tcBorders>
            <w:shd w:val="clear" w:color="auto" w:fill="auto"/>
            <w:noWrap w:val="0"/>
            <w:tcMar>
              <w:top w:w="15" w:type="dxa"/>
              <w:left w:w="15" w:type="dxa"/>
              <w:bottom w:w="0" w:type="dxa"/>
              <w:right w:w="15" w:type="dxa"/>
            </w:tcMar>
            <w:vAlign w:val="center"/>
          </w:tcPr>
          <w:p w14:paraId="7DAF9FF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新晃县昇靖矿山机械厂</w:t>
            </w:r>
          </w:p>
        </w:tc>
        <w:tc>
          <w:tcPr>
            <w:tcW w:w="735" w:type="pct"/>
            <w:tcBorders>
              <w:tl2br w:val="nil"/>
              <w:tr2bl w:val="nil"/>
            </w:tcBorders>
            <w:shd w:val="clear" w:color="auto" w:fill="auto"/>
            <w:noWrap w:val="0"/>
            <w:vAlign w:val="center"/>
          </w:tcPr>
          <w:p w14:paraId="17EC214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C4310金属制品修理</w:t>
            </w:r>
          </w:p>
        </w:tc>
        <w:tc>
          <w:tcPr>
            <w:tcW w:w="844" w:type="pct"/>
            <w:tcBorders>
              <w:tl2br w:val="nil"/>
              <w:tr2bl w:val="nil"/>
            </w:tcBorders>
            <w:shd w:val="clear" w:color="auto" w:fill="auto"/>
            <w:noWrap w:val="0"/>
            <w:tcMar>
              <w:top w:w="15" w:type="dxa"/>
              <w:left w:w="15" w:type="dxa"/>
              <w:bottom w:w="0" w:type="dxa"/>
              <w:right w:w="15" w:type="dxa"/>
            </w:tcMar>
            <w:vAlign w:val="center"/>
          </w:tcPr>
          <w:p w14:paraId="217CCD6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晃环函[2014]31号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1656AA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2018.09</w:t>
            </w:r>
          </w:p>
        </w:tc>
        <w:tc>
          <w:tcPr>
            <w:tcW w:w="484" w:type="pct"/>
            <w:tcBorders>
              <w:tl2br w:val="nil"/>
              <w:tr2bl w:val="nil"/>
            </w:tcBorders>
            <w:shd w:val="clear" w:color="auto" w:fill="auto"/>
            <w:noWrap w:val="0"/>
            <w:vAlign w:val="center"/>
          </w:tcPr>
          <w:p w14:paraId="78E4003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2018.10</w:t>
            </w:r>
          </w:p>
        </w:tc>
        <w:tc>
          <w:tcPr>
            <w:tcW w:w="732" w:type="pct"/>
            <w:tcBorders>
              <w:tl2br w:val="nil"/>
              <w:tr2bl w:val="nil"/>
            </w:tcBorders>
            <w:shd w:val="clear" w:color="auto" w:fill="auto"/>
            <w:noWrap w:val="0"/>
            <w:vAlign w:val="center"/>
          </w:tcPr>
          <w:p w14:paraId="716652D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92431227MA4L8TMY4E001A</w:t>
            </w:r>
          </w:p>
        </w:tc>
        <w:tc>
          <w:tcPr>
            <w:tcW w:w="358" w:type="pct"/>
            <w:tcBorders>
              <w:tl2br w:val="nil"/>
              <w:tr2bl w:val="nil"/>
            </w:tcBorders>
            <w:shd w:val="clear" w:color="auto" w:fill="auto"/>
            <w:noWrap w:val="0"/>
            <w:vAlign w:val="center"/>
          </w:tcPr>
          <w:p w14:paraId="37CFB55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640AB0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471B362">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39</w:t>
            </w:r>
          </w:p>
        </w:tc>
        <w:tc>
          <w:tcPr>
            <w:tcW w:w="1056" w:type="pct"/>
            <w:tcBorders>
              <w:tl2br w:val="nil"/>
              <w:tr2bl w:val="nil"/>
            </w:tcBorders>
            <w:shd w:val="clear" w:color="auto" w:fill="auto"/>
            <w:noWrap w:val="0"/>
            <w:tcMar>
              <w:top w:w="15" w:type="dxa"/>
              <w:left w:w="15" w:type="dxa"/>
              <w:bottom w:w="0" w:type="dxa"/>
              <w:right w:w="15" w:type="dxa"/>
            </w:tcMar>
            <w:vAlign w:val="center"/>
          </w:tcPr>
          <w:p w14:paraId="43E4BEC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湖南爱家环保科技有限公司</w:t>
            </w:r>
          </w:p>
        </w:tc>
        <w:tc>
          <w:tcPr>
            <w:tcW w:w="735" w:type="pct"/>
            <w:tcBorders>
              <w:tl2br w:val="nil"/>
              <w:tr2bl w:val="nil"/>
            </w:tcBorders>
            <w:shd w:val="clear" w:color="auto" w:fill="auto"/>
            <w:noWrap w:val="0"/>
            <w:vAlign w:val="center"/>
          </w:tcPr>
          <w:p w14:paraId="529866F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锅炉，洗涤</w:t>
            </w:r>
          </w:p>
        </w:tc>
        <w:tc>
          <w:tcPr>
            <w:tcW w:w="844" w:type="pct"/>
            <w:tcBorders>
              <w:tl2br w:val="nil"/>
              <w:tr2bl w:val="nil"/>
            </w:tcBorders>
            <w:shd w:val="clear" w:color="auto" w:fill="auto"/>
            <w:noWrap w:val="0"/>
            <w:tcMar>
              <w:top w:w="15" w:type="dxa"/>
              <w:left w:w="15" w:type="dxa"/>
              <w:bottom w:w="0" w:type="dxa"/>
              <w:right w:w="15" w:type="dxa"/>
            </w:tcMar>
            <w:vAlign w:val="center"/>
          </w:tcPr>
          <w:p w14:paraId="28A660D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登记表</w:t>
            </w:r>
          </w:p>
        </w:tc>
        <w:tc>
          <w:tcPr>
            <w:tcW w:w="555" w:type="pct"/>
            <w:tcBorders>
              <w:tl2br w:val="nil"/>
              <w:tr2bl w:val="nil"/>
            </w:tcBorders>
            <w:shd w:val="clear" w:color="auto" w:fill="auto"/>
            <w:noWrap w:val="0"/>
            <w:tcMar>
              <w:top w:w="15" w:type="dxa"/>
              <w:left w:w="15" w:type="dxa"/>
              <w:bottom w:w="0" w:type="dxa"/>
              <w:right w:w="15" w:type="dxa"/>
            </w:tcMar>
            <w:vAlign w:val="center"/>
          </w:tcPr>
          <w:p w14:paraId="35A1592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484" w:type="pct"/>
            <w:tcBorders>
              <w:tl2br w:val="nil"/>
              <w:tr2bl w:val="nil"/>
            </w:tcBorders>
            <w:shd w:val="clear" w:color="auto" w:fill="auto"/>
            <w:noWrap w:val="0"/>
            <w:vAlign w:val="center"/>
          </w:tcPr>
          <w:p w14:paraId="390B862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732" w:type="pct"/>
            <w:tcBorders>
              <w:tl2br w:val="nil"/>
              <w:tr2bl w:val="nil"/>
            </w:tcBorders>
            <w:shd w:val="clear" w:color="auto" w:fill="auto"/>
            <w:noWrap w:val="0"/>
            <w:vAlign w:val="center"/>
          </w:tcPr>
          <w:p w14:paraId="76ED484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91431227MA4PNRJY5G001W</w:t>
            </w:r>
          </w:p>
        </w:tc>
        <w:tc>
          <w:tcPr>
            <w:tcW w:w="358" w:type="pct"/>
            <w:tcBorders>
              <w:tl2br w:val="nil"/>
              <w:tr2bl w:val="nil"/>
            </w:tcBorders>
            <w:shd w:val="clear" w:color="auto" w:fill="auto"/>
            <w:noWrap w:val="0"/>
            <w:vAlign w:val="center"/>
          </w:tcPr>
          <w:p w14:paraId="3D93F45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1F140F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567FE4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40</w:t>
            </w:r>
          </w:p>
        </w:tc>
        <w:tc>
          <w:tcPr>
            <w:tcW w:w="1056" w:type="pct"/>
            <w:tcBorders>
              <w:tl2br w:val="nil"/>
              <w:tr2bl w:val="nil"/>
            </w:tcBorders>
            <w:shd w:val="clear" w:color="auto" w:fill="auto"/>
            <w:noWrap w:val="0"/>
            <w:tcMar>
              <w:top w:w="15" w:type="dxa"/>
              <w:left w:w="15" w:type="dxa"/>
              <w:bottom w:w="0" w:type="dxa"/>
              <w:right w:w="15" w:type="dxa"/>
            </w:tcMar>
            <w:vAlign w:val="center"/>
          </w:tcPr>
          <w:p w14:paraId="3375AFF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湖南省统参酒业有限公司</w:t>
            </w:r>
          </w:p>
        </w:tc>
        <w:tc>
          <w:tcPr>
            <w:tcW w:w="735" w:type="pct"/>
            <w:tcBorders>
              <w:tl2br w:val="nil"/>
              <w:tr2bl w:val="nil"/>
            </w:tcBorders>
            <w:shd w:val="clear" w:color="auto" w:fill="auto"/>
            <w:noWrap w:val="0"/>
            <w:vAlign w:val="center"/>
          </w:tcPr>
          <w:p w14:paraId="78B4C28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C1512白酒制造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742A481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怀环晃审[2024]15号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E35B6C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c>
          <w:tcPr>
            <w:tcW w:w="484" w:type="pct"/>
            <w:tcBorders>
              <w:tl2br w:val="nil"/>
              <w:tr2bl w:val="nil"/>
            </w:tcBorders>
            <w:shd w:val="clear" w:color="auto" w:fill="auto"/>
            <w:noWrap w:val="0"/>
            <w:vAlign w:val="center"/>
          </w:tcPr>
          <w:p w14:paraId="37F90BF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c>
          <w:tcPr>
            <w:tcW w:w="732" w:type="pct"/>
            <w:tcBorders>
              <w:tl2br w:val="nil"/>
              <w:tr2bl w:val="nil"/>
            </w:tcBorders>
            <w:shd w:val="clear" w:color="auto" w:fill="auto"/>
            <w:noWrap w:val="0"/>
            <w:vAlign w:val="center"/>
          </w:tcPr>
          <w:p w14:paraId="4812666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c>
          <w:tcPr>
            <w:tcW w:w="358" w:type="pct"/>
            <w:tcBorders>
              <w:tl2br w:val="nil"/>
              <w:tr2bl w:val="nil"/>
            </w:tcBorders>
            <w:shd w:val="clear" w:color="auto" w:fill="auto"/>
            <w:noWrap w:val="0"/>
            <w:vAlign w:val="center"/>
          </w:tcPr>
          <w:p w14:paraId="6E0216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建设中</w:t>
            </w:r>
          </w:p>
        </w:tc>
      </w:tr>
      <w:tr w14:paraId="468F41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5DC5E31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41</w:t>
            </w:r>
          </w:p>
        </w:tc>
        <w:tc>
          <w:tcPr>
            <w:tcW w:w="1056" w:type="pct"/>
            <w:tcBorders>
              <w:tl2br w:val="nil"/>
              <w:tr2bl w:val="nil"/>
            </w:tcBorders>
            <w:shd w:val="clear" w:color="auto" w:fill="auto"/>
            <w:noWrap w:val="0"/>
            <w:tcMar>
              <w:top w:w="15" w:type="dxa"/>
              <w:left w:w="15" w:type="dxa"/>
              <w:bottom w:w="0" w:type="dxa"/>
              <w:right w:w="15" w:type="dxa"/>
            </w:tcMar>
            <w:vAlign w:val="center"/>
          </w:tcPr>
          <w:p w14:paraId="5C87835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新晃沛霖龙脑日用化妆品有限公司</w:t>
            </w:r>
          </w:p>
        </w:tc>
        <w:tc>
          <w:tcPr>
            <w:tcW w:w="735" w:type="pct"/>
            <w:tcBorders>
              <w:tl2br w:val="nil"/>
              <w:tr2bl w:val="nil"/>
            </w:tcBorders>
            <w:shd w:val="clear" w:color="auto" w:fill="auto"/>
            <w:noWrap w:val="0"/>
            <w:vAlign w:val="center"/>
          </w:tcPr>
          <w:p w14:paraId="491DA7B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C2770卫生材料及医药用品制造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49FD37E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怀环晃审〔2024〕16号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BAC2BA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4801A0B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61593B6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aps w:val="0"/>
                <w:color w:val="000000" w:themeColor="text1"/>
                <w:spacing w:val="0"/>
                <w:sz w:val="18"/>
                <w:szCs w:val="18"/>
                <w:shd w:val="clear" w:fill="FFFFFF"/>
                <w14:textFill>
                  <w14:solidFill>
                    <w14:schemeClr w14:val="tx1"/>
                  </w14:solidFill>
                </w14:textFill>
              </w:rPr>
              <w:t>91431227MAD6GALT1C001Y</w:t>
            </w:r>
          </w:p>
        </w:tc>
        <w:tc>
          <w:tcPr>
            <w:tcW w:w="358" w:type="pct"/>
            <w:tcBorders>
              <w:tl2br w:val="nil"/>
              <w:tr2bl w:val="nil"/>
            </w:tcBorders>
            <w:shd w:val="clear" w:color="auto" w:fill="auto"/>
            <w:noWrap w:val="0"/>
            <w:vAlign w:val="center"/>
          </w:tcPr>
          <w:p w14:paraId="0FB9174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0855C7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FF7B830">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42</w:t>
            </w:r>
          </w:p>
        </w:tc>
        <w:tc>
          <w:tcPr>
            <w:tcW w:w="1056" w:type="pct"/>
            <w:tcBorders>
              <w:tl2br w:val="nil"/>
              <w:tr2bl w:val="nil"/>
            </w:tcBorders>
            <w:shd w:val="clear" w:color="auto" w:fill="auto"/>
            <w:noWrap w:val="0"/>
            <w:tcMar>
              <w:top w:w="15" w:type="dxa"/>
              <w:left w:w="15" w:type="dxa"/>
              <w:bottom w:w="0" w:type="dxa"/>
              <w:right w:w="15" w:type="dxa"/>
            </w:tcMar>
            <w:vAlign w:val="center"/>
          </w:tcPr>
          <w:p w14:paraId="44845F8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怀化市建新建材有限公司</w:t>
            </w:r>
          </w:p>
        </w:tc>
        <w:tc>
          <w:tcPr>
            <w:tcW w:w="735" w:type="pct"/>
            <w:tcBorders>
              <w:tl2br w:val="nil"/>
              <w:tr2bl w:val="nil"/>
            </w:tcBorders>
            <w:shd w:val="clear" w:color="auto" w:fill="auto"/>
            <w:noWrap w:val="0"/>
            <w:vAlign w:val="center"/>
          </w:tcPr>
          <w:p w14:paraId="358A921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C3033防水建筑材料制造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4024597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晃环函[2015]33号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615DAA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2016.12</w:t>
            </w:r>
          </w:p>
        </w:tc>
        <w:tc>
          <w:tcPr>
            <w:tcW w:w="484" w:type="pct"/>
            <w:tcBorders>
              <w:tl2br w:val="nil"/>
              <w:tr2bl w:val="nil"/>
            </w:tcBorders>
            <w:shd w:val="clear" w:color="auto" w:fill="auto"/>
            <w:noWrap w:val="0"/>
            <w:vAlign w:val="center"/>
          </w:tcPr>
          <w:p w14:paraId="54272FC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2021.06</w:t>
            </w:r>
          </w:p>
        </w:tc>
        <w:tc>
          <w:tcPr>
            <w:tcW w:w="732" w:type="pct"/>
            <w:tcBorders>
              <w:tl2br w:val="nil"/>
              <w:tr2bl w:val="nil"/>
            </w:tcBorders>
            <w:shd w:val="clear" w:color="auto" w:fill="auto"/>
            <w:noWrap w:val="0"/>
            <w:vAlign w:val="center"/>
          </w:tcPr>
          <w:p w14:paraId="01D7A55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hb431200500000726J001W</w:t>
            </w:r>
          </w:p>
        </w:tc>
        <w:tc>
          <w:tcPr>
            <w:tcW w:w="358" w:type="pct"/>
            <w:tcBorders>
              <w:tl2br w:val="nil"/>
              <w:tr2bl w:val="nil"/>
            </w:tcBorders>
            <w:shd w:val="clear" w:color="auto" w:fill="auto"/>
            <w:noWrap w:val="0"/>
            <w:vAlign w:val="center"/>
          </w:tcPr>
          <w:p w14:paraId="128E1A9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5E7068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4CE93D7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43</w:t>
            </w:r>
          </w:p>
        </w:tc>
        <w:tc>
          <w:tcPr>
            <w:tcW w:w="1056" w:type="pct"/>
            <w:tcBorders>
              <w:tl2br w:val="nil"/>
              <w:tr2bl w:val="nil"/>
            </w:tcBorders>
            <w:shd w:val="clear" w:color="auto" w:fill="auto"/>
            <w:noWrap w:val="0"/>
            <w:tcMar>
              <w:top w:w="15" w:type="dxa"/>
              <w:left w:w="15" w:type="dxa"/>
              <w:bottom w:w="0" w:type="dxa"/>
              <w:right w:w="15" w:type="dxa"/>
            </w:tcMar>
            <w:vAlign w:val="center"/>
          </w:tcPr>
          <w:p w14:paraId="37744E2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新晃亿恒新材料科技有限公司</w:t>
            </w:r>
          </w:p>
        </w:tc>
        <w:tc>
          <w:tcPr>
            <w:tcW w:w="735" w:type="pct"/>
            <w:tcBorders>
              <w:tl2br w:val="nil"/>
              <w:tr2bl w:val="nil"/>
            </w:tcBorders>
            <w:shd w:val="clear" w:color="auto" w:fill="auto"/>
            <w:noWrap w:val="0"/>
            <w:vAlign w:val="center"/>
          </w:tcPr>
          <w:p w14:paraId="74D6160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C4210金属废料和碎屑加工处理</w:t>
            </w:r>
          </w:p>
        </w:tc>
        <w:tc>
          <w:tcPr>
            <w:tcW w:w="844" w:type="pct"/>
            <w:tcBorders>
              <w:tl2br w:val="nil"/>
              <w:tr2bl w:val="nil"/>
            </w:tcBorders>
            <w:shd w:val="clear" w:color="auto" w:fill="auto"/>
            <w:noWrap w:val="0"/>
            <w:tcMar>
              <w:top w:w="15" w:type="dxa"/>
              <w:left w:w="15" w:type="dxa"/>
              <w:bottom w:w="0" w:type="dxa"/>
              <w:right w:w="15" w:type="dxa"/>
            </w:tcMar>
            <w:vAlign w:val="center"/>
          </w:tcPr>
          <w:p w14:paraId="6327FB2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怀环晃审[2025]2号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07736B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1D5D6BE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37E00BC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aps w:val="0"/>
                <w:color w:val="000000" w:themeColor="text1"/>
                <w:spacing w:val="0"/>
                <w:sz w:val="18"/>
                <w:szCs w:val="18"/>
                <w:shd w:val="clear" w:fill="FFFFFF"/>
                <w14:textFill>
                  <w14:solidFill>
                    <w14:schemeClr w14:val="tx1"/>
                  </w14:solidFill>
                </w14:textFill>
              </w:rPr>
              <w:t>91431227MAE60H5H57001W</w:t>
            </w:r>
          </w:p>
        </w:tc>
        <w:tc>
          <w:tcPr>
            <w:tcW w:w="358" w:type="pct"/>
            <w:tcBorders>
              <w:tl2br w:val="nil"/>
              <w:tr2bl w:val="nil"/>
            </w:tcBorders>
            <w:shd w:val="clear" w:color="auto" w:fill="auto"/>
            <w:noWrap w:val="0"/>
            <w:vAlign w:val="center"/>
          </w:tcPr>
          <w:p w14:paraId="07924DE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738055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A75B497">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44</w:t>
            </w:r>
          </w:p>
        </w:tc>
        <w:tc>
          <w:tcPr>
            <w:tcW w:w="1056" w:type="pct"/>
            <w:tcBorders>
              <w:tl2br w:val="nil"/>
              <w:tr2bl w:val="nil"/>
            </w:tcBorders>
            <w:shd w:val="clear" w:color="auto" w:fill="auto"/>
            <w:noWrap w:val="0"/>
            <w:tcMar>
              <w:top w:w="15" w:type="dxa"/>
              <w:left w:w="15" w:type="dxa"/>
              <w:bottom w:w="0" w:type="dxa"/>
              <w:right w:w="15" w:type="dxa"/>
            </w:tcMar>
            <w:vAlign w:val="center"/>
          </w:tcPr>
          <w:p w14:paraId="4E1B358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湖南安翔科技有限公司</w:t>
            </w:r>
          </w:p>
        </w:tc>
        <w:tc>
          <w:tcPr>
            <w:tcW w:w="735" w:type="pct"/>
            <w:tcBorders>
              <w:tl2br w:val="nil"/>
              <w:tr2bl w:val="nil"/>
            </w:tcBorders>
            <w:shd w:val="clear" w:color="auto" w:fill="auto"/>
            <w:noWrap w:val="0"/>
            <w:vAlign w:val="center"/>
          </w:tcPr>
          <w:p w14:paraId="71F311C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C2669其他专用化学产品制造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7B9CE38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怀环审〔2019〕47号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468039E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2021.03</w:t>
            </w:r>
          </w:p>
        </w:tc>
        <w:tc>
          <w:tcPr>
            <w:tcW w:w="484" w:type="pct"/>
            <w:tcBorders>
              <w:tl2br w:val="nil"/>
              <w:tr2bl w:val="nil"/>
            </w:tcBorders>
            <w:shd w:val="clear" w:color="auto" w:fill="auto"/>
            <w:noWrap w:val="0"/>
            <w:vAlign w:val="center"/>
          </w:tcPr>
          <w:p w14:paraId="5CDABCA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02B8192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91431227MA4PUHBQXR001Y</w:t>
            </w:r>
          </w:p>
        </w:tc>
        <w:tc>
          <w:tcPr>
            <w:tcW w:w="358" w:type="pct"/>
            <w:tcBorders>
              <w:tl2br w:val="nil"/>
              <w:tr2bl w:val="nil"/>
            </w:tcBorders>
            <w:shd w:val="clear" w:color="auto" w:fill="auto"/>
            <w:noWrap w:val="0"/>
            <w:vAlign w:val="center"/>
          </w:tcPr>
          <w:p w14:paraId="11149EA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w:t>
            </w:r>
          </w:p>
        </w:tc>
      </w:tr>
      <w:tr w14:paraId="1CBD65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6AAA4E5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45</w:t>
            </w:r>
          </w:p>
        </w:tc>
        <w:tc>
          <w:tcPr>
            <w:tcW w:w="1056" w:type="pct"/>
            <w:tcBorders>
              <w:tl2br w:val="nil"/>
              <w:tr2bl w:val="nil"/>
            </w:tcBorders>
            <w:shd w:val="clear" w:color="auto" w:fill="auto"/>
            <w:noWrap w:val="0"/>
            <w:tcMar>
              <w:top w:w="15" w:type="dxa"/>
              <w:left w:w="15" w:type="dxa"/>
              <w:bottom w:w="0" w:type="dxa"/>
              <w:right w:w="15" w:type="dxa"/>
            </w:tcMar>
            <w:vAlign w:val="center"/>
          </w:tcPr>
          <w:p w14:paraId="363FAD4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新晃县乡土源食品有限公司</w:t>
            </w:r>
          </w:p>
        </w:tc>
        <w:tc>
          <w:tcPr>
            <w:tcW w:w="735" w:type="pct"/>
            <w:tcBorders>
              <w:tl2br w:val="nil"/>
              <w:tr2bl w:val="nil"/>
            </w:tcBorders>
            <w:shd w:val="clear" w:color="auto" w:fill="auto"/>
            <w:noWrap w:val="0"/>
            <w:vAlign w:val="center"/>
          </w:tcPr>
          <w:p w14:paraId="035C496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C1431米、面制品制造</w:t>
            </w:r>
          </w:p>
        </w:tc>
        <w:tc>
          <w:tcPr>
            <w:tcW w:w="844" w:type="pct"/>
            <w:tcBorders>
              <w:tl2br w:val="nil"/>
              <w:tr2bl w:val="nil"/>
            </w:tcBorders>
            <w:shd w:val="clear" w:color="auto" w:fill="auto"/>
            <w:noWrap w:val="0"/>
            <w:tcMar>
              <w:top w:w="15" w:type="dxa"/>
              <w:left w:w="15" w:type="dxa"/>
              <w:bottom w:w="0" w:type="dxa"/>
              <w:right w:w="15" w:type="dxa"/>
            </w:tcMar>
            <w:vAlign w:val="center"/>
          </w:tcPr>
          <w:p w14:paraId="322C8C0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555" w:type="pct"/>
            <w:tcBorders>
              <w:tl2br w:val="nil"/>
              <w:tr2bl w:val="nil"/>
            </w:tcBorders>
            <w:shd w:val="clear" w:color="auto" w:fill="auto"/>
            <w:noWrap w:val="0"/>
            <w:tcMar>
              <w:top w:w="15" w:type="dxa"/>
              <w:left w:w="15" w:type="dxa"/>
              <w:bottom w:w="0" w:type="dxa"/>
              <w:right w:w="15" w:type="dxa"/>
            </w:tcMar>
            <w:vAlign w:val="center"/>
          </w:tcPr>
          <w:p w14:paraId="6C446B9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2FC0BB5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3D04251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无</w:t>
            </w:r>
          </w:p>
        </w:tc>
        <w:tc>
          <w:tcPr>
            <w:tcW w:w="358" w:type="pct"/>
            <w:tcBorders>
              <w:tl2br w:val="nil"/>
              <w:tr2bl w:val="nil"/>
            </w:tcBorders>
            <w:shd w:val="clear" w:color="auto" w:fill="auto"/>
            <w:noWrap w:val="0"/>
            <w:vAlign w:val="center"/>
          </w:tcPr>
          <w:p w14:paraId="4F66D58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r>
      <w:tr w14:paraId="49F892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560AAA58">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46</w:t>
            </w:r>
          </w:p>
        </w:tc>
        <w:tc>
          <w:tcPr>
            <w:tcW w:w="1056" w:type="pct"/>
            <w:tcBorders>
              <w:tl2br w:val="nil"/>
              <w:tr2bl w:val="nil"/>
            </w:tcBorders>
            <w:shd w:val="clear" w:color="auto" w:fill="auto"/>
            <w:noWrap w:val="0"/>
            <w:tcMar>
              <w:top w:w="15" w:type="dxa"/>
              <w:left w:w="15" w:type="dxa"/>
              <w:bottom w:w="0" w:type="dxa"/>
              <w:right w:w="15" w:type="dxa"/>
            </w:tcMar>
            <w:vAlign w:val="center"/>
          </w:tcPr>
          <w:p w14:paraId="4C139C4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怀化中能贸易有限公司</w:t>
            </w:r>
          </w:p>
        </w:tc>
        <w:tc>
          <w:tcPr>
            <w:tcW w:w="735" w:type="pct"/>
            <w:tcBorders>
              <w:tl2br w:val="nil"/>
              <w:tr2bl w:val="nil"/>
            </w:tcBorders>
            <w:shd w:val="clear" w:color="auto" w:fill="auto"/>
            <w:noWrap w:val="0"/>
            <w:vAlign w:val="center"/>
          </w:tcPr>
          <w:p w14:paraId="435314D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退出</w:t>
            </w:r>
          </w:p>
        </w:tc>
        <w:tc>
          <w:tcPr>
            <w:tcW w:w="844" w:type="pct"/>
            <w:tcBorders>
              <w:tl2br w:val="nil"/>
              <w:tr2bl w:val="nil"/>
            </w:tcBorders>
            <w:shd w:val="clear" w:color="auto" w:fill="auto"/>
            <w:noWrap w:val="0"/>
            <w:tcMar>
              <w:top w:w="15" w:type="dxa"/>
              <w:left w:w="15" w:type="dxa"/>
              <w:bottom w:w="0" w:type="dxa"/>
              <w:right w:w="15" w:type="dxa"/>
            </w:tcMar>
            <w:vAlign w:val="center"/>
          </w:tcPr>
          <w:p w14:paraId="621D788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555" w:type="pct"/>
            <w:tcBorders>
              <w:tl2br w:val="nil"/>
              <w:tr2bl w:val="nil"/>
            </w:tcBorders>
            <w:shd w:val="clear" w:color="auto" w:fill="auto"/>
            <w:noWrap w:val="0"/>
            <w:tcMar>
              <w:top w:w="15" w:type="dxa"/>
              <w:left w:w="15" w:type="dxa"/>
              <w:bottom w:w="0" w:type="dxa"/>
              <w:right w:w="15" w:type="dxa"/>
            </w:tcMar>
            <w:vAlign w:val="center"/>
          </w:tcPr>
          <w:p w14:paraId="74F7A47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484" w:type="pct"/>
            <w:tcBorders>
              <w:tl2br w:val="nil"/>
              <w:tr2bl w:val="nil"/>
            </w:tcBorders>
            <w:shd w:val="clear" w:color="auto" w:fill="auto"/>
            <w:noWrap w:val="0"/>
            <w:vAlign w:val="center"/>
          </w:tcPr>
          <w:p w14:paraId="74ABBED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732" w:type="pct"/>
            <w:tcBorders>
              <w:tl2br w:val="nil"/>
              <w:tr2bl w:val="nil"/>
            </w:tcBorders>
            <w:shd w:val="clear" w:color="auto" w:fill="auto"/>
            <w:noWrap w:val="0"/>
            <w:vAlign w:val="center"/>
          </w:tcPr>
          <w:p w14:paraId="608F865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358" w:type="pct"/>
            <w:tcBorders>
              <w:tl2br w:val="nil"/>
              <w:tr2bl w:val="nil"/>
            </w:tcBorders>
            <w:shd w:val="clear" w:color="auto" w:fill="auto"/>
            <w:noWrap w:val="0"/>
            <w:vAlign w:val="center"/>
          </w:tcPr>
          <w:p w14:paraId="37161A4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r>
      <w:tr w14:paraId="215E60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478F1B7C">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47</w:t>
            </w:r>
          </w:p>
        </w:tc>
        <w:tc>
          <w:tcPr>
            <w:tcW w:w="1056" w:type="pct"/>
            <w:tcBorders>
              <w:tl2br w:val="nil"/>
              <w:tr2bl w:val="nil"/>
            </w:tcBorders>
            <w:shd w:val="clear" w:color="auto" w:fill="auto"/>
            <w:noWrap w:val="0"/>
            <w:tcMar>
              <w:top w:w="15" w:type="dxa"/>
              <w:left w:w="15" w:type="dxa"/>
              <w:bottom w:w="0" w:type="dxa"/>
              <w:right w:w="15" w:type="dxa"/>
            </w:tcMar>
            <w:vAlign w:val="center"/>
          </w:tcPr>
          <w:p w14:paraId="13AA56C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怀化鑫祥新材料科技有限公司</w:t>
            </w:r>
          </w:p>
        </w:tc>
        <w:tc>
          <w:tcPr>
            <w:tcW w:w="735" w:type="pct"/>
            <w:tcBorders>
              <w:tl2br w:val="nil"/>
              <w:tr2bl w:val="nil"/>
            </w:tcBorders>
            <w:shd w:val="clear" w:color="auto" w:fill="auto"/>
            <w:noWrap w:val="0"/>
            <w:vAlign w:val="center"/>
          </w:tcPr>
          <w:p w14:paraId="5D77227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退出</w:t>
            </w:r>
          </w:p>
        </w:tc>
        <w:tc>
          <w:tcPr>
            <w:tcW w:w="844" w:type="pct"/>
            <w:tcBorders>
              <w:tl2br w:val="nil"/>
              <w:tr2bl w:val="nil"/>
            </w:tcBorders>
            <w:shd w:val="clear" w:color="auto" w:fill="auto"/>
            <w:noWrap w:val="0"/>
            <w:tcMar>
              <w:top w:w="15" w:type="dxa"/>
              <w:left w:w="15" w:type="dxa"/>
              <w:bottom w:w="0" w:type="dxa"/>
              <w:right w:w="15" w:type="dxa"/>
            </w:tcMar>
            <w:vAlign w:val="center"/>
          </w:tcPr>
          <w:p w14:paraId="14D7B2C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555" w:type="pct"/>
            <w:tcBorders>
              <w:tl2br w:val="nil"/>
              <w:tr2bl w:val="nil"/>
            </w:tcBorders>
            <w:shd w:val="clear" w:color="auto" w:fill="auto"/>
            <w:noWrap w:val="0"/>
            <w:tcMar>
              <w:top w:w="15" w:type="dxa"/>
              <w:left w:w="15" w:type="dxa"/>
              <w:bottom w:w="0" w:type="dxa"/>
              <w:right w:w="15" w:type="dxa"/>
            </w:tcMar>
            <w:vAlign w:val="center"/>
          </w:tcPr>
          <w:p w14:paraId="0DB0A2B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484" w:type="pct"/>
            <w:tcBorders>
              <w:tl2br w:val="nil"/>
              <w:tr2bl w:val="nil"/>
            </w:tcBorders>
            <w:shd w:val="clear" w:color="auto" w:fill="auto"/>
            <w:noWrap w:val="0"/>
            <w:vAlign w:val="center"/>
          </w:tcPr>
          <w:p w14:paraId="5875C2D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732" w:type="pct"/>
            <w:tcBorders>
              <w:tl2br w:val="nil"/>
              <w:tr2bl w:val="nil"/>
            </w:tcBorders>
            <w:shd w:val="clear" w:color="auto" w:fill="auto"/>
            <w:noWrap w:val="0"/>
            <w:vAlign w:val="center"/>
          </w:tcPr>
          <w:p w14:paraId="2B567E7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358" w:type="pct"/>
            <w:tcBorders>
              <w:tl2br w:val="nil"/>
              <w:tr2bl w:val="nil"/>
            </w:tcBorders>
            <w:shd w:val="clear" w:color="auto" w:fill="auto"/>
            <w:noWrap w:val="0"/>
            <w:vAlign w:val="center"/>
          </w:tcPr>
          <w:p w14:paraId="278549E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r>
      <w:tr w14:paraId="109F9D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16E8734B">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48</w:t>
            </w:r>
          </w:p>
        </w:tc>
        <w:tc>
          <w:tcPr>
            <w:tcW w:w="1056" w:type="pct"/>
            <w:tcBorders>
              <w:tl2br w:val="nil"/>
              <w:tr2bl w:val="nil"/>
            </w:tcBorders>
            <w:shd w:val="clear" w:color="auto" w:fill="auto"/>
            <w:noWrap w:val="0"/>
            <w:tcMar>
              <w:top w:w="15" w:type="dxa"/>
              <w:left w:w="15" w:type="dxa"/>
              <w:bottom w:w="0" w:type="dxa"/>
              <w:right w:w="15" w:type="dxa"/>
            </w:tcMar>
            <w:vAlign w:val="center"/>
          </w:tcPr>
          <w:p w14:paraId="45E2BFD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湖南三扬新能源科技有限公司</w:t>
            </w:r>
          </w:p>
        </w:tc>
        <w:tc>
          <w:tcPr>
            <w:tcW w:w="735" w:type="pct"/>
            <w:tcBorders>
              <w:tl2br w:val="nil"/>
              <w:tr2bl w:val="nil"/>
            </w:tcBorders>
            <w:shd w:val="clear" w:color="auto" w:fill="auto"/>
            <w:noWrap w:val="0"/>
            <w:vAlign w:val="center"/>
          </w:tcPr>
          <w:p w14:paraId="08073B8F">
            <w:pPr>
              <w:keepNext w:val="0"/>
              <w:keepLines w:val="0"/>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规划中</w:t>
            </w:r>
          </w:p>
        </w:tc>
        <w:tc>
          <w:tcPr>
            <w:tcW w:w="844" w:type="pct"/>
            <w:tcBorders>
              <w:tl2br w:val="nil"/>
              <w:tr2bl w:val="nil"/>
            </w:tcBorders>
            <w:shd w:val="clear" w:color="auto" w:fill="auto"/>
            <w:noWrap w:val="0"/>
            <w:tcMar>
              <w:top w:w="15" w:type="dxa"/>
              <w:left w:w="15" w:type="dxa"/>
              <w:bottom w:w="0" w:type="dxa"/>
              <w:right w:w="15" w:type="dxa"/>
            </w:tcMar>
            <w:vAlign w:val="center"/>
          </w:tcPr>
          <w:p w14:paraId="552AC4A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w:t>
            </w:r>
          </w:p>
        </w:tc>
        <w:tc>
          <w:tcPr>
            <w:tcW w:w="555" w:type="pct"/>
            <w:tcBorders>
              <w:tl2br w:val="nil"/>
              <w:tr2bl w:val="nil"/>
            </w:tcBorders>
            <w:shd w:val="clear" w:color="auto" w:fill="auto"/>
            <w:noWrap w:val="0"/>
            <w:tcMar>
              <w:top w:w="15" w:type="dxa"/>
              <w:left w:w="15" w:type="dxa"/>
              <w:bottom w:w="0" w:type="dxa"/>
              <w:right w:w="15" w:type="dxa"/>
            </w:tcMar>
            <w:vAlign w:val="center"/>
          </w:tcPr>
          <w:p w14:paraId="4222E69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484" w:type="pct"/>
            <w:tcBorders>
              <w:tl2br w:val="nil"/>
              <w:tr2bl w:val="nil"/>
            </w:tcBorders>
            <w:shd w:val="clear" w:color="auto" w:fill="auto"/>
            <w:noWrap w:val="0"/>
            <w:vAlign w:val="center"/>
          </w:tcPr>
          <w:p w14:paraId="7C4256A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732" w:type="pct"/>
            <w:tcBorders>
              <w:tl2br w:val="nil"/>
              <w:tr2bl w:val="nil"/>
            </w:tcBorders>
            <w:shd w:val="clear" w:color="auto" w:fill="auto"/>
            <w:noWrap w:val="0"/>
            <w:vAlign w:val="center"/>
          </w:tcPr>
          <w:p w14:paraId="334DB46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358" w:type="pct"/>
            <w:tcBorders>
              <w:tl2br w:val="nil"/>
              <w:tr2bl w:val="nil"/>
            </w:tcBorders>
            <w:shd w:val="clear" w:color="auto" w:fill="auto"/>
            <w:noWrap w:val="0"/>
            <w:vAlign w:val="center"/>
          </w:tcPr>
          <w:p w14:paraId="4C2FBA6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r>
      <w:tr w14:paraId="68704A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35A81A44">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49</w:t>
            </w:r>
          </w:p>
        </w:tc>
        <w:tc>
          <w:tcPr>
            <w:tcW w:w="1056" w:type="pct"/>
            <w:tcBorders>
              <w:tl2br w:val="nil"/>
              <w:tr2bl w:val="nil"/>
            </w:tcBorders>
            <w:shd w:val="clear" w:color="auto" w:fill="auto"/>
            <w:noWrap w:val="0"/>
            <w:tcMar>
              <w:top w:w="15" w:type="dxa"/>
              <w:left w:w="15" w:type="dxa"/>
              <w:bottom w:w="0" w:type="dxa"/>
              <w:right w:w="15" w:type="dxa"/>
            </w:tcMar>
            <w:vAlign w:val="center"/>
          </w:tcPr>
          <w:p w14:paraId="4696265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新晃振兴米业有限公司</w:t>
            </w:r>
          </w:p>
        </w:tc>
        <w:tc>
          <w:tcPr>
            <w:tcW w:w="735" w:type="pct"/>
            <w:tcBorders>
              <w:tl2br w:val="nil"/>
              <w:tr2bl w:val="nil"/>
            </w:tcBorders>
            <w:shd w:val="clear" w:color="auto" w:fill="auto"/>
            <w:noWrap w:val="0"/>
            <w:vAlign w:val="center"/>
          </w:tcPr>
          <w:p w14:paraId="0E0B2209">
            <w:pPr>
              <w:keepNext w:val="0"/>
              <w:keepLines w:val="0"/>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844" w:type="pct"/>
            <w:tcBorders>
              <w:tl2br w:val="nil"/>
              <w:tr2bl w:val="nil"/>
            </w:tcBorders>
            <w:shd w:val="clear" w:color="auto" w:fill="auto"/>
            <w:noWrap w:val="0"/>
            <w:tcMar>
              <w:top w:w="15" w:type="dxa"/>
              <w:left w:w="15" w:type="dxa"/>
              <w:bottom w:w="0" w:type="dxa"/>
              <w:right w:w="15" w:type="dxa"/>
            </w:tcMar>
            <w:vAlign w:val="center"/>
          </w:tcPr>
          <w:p w14:paraId="5B5765F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登记表</w:t>
            </w:r>
          </w:p>
        </w:tc>
        <w:tc>
          <w:tcPr>
            <w:tcW w:w="555" w:type="pct"/>
            <w:tcBorders>
              <w:tl2br w:val="nil"/>
              <w:tr2bl w:val="nil"/>
            </w:tcBorders>
            <w:shd w:val="clear" w:color="auto" w:fill="auto"/>
            <w:noWrap w:val="0"/>
            <w:tcMar>
              <w:top w:w="15" w:type="dxa"/>
              <w:left w:w="15" w:type="dxa"/>
              <w:bottom w:w="0" w:type="dxa"/>
              <w:right w:w="15" w:type="dxa"/>
            </w:tcMar>
            <w:vAlign w:val="center"/>
          </w:tcPr>
          <w:p w14:paraId="7BE73ED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484" w:type="pct"/>
            <w:tcBorders>
              <w:tl2br w:val="nil"/>
              <w:tr2bl w:val="nil"/>
            </w:tcBorders>
            <w:shd w:val="clear" w:color="auto" w:fill="auto"/>
            <w:noWrap w:val="0"/>
            <w:vAlign w:val="center"/>
          </w:tcPr>
          <w:p w14:paraId="7F7D715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c>
          <w:tcPr>
            <w:tcW w:w="732" w:type="pct"/>
            <w:tcBorders>
              <w:tl2br w:val="nil"/>
              <w:tr2bl w:val="nil"/>
            </w:tcBorders>
            <w:shd w:val="clear" w:color="auto" w:fill="auto"/>
            <w:noWrap w:val="0"/>
            <w:vAlign w:val="center"/>
          </w:tcPr>
          <w:p w14:paraId="7335B04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358" w:type="pct"/>
            <w:tcBorders>
              <w:tl2br w:val="nil"/>
              <w:tr2bl w:val="nil"/>
            </w:tcBorders>
            <w:shd w:val="clear" w:color="auto" w:fill="auto"/>
            <w:noWrap w:val="0"/>
            <w:vAlign w:val="center"/>
          </w:tcPr>
          <w:p w14:paraId="73A40E3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w:t>
            </w:r>
          </w:p>
        </w:tc>
      </w:tr>
      <w:tr w14:paraId="695852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54CD2C1A">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50</w:t>
            </w:r>
          </w:p>
        </w:tc>
        <w:tc>
          <w:tcPr>
            <w:tcW w:w="1056" w:type="pct"/>
            <w:tcBorders>
              <w:tl2br w:val="nil"/>
              <w:tr2bl w:val="nil"/>
            </w:tcBorders>
            <w:shd w:val="clear" w:color="auto" w:fill="auto"/>
            <w:noWrap w:val="0"/>
            <w:tcMar>
              <w:top w:w="15" w:type="dxa"/>
              <w:left w:w="15" w:type="dxa"/>
              <w:bottom w:w="0" w:type="dxa"/>
              <w:right w:w="15" w:type="dxa"/>
            </w:tcMar>
            <w:vAlign w:val="center"/>
          </w:tcPr>
          <w:p w14:paraId="1EED445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新晃世鑫矿业有限责任公司</w:t>
            </w:r>
          </w:p>
        </w:tc>
        <w:tc>
          <w:tcPr>
            <w:tcW w:w="735" w:type="pct"/>
            <w:tcBorders>
              <w:tl2br w:val="nil"/>
              <w:tr2bl w:val="nil"/>
            </w:tcBorders>
            <w:shd w:val="clear" w:color="auto" w:fill="auto"/>
            <w:noWrap w:val="0"/>
            <w:vAlign w:val="center"/>
          </w:tcPr>
          <w:p w14:paraId="0197656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N7723固体废物治理</w:t>
            </w:r>
          </w:p>
        </w:tc>
        <w:tc>
          <w:tcPr>
            <w:tcW w:w="844" w:type="pct"/>
            <w:tcBorders>
              <w:tl2br w:val="nil"/>
              <w:tr2bl w:val="nil"/>
            </w:tcBorders>
            <w:shd w:val="clear" w:color="auto" w:fill="auto"/>
            <w:noWrap w:val="0"/>
            <w:tcMar>
              <w:top w:w="15" w:type="dxa"/>
              <w:left w:w="15" w:type="dxa"/>
              <w:bottom w:w="0" w:type="dxa"/>
              <w:right w:w="15" w:type="dxa"/>
            </w:tcMar>
            <w:vAlign w:val="center"/>
          </w:tcPr>
          <w:p w14:paraId="35BA825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怀环晃审[2024]3号</w:t>
            </w:r>
          </w:p>
        </w:tc>
        <w:tc>
          <w:tcPr>
            <w:tcW w:w="555" w:type="pct"/>
            <w:tcBorders>
              <w:tl2br w:val="nil"/>
              <w:tr2bl w:val="nil"/>
            </w:tcBorders>
            <w:shd w:val="clear" w:color="auto" w:fill="auto"/>
            <w:noWrap w:val="0"/>
            <w:tcMar>
              <w:top w:w="15" w:type="dxa"/>
              <w:left w:w="15" w:type="dxa"/>
              <w:bottom w:w="0" w:type="dxa"/>
              <w:right w:w="15" w:type="dxa"/>
            </w:tcMar>
            <w:vAlign w:val="center"/>
          </w:tcPr>
          <w:p w14:paraId="227D547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484" w:type="pct"/>
            <w:tcBorders>
              <w:tl2br w:val="nil"/>
              <w:tr2bl w:val="nil"/>
            </w:tcBorders>
            <w:shd w:val="clear" w:color="auto" w:fill="auto"/>
            <w:noWrap w:val="0"/>
            <w:vAlign w:val="center"/>
          </w:tcPr>
          <w:p w14:paraId="58335C1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c>
          <w:tcPr>
            <w:tcW w:w="732" w:type="pct"/>
            <w:tcBorders>
              <w:tl2br w:val="nil"/>
              <w:tr2bl w:val="nil"/>
            </w:tcBorders>
            <w:shd w:val="clear" w:color="auto" w:fill="auto"/>
            <w:noWrap w:val="0"/>
            <w:vAlign w:val="center"/>
          </w:tcPr>
          <w:p w14:paraId="30A3911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无</w:t>
            </w:r>
          </w:p>
        </w:tc>
        <w:tc>
          <w:tcPr>
            <w:tcW w:w="358" w:type="pct"/>
            <w:tcBorders>
              <w:tl2br w:val="nil"/>
              <w:tr2bl w:val="nil"/>
            </w:tcBorders>
            <w:shd w:val="clear" w:color="auto" w:fill="auto"/>
            <w:noWrap w:val="0"/>
            <w:vAlign w:val="center"/>
          </w:tcPr>
          <w:p w14:paraId="0448428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无</w:t>
            </w:r>
          </w:p>
        </w:tc>
      </w:tr>
      <w:tr w14:paraId="0FF5F4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232" w:type="pct"/>
            <w:tcBorders>
              <w:tl2br w:val="nil"/>
              <w:tr2bl w:val="nil"/>
            </w:tcBorders>
            <w:noWrap w:val="0"/>
            <w:tcMar>
              <w:top w:w="15" w:type="dxa"/>
              <w:left w:w="15" w:type="dxa"/>
              <w:bottom w:w="0" w:type="dxa"/>
              <w:right w:w="15" w:type="dxa"/>
            </w:tcMar>
            <w:vAlign w:val="center"/>
          </w:tcPr>
          <w:p w14:paraId="0AE54723">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51</w:t>
            </w:r>
          </w:p>
        </w:tc>
        <w:tc>
          <w:tcPr>
            <w:tcW w:w="1056" w:type="pct"/>
            <w:tcBorders>
              <w:tl2br w:val="nil"/>
              <w:tr2bl w:val="nil"/>
            </w:tcBorders>
            <w:shd w:val="clear" w:color="auto" w:fill="auto"/>
            <w:noWrap w:val="0"/>
            <w:tcMar>
              <w:top w:w="15" w:type="dxa"/>
              <w:left w:w="15" w:type="dxa"/>
              <w:bottom w:w="0" w:type="dxa"/>
              <w:right w:w="15" w:type="dxa"/>
            </w:tcMar>
            <w:vAlign w:val="center"/>
          </w:tcPr>
          <w:p w14:paraId="1A05506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18"/>
                <w:szCs w:val="18"/>
                <w:u w:val="none"/>
                <w:lang w:val="en-US" w:eastAsia="zh-CN" w:bidi="ar"/>
                <w14:textFill>
                  <w14:solidFill>
                    <w14:schemeClr w14:val="tx1"/>
                  </w14:solidFill>
                </w14:textFill>
              </w:rPr>
              <w:t>湖南盛合再生资源利用有限公司</w:t>
            </w:r>
          </w:p>
        </w:tc>
        <w:tc>
          <w:tcPr>
            <w:tcW w:w="735" w:type="pct"/>
            <w:tcBorders>
              <w:tl2br w:val="nil"/>
              <w:tr2bl w:val="nil"/>
            </w:tcBorders>
            <w:shd w:val="clear" w:color="auto" w:fill="auto"/>
            <w:noWrap w:val="0"/>
            <w:vAlign w:val="center"/>
          </w:tcPr>
          <w:p w14:paraId="6F6B6274">
            <w:pPr>
              <w:keepNext w:val="0"/>
              <w:keepLines w:val="0"/>
              <w:pageBreakBefore w:val="0"/>
              <w:kinsoku/>
              <w:wordWrap/>
              <w:overflowPunct/>
              <w:topLinePunct w:val="0"/>
              <w:autoSpaceDE/>
              <w:autoSpaceDN/>
              <w:bidi w:val="0"/>
              <w:snapToGrid w:val="0"/>
              <w:spacing w:line="240" w:lineRule="auto"/>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t>规划中</w:t>
            </w:r>
          </w:p>
        </w:tc>
        <w:tc>
          <w:tcPr>
            <w:tcW w:w="844" w:type="pct"/>
            <w:tcBorders>
              <w:tl2br w:val="nil"/>
              <w:tr2bl w:val="nil"/>
            </w:tcBorders>
            <w:shd w:val="clear" w:color="auto" w:fill="auto"/>
            <w:noWrap w:val="0"/>
            <w:tcMar>
              <w:top w:w="15" w:type="dxa"/>
              <w:left w:w="15" w:type="dxa"/>
              <w:bottom w:w="0" w:type="dxa"/>
              <w:right w:w="15" w:type="dxa"/>
            </w:tcMar>
            <w:vAlign w:val="center"/>
          </w:tcPr>
          <w:p w14:paraId="1E8C1AC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555" w:type="pct"/>
            <w:tcBorders>
              <w:tl2br w:val="nil"/>
              <w:tr2bl w:val="nil"/>
            </w:tcBorders>
            <w:shd w:val="clear" w:color="auto" w:fill="auto"/>
            <w:noWrap w:val="0"/>
            <w:tcMar>
              <w:top w:w="15" w:type="dxa"/>
              <w:left w:w="15" w:type="dxa"/>
              <w:bottom w:w="0" w:type="dxa"/>
              <w:right w:w="15" w:type="dxa"/>
            </w:tcMar>
            <w:vAlign w:val="center"/>
          </w:tcPr>
          <w:p w14:paraId="61FB037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484" w:type="pct"/>
            <w:tcBorders>
              <w:tl2br w:val="nil"/>
              <w:tr2bl w:val="nil"/>
            </w:tcBorders>
            <w:shd w:val="clear" w:color="auto" w:fill="auto"/>
            <w:noWrap w:val="0"/>
            <w:vAlign w:val="center"/>
          </w:tcPr>
          <w:p w14:paraId="430C24E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732" w:type="pct"/>
            <w:tcBorders>
              <w:tl2br w:val="nil"/>
              <w:tr2bl w:val="nil"/>
            </w:tcBorders>
            <w:shd w:val="clear" w:color="auto" w:fill="auto"/>
            <w:noWrap w:val="0"/>
            <w:vAlign w:val="center"/>
          </w:tcPr>
          <w:p w14:paraId="2893A61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c>
          <w:tcPr>
            <w:tcW w:w="358" w:type="pct"/>
            <w:tcBorders>
              <w:tl2br w:val="nil"/>
              <w:tr2bl w:val="nil"/>
            </w:tcBorders>
            <w:shd w:val="clear" w:color="auto" w:fill="auto"/>
            <w:noWrap w:val="0"/>
            <w:vAlign w:val="center"/>
          </w:tcPr>
          <w:p w14:paraId="23E54A3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t>/</w:t>
            </w:r>
          </w:p>
        </w:tc>
      </w:tr>
    </w:tbl>
    <w:p w14:paraId="7259BB55">
      <w:pPr>
        <w:pStyle w:val="3"/>
        <w:keepNext/>
        <w:keepLines/>
        <w:pageBreakBefore w:val="0"/>
        <w:widowControl w:val="0"/>
        <w:kinsoku/>
        <w:wordWrap/>
        <w:overflowPunct/>
        <w:topLinePunct w:val="0"/>
        <w:autoSpaceDE/>
        <w:autoSpaceDN/>
        <w:bidi w:val="0"/>
        <w:adjustRightInd/>
        <w:snapToGrid/>
        <w:spacing w:before="227" w:beforeLines="50" w:after="0" w:line="240" w:lineRule="auto"/>
        <w:textAlignment w:val="auto"/>
        <w:rPr>
          <w:rFonts w:hint="default" w:ascii="Times New Roman" w:hAnsi="Times New Roman" w:cs="Times New Roman"/>
          <w:b/>
          <w:lang w:val="zh-CN" w:eastAsia="zh-CN"/>
        </w:rPr>
      </w:pPr>
      <w:r>
        <w:rPr>
          <w:rFonts w:hint="default" w:ascii="Times New Roman" w:hAnsi="Times New Roman" w:cs="Times New Roman"/>
          <w:b/>
          <w:lang w:val="en-US" w:eastAsia="zh-CN"/>
        </w:rPr>
        <w:t>1.5园区主要污染物总量控制情况</w:t>
      </w:r>
      <w:bookmarkEnd w:id="6"/>
    </w:p>
    <w:p w14:paraId="41E3F163">
      <w:pPr>
        <w:keepNext w:val="0"/>
        <w:keepLines w:val="0"/>
        <w:pageBreakBefore w:val="0"/>
        <w:widowControl w:val="0"/>
        <w:kinsoku/>
        <w:wordWrap/>
        <w:overflowPunct/>
        <w:topLinePunct w:val="0"/>
        <w:autoSpaceDE/>
        <w:autoSpaceDN/>
        <w:bidi w:val="0"/>
        <w:adjustRightInd w:val="0"/>
        <w:snapToGrid w:val="0"/>
        <w:spacing w:before="227" w:beforeLines="50" w:line="240" w:lineRule="auto"/>
        <w:jc w:val="center"/>
        <w:textAlignment w:val="auto"/>
        <w:rPr>
          <w:rFonts w:hint="default" w:ascii="仿宋" w:hAnsi="仿宋" w:eastAsia="仿宋" w:cs="仿宋"/>
          <w:b/>
          <w:bCs w:val="0"/>
          <w:color w:val="auto"/>
          <w:sz w:val="24"/>
          <w:szCs w:val="24"/>
          <w:highlight w:val="none"/>
          <w:lang w:val="zh-CN" w:eastAsia="zh-CN"/>
        </w:rPr>
      </w:pPr>
      <w:r>
        <w:rPr>
          <w:rFonts w:hint="default" w:ascii="仿宋" w:hAnsi="仿宋" w:eastAsia="仿宋" w:cs="仿宋"/>
          <w:b/>
          <w:bCs w:val="0"/>
          <w:color w:val="auto"/>
          <w:sz w:val="24"/>
          <w:szCs w:val="24"/>
          <w:highlight w:val="none"/>
          <w:lang w:val="zh-CN" w:eastAsia="zh-CN"/>
        </w:rPr>
        <w:t>表</w:t>
      </w:r>
      <w:r>
        <w:rPr>
          <w:rFonts w:hint="eastAsia" w:ascii="仿宋" w:hAnsi="仿宋" w:eastAsia="仿宋" w:cs="仿宋"/>
          <w:b/>
          <w:bCs w:val="0"/>
          <w:color w:val="auto"/>
          <w:sz w:val="24"/>
          <w:szCs w:val="24"/>
          <w:highlight w:val="none"/>
          <w:lang w:val="en-US" w:eastAsia="zh-CN"/>
        </w:rPr>
        <w:t xml:space="preserve">2 </w:t>
      </w:r>
      <w:r>
        <w:rPr>
          <w:rFonts w:hint="eastAsia" w:ascii="仿宋" w:hAnsi="仿宋" w:eastAsia="仿宋" w:cs="仿宋"/>
          <w:b/>
          <w:bCs w:val="0"/>
          <w:color w:val="auto"/>
          <w:sz w:val="24"/>
          <w:szCs w:val="24"/>
          <w:highlight w:val="none"/>
          <w:lang w:val="zh-CN" w:eastAsia="zh-CN"/>
        </w:rPr>
        <w:t>园区</w:t>
      </w:r>
      <w:r>
        <w:rPr>
          <w:rFonts w:hint="default" w:ascii="仿宋" w:hAnsi="仿宋" w:eastAsia="仿宋" w:cs="仿宋"/>
          <w:b/>
          <w:bCs w:val="0"/>
          <w:color w:val="auto"/>
          <w:sz w:val="24"/>
          <w:szCs w:val="24"/>
          <w:highlight w:val="none"/>
          <w:lang w:val="zh-CN" w:eastAsia="zh-CN"/>
        </w:rPr>
        <w:t>污染物总量控制清单</w:t>
      </w:r>
    </w:p>
    <w:p w14:paraId="3DAEAEF2">
      <w:pPr>
        <w:keepNext w:val="0"/>
        <w:keepLines w:val="0"/>
        <w:pageBreakBefore w:val="0"/>
        <w:widowControl w:val="0"/>
        <w:kinsoku/>
        <w:wordWrap/>
        <w:overflowPunct/>
        <w:topLinePunct w:val="0"/>
        <w:autoSpaceDE/>
        <w:autoSpaceDN/>
        <w:bidi w:val="0"/>
        <w:adjustRightInd w:val="0"/>
        <w:snapToGrid w:val="0"/>
        <w:spacing w:line="240" w:lineRule="auto"/>
        <w:jc w:val="right"/>
        <w:textAlignment w:val="auto"/>
        <w:rPr>
          <w:rFonts w:hint="default" w:ascii="仿宋" w:hAnsi="仿宋" w:eastAsia="仿宋" w:cs="仿宋"/>
          <w:b/>
          <w:bCs w:val="0"/>
          <w:color w:val="auto"/>
          <w:sz w:val="21"/>
          <w:szCs w:val="21"/>
          <w:highlight w:val="none"/>
          <w:lang w:val="zh-CN" w:eastAsia="zh-CN"/>
        </w:rPr>
      </w:pPr>
      <w:r>
        <w:rPr>
          <w:rFonts w:hint="default" w:ascii="仿宋" w:hAnsi="仿宋" w:eastAsia="仿宋" w:cs="仿宋"/>
          <w:b/>
          <w:bCs w:val="0"/>
          <w:color w:val="auto"/>
          <w:sz w:val="21"/>
          <w:szCs w:val="21"/>
          <w:highlight w:val="none"/>
          <w:lang w:val="zh-CN" w:eastAsia="zh-CN"/>
        </w:rPr>
        <w:t>单位：t/a</w:t>
      </w:r>
    </w:p>
    <w:tbl>
      <w:tblPr>
        <w:tblStyle w:val="17"/>
        <w:tblW w:w="497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2202"/>
        <w:gridCol w:w="1980"/>
        <w:gridCol w:w="2780"/>
        <w:gridCol w:w="2232"/>
      </w:tblGrid>
      <w:tr w14:paraId="76E4F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02" w:type="dxa"/>
            <w:shd w:val="clear" w:color="auto" w:fill="auto"/>
            <w:tcMar>
              <w:top w:w="15" w:type="dxa"/>
              <w:left w:w="108" w:type="dxa"/>
              <w:bottom w:w="0" w:type="dxa"/>
              <w:right w:w="108" w:type="dxa"/>
            </w:tcMar>
            <w:vAlign w:val="center"/>
          </w:tcPr>
          <w:p w14:paraId="7CE524E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片区</w:t>
            </w:r>
          </w:p>
        </w:tc>
        <w:tc>
          <w:tcPr>
            <w:tcW w:w="1980" w:type="dxa"/>
            <w:shd w:val="clear" w:color="auto" w:fill="auto"/>
            <w:tcMar>
              <w:top w:w="15" w:type="dxa"/>
              <w:left w:w="108" w:type="dxa"/>
              <w:bottom w:w="0" w:type="dxa"/>
              <w:right w:w="108" w:type="dxa"/>
            </w:tcMar>
            <w:vAlign w:val="center"/>
          </w:tcPr>
          <w:p w14:paraId="69590FE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类型</w:t>
            </w:r>
          </w:p>
        </w:tc>
        <w:tc>
          <w:tcPr>
            <w:tcW w:w="2780" w:type="dxa"/>
            <w:shd w:val="clear" w:color="auto" w:fill="auto"/>
            <w:tcMar>
              <w:top w:w="15" w:type="dxa"/>
              <w:left w:w="108" w:type="dxa"/>
              <w:bottom w:w="0" w:type="dxa"/>
              <w:right w:w="108" w:type="dxa"/>
            </w:tcMar>
            <w:vAlign w:val="center"/>
          </w:tcPr>
          <w:p w14:paraId="48243F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污染因子</w:t>
            </w:r>
          </w:p>
        </w:tc>
        <w:tc>
          <w:tcPr>
            <w:tcW w:w="2232" w:type="dxa"/>
            <w:shd w:val="clear" w:color="auto" w:fill="auto"/>
            <w:tcMar>
              <w:top w:w="15" w:type="dxa"/>
              <w:left w:w="108" w:type="dxa"/>
              <w:bottom w:w="0" w:type="dxa"/>
              <w:right w:w="108" w:type="dxa"/>
            </w:tcMar>
            <w:vAlign w:val="center"/>
          </w:tcPr>
          <w:p w14:paraId="70B2C14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rPr>
              <w:t>总量控制指标</w:t>
            </w:r>
          </w:p>
        </w:tc>
      </w:tr>
      <w:tr w14:paraId="6D791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02" w:type="dxa"/>
            <w:vMerge w:val="restart"/>
            <w:shd w:val="clear" w:color="auto" w:fill="auto"/>
            <w:tcMar>
              <w:top w:w="72" w:type="dxa"/>
              <w:left w:w="144" w:type="dxa"/>
              <w:bottom w:w="72" w:type="dxa"/>
              <w:right w:w="144" w:type="dxa"/>
            </w:tcMar>
            <w:vAlign w:val="center"/>
          </w:tcPr>
          <w:p w14:paraId="49FC705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全园区</w:t>
            </w:r>
          </w:p>
        </w:tc>
        <w:tc>
          <w:tcPr>
            <w:tcW w:w="1980" w:type="dxa"/>
            <w:vMerge w:val="restart"/>
            <w:shd w:val="clear" w:color="auto" w:fill="auto"/>
            <w:tcMar>
              <w:top w:w="72" w:type="dxa"/>
              <w:left w:w="144" w:type="dxa"/>
              <w:bottom w:w="72" w:type="dxa"/>
              <w:right w:w="144" w:type="dxa"/>
            </w:tcMar>
            <w:vAlign w:val="center"/>
          </w:tcPr>
          <w:p w14:paraId="5C3E884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大气污染物</w:t>
            </w:r>
          </w:p>
        </w:tc>
        <w:tc>
          <w:tcPr>
            <w:tcW w:w="2780" w:type="dxa"/>
            <w:shd w:val="clear" w:color="auto" w:fill="auto"/>
            <w:tcMar>
              <w:top w:w="15" w:type="dxa"/>
              <w:left w:w="108" w:type="dxa"/>
              <w:bottom w:w="0" w:type="dxa"/>
              <w:right w:w="108" w:type="dxa"/>
            </w:tcMar>
            <w:vAlign w:val="center"/>
          </w:tcPr>
          <w:p w14:paraId="1741C4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二氧化硫</w:t>
            </w:r>
          </w:p>
        </w:tc>
        <w:tc>
          <w:tcPr>
            <w:tcW w:w="2232" w:type="dxa"/>
            <w:shd w:val="clear" w:color="auto" w:fill="auto"/>
            <w:tcMar>
              <w:top w:w="15" w:type="dxa"/>
              <w:left w:w="108" w:type="dxa"/>
              <w:bottom w:w="0" w:type="dxa"/>
              <w:right w:w="108" w:type="dxa"/>
            </w:tcMar>
            <w:vAlign w:val="center"/>
          </w:tcPr>
          <w:p w14:paraId="4B252B2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249</w:t>
            </w:r>
          </w:p>
        </w:tc>
      </w:tr>
      <w:tr w14:paraId="101B4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02" w:type="dxa"/>
            <w:vMerge w:val="continue"/>
            <w:shd w:val="clear" w:color="auto" w:fill="auto"/>
            <w:vAlign w:val="center"/>
          </w:tcPr>
          <w:p w14:paraId="5459851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1980" w:type="dxa"/>
            <w:vMerge w:val="continue"/>
            <w:shd w:val="clear" w:color="auto" w:fill="auto"/>
            <w:vAlign w:val="center"/>
          </w:tcPr>
          <w:p w14:paraId="6816529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2780" w:type="dxa"/>
            <w:shd w:val="clear" w:color="auto" w:fill="auto"/>
            <w:tcMar>
              <w:top w:w="15" w:type="dxa"/>
              <w:left w:w="108" w:type="dxa"/>
              <w:bottom w:w="0" w:type="dxa"/>
              <w:right w:w="108" w:type="dxa"/>
            </w:tcMar>
            <w:vAlign w:val="center"/>
          </w:tcPr>
          <w:p w14:paraId="526D513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氮氧化物</w:t>
            </w:r>
          </w:p>
        </w:tc>
        <w:tc>
          <w:tcPr>
            <w:tcW w:w="2232" w:type="dxa"/>
            <w:shd w:val="clear" w:color="auto" w:fill="auto"/>
            <w:tcMar>
              <w:top w:w="15" w:type="dxa"/>
              <w:left w:w="108" w:type="dxa"/>
              <w:bottom w:w="0" w:type="dxa"/>
              <w:right w:w="108" w:type="dxa"/>
            </w:tcMar>
            <w:vAlign w:val="center"/>
          </w:tcPr>
          <w:p w14:paraId="4156159E">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228</w:t>
            </w:r>
          </w:p>
        </w:tc>
      </w:tr>
      <w:tr w14:paraId="766811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02" w:type="dxa"/>
            <w:vMerge w:val="continue"/>
            <w:shd w:val="clear" w:color="auto" w:fill="auto"/>
            <w:vAlign w:val="center"/>
          </w:tcPr>
          <w:p w14:paraId="038B1E4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1980" w:type="dxa"/>
            <w:vMerge w:val="continue"/>
            <w:shd w:val="clear" w:color="auto" w:fill="auto"/>
            <w:vAlign w:val="center"/>
          </w:tcPr>
          <w:p w14:paraId="69F7B3C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2780" w:type="dxa"/>
            <w:shd w:val="clear" w:color="auto" w:fill="auto"/>
            <w:tcMar>
              <w:top w:w="15" w:type="dxa"/>
              <w:left w:w="108" w:type="dxa"/>
              <w:bottom w:w="0" w:type="dxa"/>
              <w:right w:w="108" w:type="dxa"/>
            </w:tcMar>
            <w:vAlign w:val="center"/>
          </w:tcPr>
          <w:p w14:paraId="76351E9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颗粒物</w:t>
            </w:r>
          </w:p>
        </w:tc>
        <w:tc>
          <w:tcPr>
            <w:tcW w:w="2232" w:type="dxa"/>
            <w:shd w:val="clear" w:color="auto" w:fill="auto"/>
            <w:tcMar>
              <w:top w:w="15" w:type="dxa"/>
              <w:left w:w="108" w:type="dxa"/>
              <w:bottom w:w="0" w:type="dxa"/>
              <w:right w:w="108" w:type="dxa"/>
            </w:tcMar>
            <w:vAlign w:val="center"/>
          </w:tcPr>
          <w:p w14:paraId="614E2B53">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982</w:t>
            </w:r>
          </w:p>
        </w:tc>
      </w:tr>
      <w:tr w14:paraId="7EE40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02" w:type="dxa"/>
            <w:vMerge w:val="continue"/>
            <w:shd w:val="clear" w:color="auto" w:fill="auto"/>
            <w:vAlign w:val="center"/>
          </w:tcPr>
          <w:p w14:paraId="1A31E94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1980" w:type="dxa"/>
            <w:vMerge w:val="continue"/>
            <w:shd w:val="clear" w:color="auto" w:fill="auto"/>
            <w:vAlign w:val="center"/>
          </w:tcPr>
          <w:p w14:paraId="446CCB4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2780" w:type="dxa"/>
            <w:shd w:val="clear" w:color="auto" w:fill="auto"/>
            <w:tcMar>
              <w:top w:w="15" w:type="dxa"/>
              <w:left w:w="108" w:type="dxa"/>
              <w:bottom w:w="0" w:type="dxa"/>
              <w:right w:w="108" w:type="dxa"/>
            </w:tcMar>
            <w:vAlign w:val="center"/>
          </w:tcPr>
          <w:p w14:paraId="4F57B28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挥发性有机物</w:t>
            </w:r>
          </w:p>
        </w:tc>
        <w:tc>
          <w:tcPr>
            <w:tcW w:w="2232" w:type="dxa"/>
            <w:shd w:val="clear" w:color="auto" w:fill="auto"/>
            <w:tcMar>
              <w:top w:w="15" w:type="dxa"/>
              <w:left w:w="108" w:type="dxa"/>
              <w:bottom w:w="0" w:type="dxa"/>
              <w:right w:w="108" w:type="dxa"/>
            </w:tcMar>
            <w:vAlign w:val="center"/>
          </w:tcPr>
          <w:p w14:paraId="5DC008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28</w:t>
            </w:r>
          </w:p>
        </w:tc>
      </w:tr>
      <w:tr w14:paraId="00C6A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02" w:type="dxa"/>
            <w:vMerge w:val="restart"/>
            <w:shd w:val="clear" w:color="auto" w:fill="auto"/>
            <w:tcMar>
              <w:top w:w="72" w:type="dxa"/>
              <w:left w:w="144" w:type="dxa"/>
              <w:bottom w:w="72" w:type="dxa"/>
              <w:right w:w="144" w:type="dxa"/>
            </w:tcMar>
            <w:vAlign w:val="center"/>
          </w:tcPr>
          <w:p w14:paraId="1F3F4078">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全园区</w:t>
            </w:r>
          </w:p>
        </w:tc>
        <w:tc>
          <w:tcPr>
            <w:tcW w:w="1980" w:type="dxa"/>
            <w:vMerge w:val="restart"/>
            <w:shd w:val="clear" w:color="auto" w:fill="auto"/>
            <w:tcMar>
              <w:top w:w="72" w:type="dxa"/>
              <w:left w:w="144" w:type="dxa"/>
              <w:bottom w:w="72" w:type="dxa"/>
              <w:right w:w="144" w:type="dxa"/>
            </w:tcMar>
            <w:vAlign w:val="center"/>
          </w:tcPr>
          <w:p w14:paraId="5C75A8B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水污染物</w:t>
            </w:r>
          </w:p>
        </w:tc>
        <w:tc>
          <w:tcPr>
            <w:tcW w:w="2780" w:type="dxa"/>
            <w:shd w:val="clear" w:color="auto" w:fill="auto"/>
            <w:tcMar>
              <w:top w:w="15" w:type="dxa"/>
              <w:left w:w="108" w:type="dxa"/>
              <w:bottom w:w="0" w:type="dxa"/>
              <w:right w:w="108" w:type="dxa"/>
            </w:tcMar>
            <w:vAlign w:val="center"/>
          </w:tcPr>
          <w:p w14:paraId="789F878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化学需氧量</w:t>
            </w:r>
          </w:p>
        </w:tc>
        <w:tc>
          <w:tcPr>
            <w:tcW w:w="2232" w:type="dxa"/>
            <w:shd w:val="clear" w:color="auto" w:fill="auto"/>
            <w:tcMar>
              <w:top w:w="15" w:type="dxa"/>
              <w:left w:w="108" w:type="dxa"/>
              <w:bottom w:w="0" w:type="dxa"/>
              <w:right w:w="108" w:type="dxa"/>
            </w:tcMar>
            <w:vAlign w:val="center"/>
          </w:tcPr>
          <w:p w14:paraId="1B9B738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137</w:t>
            </w:r>
          </w:p>
        </w:tc>
      </w:tr>
      <w:tr w14:paraId="6D62C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202" w:type="dxa"/>
            <w:vMerge w:val="continue"/>
            <w:shd w:val="clear" w:color="auto" w:fill="auto"/>
            <w:vAlign w:val="center"/>
          </w:tcPr>
          <w:p w14:paraId="7EBADE07">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1980" w:type="dxa"/>
            <w:vMerge w:val="continue"/>
            <w:shd w:val="clear" w:color="auto" w:fill="auto"/>
            <w:vAlign w:val="center"/>
          </w:tcPr>
          <w:p w14:paraId="1174033A">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p>
        </w:tc>
        <w:tc>
          <w:tcPr>
            <w:tcW w:w="2780" w:type="dxa"/>
            <w:shd w:val="clear" w:color="auto" w:fill="auto"/>
            <w:tcMar>
              <w:top w:w="15" w:type="dxa"/>
              <w:left w:w="108" w:type="dxa"/>
              <w:bottom w:w="0" w:type="dxa"/>
              <w:right w:w="108" w:type="dxa"/>
            </w:tcMar>
            <w:vAlign w:val="center"/>
          </w:tcPr>
          <w:p w14:paraId="31B0B43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氨氮</w:t>
            </w:r>
          </w:p>
        </w:tc>
        <w:tc>
          <w:tcPr>
            <w:tcW w:w="2232" w:type="dxa"/>
            <w:shd w:val="clear" w:color="auto" w:fill="auto"/>
            <w:tcMar>
              <w:top w:w="15" w:type="dxa"/>
              <w:left w:w="108" w:type="dxa"/>
              <w:bottom w:w="0" w:type="dxa"/>
              <w:right w:w="108" w:type="dxa"/>
            </w:tcMar>
            <w:vAlign w:val="center"/>
          </w:tcPr>
          <w:p w14:paraId="68A0909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33</w:t>
            </w:r>
          </w:p>
        </w:tc>
      </w:tr>
    </w:tbl>
    <w:p w14:paraId="77D11B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1、大气环境容量。</w:t>
      </w:r>
    </w:p>
    <w:p w14:paraId="048B8A2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根据大气环境容量计算结果：前锋工业园鱼市片区、柏树林工业园近期大气污染物排放量均未超过相应区域允许排放总量，大气环境容量充足。</w:t>
      </w:r>
    </w:p>
    <w:p w14:paraId="761925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4"/>
          <w:szCs w:val="24"/>
          <w:highlight w:val="none"/>
          <w:lang w:val="zh-CN" w:eastAsia="zh-CN"/>
        </w:rPr>
      </w:pPr>
      <w:r>
        <w:rPr>
          <w:rFonts w:hint="default" w:ascii="仿宋" w:hAnsi="仿宋" w:eastAsia="仿宋" w:cs="仿宋"/>
          <w:b/>
          <w:bCs w:val="0"/>
          <w:color w:val="auto"/>
          <w:sz w:val="24"/>
          <w:szCs w:val="24"/>
          <w:highlight w:val="none"/>
          <w:lang w:val="zh-CN" w:eastAsia="zh-CN"/>
        </w:rPr>
        <w:t>表</w:t>
      </w:r>
      <w:r>
        <w:rPr>
          <w:rFonts w:hint="eastAsia" w:ascii="仿宋" w:hAnsi="仿宋" w:eastAsia="仿宋" w:cs="仿宋"/>
          <w:b/>
          <w:bCs w:val="0"/>
          <w:color w:val="auto"/>
          <w:sz w:val="24"/>
          <w:szCs w:val="24"/>
          <w:highlight w:val="none"/>
          <w:lang w:val="en-US" w:eastAsia="zh-CN"/>
        </w:rPr>
        <w:t xml:space="preserve">3 </w:t>
      </w:r>
      <w:r>
        <w:rPr>
          <w:rFonts w:hint="default" w:ascii="仿宋" w:hAnsi="仿宋" w:eastAsia="仿宋" w:cs="仿宋"/>
          <w:b/>
          <w:bCs w:val="0"/>
          <w:color w:val="auto"/>
          <w:sz w:val="24"/>
          <w:szCs w:val="24"/>
          <w:highlight w:val="none"/>
          <w:lang w:val="zh-CN" w:eastAsia="zh-CN"/>
        </w:rPr>
        <w:t>大气环境容量计算结果</w:t>
      </w:r>
    </w:p>
    <w:p w14:paraId="62C7B3A0">
      <w:pPr>
        <w:keepNext w:val="0"/>
        <w:keepLines w:val="0"/>
        <w:pageBreakBefore w:val="0"/>
        <w:widowControl w:val="0"/>
        <w:kinsoku/>
        <w:wordWrap/>
        <w:overflowPunct/>
        <w:topLinePunct w:val="0"/>
        <w:autoSpaceDE/>
        <w:autoSpaceDN/>
        <w:bidi w:val="0"/>
        <w:adjustRightInd w:val="0"/>
        <w:snapToGrid w:val="0"/>
        <w:spacing w:line="240" w:lineRule="auto"/>
        <w:jc w:val="right"/>
        <w:textAlignment w:val="auto"/>
        <w:rPr>
          <w:rFonts w:hint="default" w:ascii="仿宋" w:hAnsi="仿宋" w:eastAsia="仿宋" w:cs="仿宋"/>
          <w:b/>
          <w:bCs w:val="0"/>
          <w:color w:val="auto"/>
          <w:sz w:val="21"/>
          <w:szCs w:val="21"/>
          <w:highlight w:val="none"/>
          <w:lang w:val="zh-CN" w:eastAsia="zh-CN"/>
        </w:rPr>
      </w:pPr>
      <w:r>
        <w:rPr>
          <w:rFonts w:hint="default" w:ascii="仿宋" w:hAnsi="仿宋" w:eastAsia="仿宋" w:cs="仿宋"/>
          <w:b/>
          <w:bCs w:val="0"/>
          <w:color w:val="auto"/>
          <w:sz w:val="21"/>
          <w:szCs w:val="21"/>
          <w:highlight w:val="none"/>
          <w:lang w:val="zh-CN" w:eastAsia="zh-CN"/>
        </w:rPr>
        <w:t>单位：t/a</w:t>
      </w:r>
    </w:p>
    <w:tbl>
      <w:tblPr>
        <w:tblStyle w:val="1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20"/>
        <w:gridCol w:w="2076"/>
        <w:gridCol w:w="1085"/>
        <w:gridCol w:w="1126"/>
        <w:gridCol w:w="1085"/>
        <w:gridCol w:w="1219"/>
        <w:gridCol w:w="684"/>
        <w:gridCol w:w="1147"/>
      </w:tblGrid>
      <w:tr w14:paraId="5826F1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0" w:type="auto"/>
            <w:gridSpan w:val="2"/>
            <w:vMerge w:val="restart"/>
            <w:shd w:val="clear" w:color="auto" w:fill="auto"/>
            <w:vAlign w:val="center"/>
          </w:tcPr>
          <w:p w14:paraId="4F6A5E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区域类别</w:t>
            </w:r>
          </w:p>
        </w:tc>
        <w:tc>
          <w:tcPr>
            <w:tcW w:w="2952" w:type="pct"/>
            <w:gridSpan w:val="6"/>
            <w:shd w:val="clear" w:color="auto" w:fill="auto"/>
            <w:vAlign w:val="center"/>
          </w:tcPr>
          <w:p w14:paraId="194372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总量控制因子</w:t>
            </w:r>
          </w:p>
        </w:tc>
      </w:tr>
      <w:tr w14:paraId="48A9A7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0" w:type="auto"/>
            <w:gridSpan w:val="2"/>
            <w:vMerge w:val="continue"/>
            <w:shd w:val="clear" w:color="auto" w:fill="auto"/>
            <w:vAlign w:val="center"/>
          </w:tcPr>
          <w:p w14:paraId="5625F0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p>
        </w:tc>
        <w:tc>
          <w:tcPr>
            <w:tcW w:w="0" w:type="auto"/>
            <w:shd w:val="clear" w:color="auto" w:fill="auto"/>
            <w:vAlign w:val="center"/>
          </w:tcPr>
          <w:p w14:paraId="493FE7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PM</w:t>
            </w:r>
            <w:r>
              <w:rPr>
                <w:rFonts w:hint="default" w:ascii="Times New Roman" w:hAnsi="Times New Roman" w:eastAsia="宋体" w:cs="Times New Roman"/>
                <w:b/>
                <w:bCs/>
                <w:color w:val="auto"/>
                <w:sz w:val="21"/>
                <w:szCs w:val="21"/>
                <w:highlight w:val="none"/>
                <w:vertAlign w:val="subscript"/>
              </w:rPr>
              <w:t>10</w:t>
            </w:r>
          </w:p>
        </w:tc>
        <w:tc>
          <w:tcPr>
            <w:tcW w:w="0" w:type="auto"/>
            <w:shd w:val="clear" w:color="auto" w:fill="auto"/>
            <w:vAlign w:val="center"/>
          </w:tcPr>
          <w:p w14:paraId="32D3C2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SO</w:t>
            </w:r>
            <w:r>
              <w:rPr>
                <w:rFonts w:hint="default" w:ascii="Times New Roman" w:hAnsi="Times New Roman" w:eastAsia="宋体" w:cs="Times New Roman"/>
                <w:b/>
                <w:bCs/>
                <w:color w:val="auto"/>
                <w:sz w:val="21"/>
                <w:szCs w:val="21"/>
                <w:highlight w:val="none"/>
                <w:vertAlign w:val="subscript"/>
              </w:rPr>
              <w:t>2</w:t>
            </w:r>
          </w:p>
        </w:tc>
        <w:tc>
          <w:tcPr>
            <w:tcW w:w="0" w:type="auto"/>
            <w:shd w:val="clear" w:color="auto" w:fill="auto"/>
            <w:vAlign w:val="center"/>
          </w:tcPr>
          <w:p w14:paraId="6D9235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NO</w:t>
            </w:r>
            <w:r>
              <w:rPr>
                <w:rFonts w:hint="default" w:ascii="Times New Roman" w:hAnsi="Times New Roman" w:eastAsia="宋体" w:cs="Times New Roman"/>
                <w:b/>
                <w:bCs/>
                <w:color w:val="auto"/>
                <w:sz w:val="21"/>
                <w:szCs w:val="21"/>
                <w:highlight w:val="none"/>
                <w:vertAlign w:val="subscript"/>
              </w:rPr>
              <w:t>x</w:t>
            </w:r>
          </w:p>
        </w:tc>
        <w:tc>
          <w:tcPr>
            <w:tcW w:w="549" w:type="pct"/>
            <w:shd w:val="clear" w:color="auto" w:fill="auto"/>
            <w:vAlign w:val="center"/>
          </w:tcPr>
          <w:p w14:paraId="6EF1C0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VOCs</w:t>
            </w:r>
          </w:p>
        </w:tc>
        <w:tc>
          <w:tcPr>
            <w:tcW w:w="319" w:type="pct"/>
            <w:vAlign w:val="center"/>
          </w:tcPr>
          <w:p w14:paraId="343C21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Hg</w:t>
            </w:r>
          </w:p>
        </w:tc>
        <w:tc>
          <w:tcPr>
            <w:tcW w:w="592" w:type="pct"/>
            <w:vAlign w:val="center"/>
          </w:tcPr>
          <w:p w14:paraId="702403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Cr</w:t>
            </w:r>
            <w:r>
              <w:rPr>
                <w:rFonts w:hint="default" w:ascii="Times New Roman" w:hAnsi="Times New Roman" w:eastAsia="宋体" w:cs="Times New Roman"/>
                <w:b/>
                <w:bCs/>
                <w:color w:val="auto"/>
                <w:sz w:val="21"/>
                <w:szCs w:val="21"/>
                <w:highlight w:val="none"/>
                <w:vertAlign w:val="superscript"/>
              </w:rPr>
              <w:t>6+</w:t>
            </w:r>
            <w:r>
              <w:rPr>
                <w:rFonts w:hint="default" w:ascii="Times New Roman" w:hAnsi="Times New Roman" w:eastAsia="宋体" w:cs="Times New Roman"/>
                <w:b/>
                <w:bCs/>
                <w:color w:val="auto"/>
                <w:sz w:val="21"/>
                <w:szCs w:val="21"/>
                <w:highlight w:val="none"/>
              </w:rPr>
              <w:t>（kg/a）</w:t>
            </w:r>
          </w:p>
        </w:tc>
      </w:tr>
      <w:tr w14:paraId="4EAE8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84" w:type="pct"/>
            <w:vMerge w:val="restart"/>
            <w:shd w:val="clear" w:color="auto" w:fill="auto"/>
            <w:vAlign w:val="center"/>
          </w:tcPr>
          <w:p w14:paraId="2B447E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前锋工业园</w:t>
            </w:r>
          </w:p>
        </w:tc>
        <w:tc>
          <w:tcPr>
            <w:tcW w:w="1363" w:type="pct"/>
            <w:shd w:val="clear" w:color="auto" w:fill="auto"/>
            <w:vAlign w:val="center"/>
          </w:tcPr>
          <w:p w14:paraId="1F4997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计算总环境容量</w:t>
            </w:r>
          </w:p>
        </w:tc>
        <w:tc>
          <w:tcPr>
            <w:tcW w:w="0" w:type="auto"/>
            <w:shd w:val="clear" w:color="auto" w:fill="auto"/>
            <w:vAlign w:val="center"/>
          </w:tcPr>
          <w:p w14:paraId="096D260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1428.55</w:t>
            </w:r>
          </w:p>
        </w:tc>
        <w:tc>
          <w:tcPr>
            <w:tcW w:w="0" w:type="auto"/>
            <w:shd w:val="clear" w:color="auto" w:fill="auto"/>
            <w:vAlign w:val="center"/>
          </w:tcPr>
          <w:p w14:paraId="025C320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3291.88</w:t>
            </w:r>
          </w:p>
        </w:tc>
        <w:tc>
          <w:tcPr>
            <w:tcW w:w="0" w:type="auto"/>
            <w:shd w:val="clear" w:color="auto" w:fill="auto"/>
            <w:vAlign w:val="center"/>
          </w:tcPr>
          <w:p w14:paraId="351BCB5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2173.88</w:t>
            </w:r>
          </w:p>
        </w:tc>
        <w:tc>
          <w:tcPr>
            <w:tcW w:w="549" w:type="pct"/>
            <w:shd w:val="clear" w:color="auto" w:fill="auto"/>
            <w:vAlign w:val="center"/>
          </w:tcPr>
          <w:p w14:paraId="440F307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11204.81</w:t>
            </w:r>
          </w:p>
        </w:tc>
        <w:tc>
          <w:tcPr>
            <w:tcW w:w="319" w:type="pct"/>
            <w:vAlign w:val="center"/>
          </w:tcPr>
          <w:p w14:paraId="1F31D59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3.10</w:t>
            </w:r>
          </w:p>
        </w:tc>
        <w:tc>
          <w:tcPr>
            <w:tcW w:w="592" w:type="pct"/>
            <w:vAlign w:val="center"/>
          </w:tcPr>
          <w:p w14:paraId="2F688D9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1.55</w:t>
            </w:r>
          </w:p>
        </w:tc>
      </w:tr>
      <w:tr w14:paraId="221C3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84" w:type="pct"/>
            <w:vMerge w:val="continue"/>
            <w:shd w:val="clear" w:color="auto" w:fill="auto"/>
            <w:vAlign w:val="center"/>
          </w:tcPr>
          <w:p w14:paraId="176EC5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1363" w:type="pct"/>
            <w:shd w:val="clear" w:color="auto" w:fill="auto"/>
            <w:vAlign w:val="center"/>
          </w:tcPr>
          <w:p w14:paraId="5665BC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2025年新增排放量</w:t>
            </w:r>
          </w:p>
        </w:tc>
        <w:tc>
          <w:tcPr>
            <w:tcW w:w="0" w:type="auto"/>
            <w:shd w:val="clear" w:color="auto" w:fill="auto"/>
            <w:vAlign w:val="center"/>
          </w:tcPr>
          <w:p w14:paraId="7BE57FC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652</w:t>
            </w:r>
          </w:p>
        </w:tc>
        <w:tc>
          <w:tcPr>
            <w:tcW w:w="0" w:type="auto"/>
            <w:shd w:val="clear" w:color="auto" w:fill="auto"/>
            <w:vAlign w:val="center"/>
          </w:tcPr>
          <w:p w14:paraId="0C607C4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179.82</w:t>
            </w:r>
          </w:p>
        </w:tc>
        <w:tc>
          <w:tcPr>
            <w:tcW w:w="0" w:type="auto"/>
            <w:shd w:val="clear" w:color="auto" w:fill="auto"/>
            <w:vAlign w:val="center"/>
          </w:tcPr>
          <w:p w14:paraId="09B5BAD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202.29</w:t>
            </w:r>
          </w:p>
        </w:tc>
        <w:tc>
          <w:tcPr>
            <w:tcW w:w="549" w:type="pct"/>
            <w:shd w:val="clear" w:color="auto" w:fill="auto"/>
            <w:vAlign w:val="center"/>
          </w:tcPr>
          <w:p w14:paraId="609DA49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12.27</w:t>
            </w:r>
          </w:p>
        </w:tc>
        <w:tc>
          <w:tcPr>
            <w:tcW w:w="319" w:type="pct"/>
            <w:vAlign w:val="center"/>
          </w:tcPr>
          <w:p w14:paraId="43D333B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c>
          <w:tcPr>
            <w:tcW w:w="592" w:type="pct"/>
            <w:vAlign w:val="center"/>
          </w:tcPr>
          <w:p w14:paraId="65B9DC8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r>
      <w:tr w14:paraId="38EE7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84" w:type="pct"/>
            <w:vMerge w:val="continue"/>
            <w:shd w:val="clear" w:color="auto" w:fill="auto"/>
            <w:vAlign w:val="center"/>
          </w:tcPr>
          <w:p w14:paraId="0A91E0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1363" w:type="pct"/>
            <w:shd w:val="clear" w:color="auto" w:fill="auto"/>
            <w:vAlign w:val="center"/>
          </w:tcPr>
          <w:p w14:paraId="24C2C5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剩余环境容量</w:t>
            </w:r>
          </w:p>
        </w:tc>
        <w:tc>
          <w:tcPr>
            <w:tcW w:w="0" w:type="auto"/>
            <w:shd w:val="clear" w:color="auto" w:fill="auto"/>
            <w:vAlign w:val="center"/>
          </w:tcPr>
          <w:p w14:paraId="6976740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776.55</w:t>
            </w:r>
          </w:p>
        </w:tc>
        <w:tc>
          <w:tcPr>
            <w:tcW w:w="0" w:type="auto"/>
            <w:shd w:val="clear" w:color="auto" w:fill="auto"/>
            <w:vAlign w:val="center"/>
          </w:tcPr>
          <w:p w14:paraId="608362C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3112.06</w:t>
            </w:r>
          </w:p>
        </w:tc>
        <w:tc>
          <w:tcPr>
            <w:tcW w:w="0" w:type="auto"/>
            <w:shd w:val="clear" w:color="auto" w:fill="auto"/>
            <w:vAlign w:val="center"/>
          </w:tcPr>
          <w:p w14:paraId="54789AE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1971.59</w:t>
            </w:r>
          </w:p>
        </w:tc>
        <w:tc>
          <w:tcPr>
            <w:tcW w:w="549" w:type="pct"/>
            <w:shd w:val="clear" w:color="auto" w:fill="auto"/>
            <w:vAlign w:val="center"/>
          </w:tcPr>
          <w:p w14:paraId="29F9741E">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11192.54</w:t>
            </w:r>
          </w:p>
        </w:tc>
        <w:tc>
          <w:tcPr>
            <w:tcW w:w="319" w:type="pct"/>
            <w:vAlign w:val="center"/>
          </w:tcPr>
          <w:p w14:paraId="1DCA7FC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3.10</w:t>
            </w:r>
          </w:p>
        </w:tc>
        <w:tc>
          <w:tcPr>
            <w:tcW w:w="592" w:type="pct"/>
            <w:vAlign w:val="center"/>
          </w:tcPr>
          <w:p w14:paraId="31B37437">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1.55</w:t>
            </w:r>
          </w:p>
        </w:tc>
      </w:tr>
      <w:tr w14:paraId="4E416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84" w:type="pct"/>
            <w:vMerge w:val="restart"/>
            <w:shd w:val="clear" w:color="auto" w:fill="auto"/>
            <w:vAlign w:val="center"/>
          </w:tcPr>
          <w:p w14:paraId="2CD47C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柏树林工业园</w:t>
            </w:r>
          </w:p>
        </w:tc>
        <w:tc>
          <w:tcPr>
            <w:tcW w:w="1363" w:type="pct"/>
            <w:shd w:val="clear" w:color="auto" w:fill="auto"/>
            <w:vAlign w:val="center"/>
          </w:tcPr>
          <w:p w14:paraId="4D2288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计算总环境容量</w:t>
            </w:r>
          </w:p>
        </w:tc>
        <w:tc>
          <w:tcPr>
            <w:tcW w:w="0" w:type="auto"/>
            <w:shd w:val="clear" w:color="auto" w:fill="auto"/>
            <w:vAlign w:val="center"/>
          </w:tcPr>
          <w:p w14:paraId="44B9224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435.24</w:t>
            </w:r>
          </w:p>
        </w:tc>
        <w:tc>
          <w:tcPr>
            <w:tcW w:w="0" w:type="auto"/>
            <w:shd w:val="clear" w:color="auto" w:fill="auto"/>
            <w:vAlign w:val="center"/>
          </w:tcPr>
          <w:p w14:paraId="42114CE8">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1002.96</w:t>
            </w:r>
          </w:p>
        </w:tc>
        <w:tc>
          <w:tcPr>
            <w:tcW w:w="0" w:type="auto"/>
            <w:shd w:val="clear" w:color="auto" w:fill="auto"/>
            <w:vAlign w:val="center"/>
          </w:tcPr>
          <w:p w14:paraId="74EEC1B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662.33</w:t>
            </w:r>
          </w:p>
        </w:tc>
        <w:tc>
          <w:tcPr>
            <w:tcW w:w="549" w:type="pct"/>
            <w:shd w:val="clear" w:color="auto" w:fill="auto"/>
            <w:vAlign w:val="center"/>
          </w:tcPr>
          <w:p w14:paraId="1B3DC84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3413.83</w:t>
            </w:r>
          </w:p>
        </w:tc>
        <w:tc>
          <w:tcPr>
            <w:tcW w:w="319" w:type="pct"/>
            <w:vAlign w:val="center"/>
          </w:tcPr>
          <w:p w14:paraId="77531B5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92" w:type="pct"/>
            <w:vAlign w:val="center"/>
          </w:tcPr>
          <w:p w14:paraId="11D487D8">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60B9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84" w:type="pct"/>
            <w:vMerge w:val="continue"/>
            <w:shd w:val="clear" w:color="auto" w:fill="auto"/>
            <w:vAlign w:val="center"/>
          </w:tcPr>
          <w:p w14:paraId="789CFB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1363" w:type="pct"/>
            <w:shd w:val="clear" w:color="auto" w:fill="auto"/>
            <w:vAlign w:val="center"/>
          </w:tcPr>
          <w:p w14:paraId="6B6813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2025年新增排放量</w:t>
            </w:r>
          </w:p>
        </w:tc>
        <w:tc>
          <w:tcPr>
            <w:tcW w:w="0" w:type="auto"/>
            <w:shd w:val="clear" w:color="auto" w:fill="auto"/>
            <w:vAlign w:val="center"/>
          </w:tcPr>
          <w:p w14:paraId="625E145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4.11</w:t>
            </w:r>
          </w:p>
        </w:tc>
        <w:tc>
          <w:tcPr>
            <w:tcW w:w="0" w:type="auto"/>
            <w:shd w:val="clear" w:color="auto" w:fill="auto"/>
            <w:vAlign w:val="center"/>
          </w:tcPr>
          <w:p w14:paraId="7FCBD51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2.43</w:t>
            </w:r>
          </w:p>
        </w:tc>
        <w:tc>
          <w:tcPr>
            <w:tcW w:w="0" w:type="auto"/>
            <w:shd w:val="clear" w:color="auto" w:fill="auto"/>
            <w:vAlign w:val="center"/>
          </w:tcPr>
          <w:p w14:paraId="79C689C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2.41</w:t>
            </w:r>
          </w:p>
        </w:tc>
        <w:tc>
          <w:tcPr>
            <w:tcW w:w="549" w:type="pct"/>
            <w:shd w:val="clear" w:color="auto" w:fill="auto"/>
            <w:vAlign w:val="center"/>
          </w:tcPr>
          <w:p w14:paraId="58A180C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319" w:type="pct"/>
            <w:vAlign w:val="center"/>
          </w:tcPr>
          <w:p w14:paraId="78718419">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92" w:type="pct"/>
            <w:vAlign w:val="center"/>
          </w:tcPr>
          <w:p w14:paraId="622D478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2232B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84" w:type="pct"/>
            <w:vMerge w:val="continue"/>
            <w:shd w:val="clear" w:color="auto" w:fill="auto"/>
            <w:vAlign w:val="center"/>
          </w:tcPr>
          <w:p w14:paraId="63DFEE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p>
        </w:tc>
        <w:tc>
          <w:tcPr>
            <w:tcW w:w="1363" w:type="pct"/>
            <w:shd w:val="clear" w:color="auto" w:fill="auto"/>
            <w:vAlign w:val="center"/>
          </w:tcPr>
          <w:p w14:paraId="151C99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剩余环境容量</w:t>
            </w:r>
          </w:p>
        </w:tc>
        <w:tc>
          <w:tcPr>
            <w:tcW w:w="0" w:type="auto"/>
            <w:shd w:val="clear" w:color="auto" w:fill="auto"/>
            <w:vAlign w:val="center"/>
          </w:tcPr>
          <w:p w14:paraId="5F972ABD">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color w:val="auto"/>
                <w:sz w:val="22"/>
                <w:szCs w:val="22"/>
                <w:highlight w:val="none"/>
              </w:rPr>
              <w:t>431.13</w:t>
            </w:r>
          </w:p>
        </w:tc>
        <w:tc>
          <w:tcPr>
            <w:tcW w:w="0" w:type="auto"/>
            <w:shd w:val="clear" w:color="auto" w:fill="auto"/>
            <w:vAlign w:val="center"/>
          </w:tcPr>
          <w:p w14:paraId="091617B6">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color w:val="auto"/>
                <w:sz w:val="22"/>
                <w:szCs w:val="22"/>
                <w:highlight w:val="none"/>
              </w:rPr>
              <w:t>1000.53</w:t>
            </w:r>
          </w:p>
        </w:tc>
        <w:tc>
          <w:tcPr>
            <w:tcW w:w="0" w:type="auto"/>
            <w:shd w:val="clear" w:color="auto" w:fill="auto"/>
            <w:vAlign w:val="center"/>
          </w:tcPr>
          <w:p w14:paraId="341A99D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color w:val="auto"/>
                <w:sz w:val="22"/>
                <w:szCs w:val="22"/>
                <w:highlight w:val="none"/>
              </w:rPr>
              <w:t>659.92</w:t>
            </w:r>
          </w:p>
        </w:tc>
        <w:tc>
          <w:tcPr>
            <w:tcW w:w="549" w:type="pct"/>
            <w:shd w:val="clear" w:color="auto" w:fill="auto"/>
            <w:vAlign w:val="center"/>
          </w:tcPr>
          <w:p w14:paraId="61E1384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color w:val="auto"/>
                <w:sz w:val="22"/>
                <w:szCs w:val="22"/>
                <w:highlight w:val="none"/>
              </w:rPr>
              <w:t>3431.13</w:t>
            </w:r>
          </w:p>
        </w:tc>
        <w:tc>
          <w:tcPr>
            <w:tcW w:w="319" w:type="pct"/>
            <w:vAlign w:val="center"/>
          </w:tcPr>
          <w:p w14:paraId="5AE9407F">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592" w:type="pct"/>
            <w:vAlign w:val="center"/>
          </w:tcPr>
          <w:p w14:paraId="3D9B7A85">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bl>
    <w:p w14:paraId="4217E418">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2、水环境容量</w:t>
      </w:r>
    </w:p>
    <w:p w14:paraId="28D26204">
      <w:pPr>
        <w:pageBreakBefore w:val="0"/>
        <w:widowControl w:val="0"/>
        <w:kinsoku/>
        <w:wordWrap/>
        <w:overflowPunct/>
        <w:topLinePunct w:val="0"/>
        <w:autoSpaceDE/>
        <w:autoSpaceDN/>
        <w:bidi w:val="0"/>
        <w:adjustRightInd/>
        <w:spacing w:line="600" w:lineRule="exact"/>
        <w:ind w:firstLine="640" w:firstLineChars="200"/>
        <w:jc w:val="left"/>
        <w:textAlignment w:val="auto"/>
        <w:rPr>
          <w:rFonts w:hint="eastAsia"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zh-CN" w:eastAsia="zh-CN" w:bidi="ar-SA"/>
        </w:rPr>
        <w:t>新晃</w:t>
      </w:r>
      <w:r>
        <w:rPr>
          <w:rFonts w:hint="eastAsia" w:ascii="Times New Roman" w:hAnsi="Times New Roman" w:eastAsia="仿宋" w:cs="Times New Roman"/>
          <w:kern w:val="2"/>
          <w:sz w:val="32"/>
          <w:szCs w:val="32"/>
          <w:highlight w:val="none"/>
          <w:lang w:val="en-US" w:eastAsia="zh-CN" w:bidi="ar-SA"/>
        </w:rPr>
        <w:t>产业开发区废水经污水处理厂处理达标排放后，前锋工业园受纳水体舞水枯水期COD、氨氮的剩余环境容量分别为1131.74</w:t>
      </w:r>
      <w:r>
        <w:rPr>
          <w:rFonts w:hint="default" w:ascii="Times New Roman" w:hAnsi="Times New Roman" w:eastAsia="仿宋" w:cs="Times New Roman"/>
          <w:kern w:val="2"/>
          <w:sz w:val="32"/>
          <w:szCs w:val="32"/>
          <w:highlight w:val="none"/>
          <w:lang w:val="en-US" w:eastAsia="zh-CN" w:bidi="ar-SA"/>
        </w:rPr>
        <w:t>t/a</w:t>
      </w:r>
      <w:r>
        <w:rPr>
          <w:rFonts w:hint="eastAsia" w:ascii="Times New Roman" w:hAnsi="Times New Roman" w:eastAsia="仿宋" w:cs="Times New Roman"/>
          <w:kern w:val="2"/>
          <w:sz w:val="32"/>
          <w:szCs w:val="32"/>
          <w:highlight w:val="none"/>
          <w:lang w:val="en-US" w:eastAsia="zh-CN" w:bidi="ar-SA"/>
        </w:rPr>
        <w:t>、145.05</w:t>
      </w:r>
      <w:r>
        <w:rPr>
          <w:rFonts w:hint="default" w:ascii="Times New Roman" w:hAnsi="Times New Roman" w:eastAsia="仿宋" w:cs="Times New Roman"/>
          <w:kern w:val="2"/>
          <w:sz w:val="32"/>
          <w:szCs w:val="32"/>
          <w:highlight w:val="none"/>
          <w:lang w:val="en-US" w:eastAsia="zh-CN" w:bidi="ar-SA"/>
        </w:rPr>
        <w:t>t/a</w:t>
      </w:r>
      <w:r>
        <w:rPr>
          <w:rFonts w:hint="eastAsia" w:ascii="Times New Roman" w:hAnsi="Times New Roman" w:eastAsia="仿宋" w:cs="Times New Roman"/>
          <w:kern w:val="2"/>
          <w:sz w:val="32"/>
          <w:szCs w:val="32"/>
          <w:highlight w:val="none"/>
          <w:lang w:val="en-US" w:eastAsia="zh-CN" w:bidi="ar-SA"/>
        </w:rPr>
        <w:t>；柏树林工业园（新晃县城污水处理厂区域）受纳水体舞水枯水期COD、氨氮的剩余环境容量分别为</w:t>
      </w:r>
      <w:r>
        <w:rPr>
          <w:rFonts w:hint="default" w:ascii="Times New Roman" w:hAnsi="Times New Roman" w:eastAsia="仿宋" w:cs="Times New Roman"/>
          <w:kern w:val="2"/>
          <w:sz w:val="32"/>
          <w:szCs w:val="32"/>
          <w:highlight w:val="none"/>
          <w:lang w:val="en-US" w:eastAsia="zh-CN" w:bidi="ar-SA"/>
        </w:rPr>
        <w:t>4</w:t>
      </w:r>
      <w:r>
        <w:rPr>
          <w:rFonts w:hint="eastAsia" w:ascii="Times New Roman" w:hAnsi="Times New Roman" w:eastAsia="仿宋" w:cs="Times New Roman"/>
          <w:kern w:val="2"/>
          <w:sz w:val="32"/>
          <w:szCs w:val="32"/>
          <w:highlight w:val="none"/>
          <w:lang w:val="en-US" w:eastAsia="zh-CN" w:bidi="ar-SA"/>
        </w:rPr>
        <w:t>88.75</w:t>
      </w:r>
      <w:r>
        <w:rPr>
          <w:rFonts w:hint="default" w:ascii="Times New Roman" w:hAnsi="Times New Roman" w:eastAsia="仿宋" w:cs="Times New Roman"/>
          <w:kern w:val="2"/>
          <w:sz w:val="32"/>
          <w:szCs w:val="32"/>
          <w:highlight w:val="none"/>
          <w:lang w:val="en-US" w:eastAsia="zh-CN" w:bidi="ar-SA"/>
        </w:rPr>
        <w:t>t/a</w:t>
      </w:r>
      <w:r>
        <w:rPr>
          <w:rFonts w:hint="eastAsia" w:ascii="Times New Roman" w:hAnsi="Times New Roman" w:eastAsia="仿宋" w:cs="Times New Roman"/>
          <w:kern w:val="2"/>
          <w:sz w:val="32"/>
          <w:szCs w:val="32"/>
          <w:highlight w:val="none"/>
          <w:lang w:val="en-US" w:eastAsia="zh-CN" w:bidi="ar-SA"/>
        </w:rPr>
        <w:t>、</w:t>
      </w:r>
      <w:r>
        <w:rPr>
          <w:rFonts w:hint="default" w:ascii="Times New Roman" w:hAnsi="Times New Roman" w:eastAsia="仿宋" w:cs="Times New Roman"/>
          <w:kern w:val="2"/>
          <w:sz w:val="32"/>
          <w:szCs w:val="32"/>
          <w:highlight w:val="none"/>
          <w:lang w:val="en-US" w:eastAsia="zh-CN" w:bidi="ar-SA"/>
        </w:rPr>
        <w:t>14</w:t>
      </w:r>
      <w:r>
        <w:rPr>
          <w:rFonts w:hint="eastAsia" w:ascii="Times New Roman" w:hAnsi="Times New Roman" w:eastAsia="仿宋" w:cs="Times New Roman"/>
          <w:kern w:val="2"/>
          <w:sz w:val="32"/>
          <w:szCs w:val="32"/>
          <w:highlight w:val="none"/>
          <w:lang w:val="en-US" w:eastAsia="zh-CN" w:bidi="ar-SA"/>
        </w:rPr>
        <w:t>7.67</w:t>
      </w:r>
      <w:r>
        <w:rPr>
          <w:rFonts w:hint="default" w:ascii="Times New Roman" w:hAnsi="Times New Roman" w:eastAsia="仿宋" w:cs="Times New Roman"/>
          <w:kern w:val="2"/>
          <w:sz w:val="32"/>
          <w:szCs w:val="32"/>
          <w:highlight w:val="none"/>
          <w:lang w:val="en-US" w:eastAsia="zh-CN" w:bidi="ar-SA"/>
        </w:rPr>
        <w:t>t/a</w:t>
      </w:r>
      <w:r>
        <w:rPr>
          <w:rFonts w:hint="eastAsia" w:ascii="Times New Roman" w:hAnsi="Times New Roman" w:eastAsia="仿宋" w:cs="Times New Roman"/>
          <w:kern w:val="2"/>
          <w:sz w:val="32"/>
          <w:szCs w:val="32"/>
          <w:highlight w:val="none"/>
          <w:lang w:val="en-US" w:eastAsia="zh-CN" w:bidi="ar-SA"/>
        </w:rPr>
        <w:t>；因此</w:t>
      </w:r>
      <w:r>
        <w:rPr>
          <w:rFonts w:hint="eastAsia" w:ascii="Times New Roman" w:hAnsi="Times New Roman" w:eastAsia="仿宋" w:cs="Times New Roman"/>
          <w:kern w:val="2"/>
          <w:sz w:val="32"/>
          <w:szCs w:val="32"/>
          <w:highlight w:val="none"/>
          <w:lang w:val="zh-CN" w:eastAsia="zh-CN" w:bidi="ar-SA"/>
        </w:rPr>
        <w:t>新晃</w:t>
      </w:r>
      <w:r>
        <w:rPr>
          <w:rFonts w:hint="eastAsia" w:ascii="Times New Roman" w:hAnsi="Times New Roman" w:eastAsia="仿宋" w:cs="Times New Roman"/>
          <w:kern w:val="2"/>
          <w:sz w:val="32"/>
          <w:szCs w:val="32"/>
          <w:highlight w:val="none"/>
          <w:lang w:val="en-US" w:eastAsia="zh-CN" w:bidi="ar-SA"/>
        </w:rPr>
        <w:t>产业开发</w:t>
      </w:r>
      <w:r>
        <w:rPr>
          <w:rFonts w:hint="eastAsia" w:ascii="Times New Roman" w:hAnsi="Times New Roman" w:eastAsia="仿宋" w:cs="Times New Roman"/>
          <w:kern w:val="2"/>
          <w:sz w:val="32"/>
          <w:szCs w:val="32"/>
          <w:highlight w:val="none"/>
          <w:lang w:val="zh-CN" w:eastAsia="zh-CN" w:bidi="ar-SA"/>
        </w:rPr>
        <w:t>区</w:t>
      </w:r>
      <w:r>
        <w:rPr>
          <w:rFonts w:hint="eastAsia" w:ascii="Times New Roman" w:hAnsi="Times New Roman" w:eastAsia="仿宋" w:cs="Times New Roman"/>
          <w:kern w:val="2"/>
          <w:sz w:val="32"/>
          <w:szCs w:val="32"/>
          <w:highlight w:val="none"/>
          <w:lang w:val="en-US" w:eastAsia="zh-CN" w:bidi="ar-SA"/>
        </w:rPr>
        <w:t>水环境容量满足区域排污的承载力需求。</w:t>
      </w:r>
    </w:p>
    <w:p w14:paraId="0B9216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表4 水环境容量表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460"/>
        <w:gridCol w:w="857"/>
        <w:gridCol w:w="1808"/>
        <w:gridCol w:w="1933"/>
        <w:gridCol w:w="1184"/>
      </w:tblGrid>
      <w:tr w14:paraId="7A23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69" w:hRule="atLeast"/>
          <w:tblHeader/>
          <w:jc w:val="center"/>
        </w:trPr>
        <w:tc>
          <w:tcPr>
            <w:tcW w:w="0" w:type="auto"/>
            <w:tcBorders>
              <w:tl2br w:val="nil"/>
              <w:tr2bl w:val="nil"/>
            </w:tcBorders>
            <w:vAlign w:val="center"/>
          </w:tcPr>
          <w:p w14:paraId="69BED640">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水域</w:t>
            </w:r>
          </w:p>
        </w:tc>
        <w:tc>
          <w:tcPr>
            <w:tcW w:w="0" w:type="auto"/>
            <w:tcBorders>
              <w:tl2br w:val="nil"/>
              <w:tr2bl w:val="nil"/>
            </w:tcBorders>
            <w:vAlign w:val="center"/>
          </w:tcPr>
          <w:p w14:paraId="0848B9C4">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项目</w:t>
            </w:r>
          </w:p>
        </w:tc>
        <w:tc>
          <w:tcPr>
            <w:tcW w:w="0" w:type="auto"/>
            <w:tcBorders>
              <w:tl2br w:val="nil"/>
              <w:tr2bl w:val="nil"/>
            </w:tcBorders>
            <w:vAlign w:val="center"/>
          </w:tcPr>
          <w:p w14:paraId="20C58640">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枯水期环境容量（t/a）</w:t>
            </w:r>
          </w:p>
        </w:tc>
        <w:tc>
          <w:tcPr>
            <w:tcW w:w="1933" w:type="dxa"/>
            <w:tcBorders>
              <w:tl2br w:val="nil"/>
              <w:tr2bl w:val="nil"/>
            </w:tcBorders>
            <w:vAlign w:val="center"/>
          </w:tcPr>
          <w:p w14:paraId="4EE741CC">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2025年园区污染物入河量（t/a）</w:t>
            </w:r>
          </w:p>
        </w:tc>
        <w:tc>
          <w:tcPr>
            <w:tcW w:w="1184" w:type="dxa"/>
            <w:tcBorders>
              <w:tl2br w:val="nil"/>
              <w:tr2bl w:val="nil"/>
            </w:tcBorders>
            <w:vAlign w:val="center"/>
          </w:tcPr>
          <w:p w14:paraId="351ECD6C">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剩余环境容量</w:t>
            </w:r>
          </w:p>
          <w:p w14:paraId="7A27CACD">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（t/a）</w:t>
            </w:r>
          </w:p>
        </w:tc>
      </w:tr>
      <w:tr w14:paraId="52FCFF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69" w:hRule="atLeast"/>
          <w:jc w:val="center"/>
        </w:trPr>
        <w:tc>
          <w:tcPr>
            <w:tcW w:w="0" w:type="auto"/>
            <w:vMerge w:val="restart"/>
            <w:tcBorders>
              <w:tl2br w:val="nil"/>
              <w:tr2bl w:val="nil"/>
            </w:tcBorders>
            <w:vAlign w:val="center"/>
          </w:tcPr>
          <w:p w14:paraId="6A880190">
            <w:pPr>
              <w:widowControl/>
              <w:adjustRightInd w:val="0"/>
              <w:snapToGrid w:val="0"/>
              <w:spacing w:line="240" w:lineRule="auto"/>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前锋工业园污水排放口上游500m至下游3.5km</w:t>
            </w:r>
          </w:p>
        </w:tc>
        <w:tc>
          <w:tcPr>
            <w:tcW w:w="0" w:type="auto"/>
            <w:tcBorders>
              <w:tl2br w:val="nil"/>
              <w:tr2bl w:val="nil"/>
            </w:tcBorders>
            <w:vAlign w:val="center"/>
          </w:tcPr>
          <w:p w14:paraId="4EA21B29">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COD</w:t>
            </w:r>
          </w:p>
        </w:tc>
        <w:tc>
          <w:tcPr>
            <w:tcW w:w="0" w:type="auto"/>
            <w:tcBorders>
              <w:tl2br w:val="nil"/>
              <w:tr2bl w:val="nil"/>
            </w:tcBorders>
            <w:vAlign w:val="center"/>
          </w:tcPr>
          <w:p w14:paraId="19C938B2">
            <w:pPr>
              <w:widowControl/>
              <w:adjustRightInd w:val="0"/>
              <w:snapToGrid w:val="0"/>
              <w:spacing w:line="240" w:lineRule="auto"/>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1235.2</w:t>
            </w:r>
          </w:p>
        </w:tc>
        <w:tc>
          <w:tcPr>
            <w:tcW w:w="1933" w:type="dxa"/>
            <w:tcBorders>
              <w:tl2br w:val="nil"/>
              <w:tr2bl w:val="nil"/>
            </w:tcBorders>
            <w:vAlign w:val="center"/>
          </w:tcPr>
          <w:p w14:paraId="0B8A8033">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103.46</w:t>
            </w:r>
          </w:p>
        </w:tc>
        <w:tc>
          <w:tcPr>
            <w:tcW w:w="1184" w:type="dxa"/>
            <w:tcBorders>
              <w:tl2br w:val="nil"/>
              <w:tr2bl w:val="nil"/>
            </w:tcBorders>
            <w:vAlign w:val="center"/>
          </w:tcPr>
          <w:p w14:paraId="45C8A082">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1131.74</w:t>
            </w:r>
          </w:p>
        </w:tc>
      </w:tr>
      <w:tr w14:paraId="62ADB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69" w:hRule="atLeast"/>
          <w:jc w:val="center"/>
        </w:trPr>
        <w:tc>
          <w:tcPr>
            <w:tcW w:w="0" w:type="auto"/>
            <w:vMerge w:val="continue"/>
            <w:tcBorders>
              <w:tl2br w:val="nil"/>
              <w:tr2bl w:val="nil"/>
            </w:tcBorders>
            <w:vAlign w:val="center"/>
          </w:tcPr>
          <w:p w14:paraId="5A86A08B">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p>
        </w:tc>
        <w:tc>
          <w:tcPr>
            <w:tcW w:w="0" w:type="auto"/>
            <w:tcBorders>
              <w:tl2br w:val="nil"/>
              <w:tr2bl w:val="nil"/>
            </w:tcBorders>
            <w:vAlign w:val="center"/>
          </w:tcPr>
          <w:p w14:paraId="7305DACE">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NH</w:t>
            </w:r>
            <w:r>
              <w:rPr>
                <w:rFonts w:hint="default" w:ascii="Times New Roman" w:hAnsi="Times New Roman" w:eastAsia="宋体" w:cs="Times New Roman"/>
                <w:color w:val="auto"/>
                <w:kern w:val="2"/>
                <w:sz w:val="21"/>
                <w:szCs w:val="21"/>
                <w:highlight w:val="none"/>
                <w:vertAlign w:val="subscript"/>
              </w:rPr>
              <w:t>3</w:t>
            </w:r>
            <w:r>
              <w:rPr>
                <w:rFonts w:hint="default" w:ascii="Times New Roman" w:hAnsi="Times New Roman" w:eastAsia="宋体" w:cs="Times New Roman"/>
                <w:color w:val="auto"/>
                <w:kern w:val="2"/>
                <w:sz w:val="21"/>
                <w:szCs w:val="21"/>
                <w:highlight w:val="none"/>
              </w:rPr>
              <w:t>-N</w:t>
            </w:r>
          </w:p>
        </w:tc>
        <w:tc>
          <w:tcPr>
            <w:tcW w:w="0" w:type="auto"/>
            <w:tcBorders>
              <w:tl2br w:val="nil"/>
              <w:tr2bl w:val="nil"/>
            </w:tcBorders>
            <w:vAlign w:val="center"/>
          </w:tcPr>
          <w:p w14:paraId="28BE65B4">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161.6</w:t>
            </w:r>
          </w:p>
        </w:tc>
        <w:tc>
          <w:tcPr>
            <w:tcW w:w="1933" w:type="dxa"/>
            <w:tcBorders>
              <w:tl2br w:val="nil"/>
              <w:tr2bl w:val="nil"/>
            </w:tcBorders>
            <w:vAlign w:val="center"/>
          </w:tcPr>
          <w:p w14:paraId="37BBA2A8">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16.55</w:t>
            </w:r>
          </w:p>
        </w:tc>
        <w:tc>
          <w:tcPr>
            <w:tcW w:w="1184" w:type="dxa"/>
            <w:tcBorders>
              <w:tl2br w:val="nil"/>
              <w:tr2bl w:val="nil"/>
            </w:tcBorders>
            <w:vAlign w:val="center"/>
          </w:tcPr>
          <w:p w14:paraId="2EEC3298">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145.05</w:t>
            </w:r>
          </w:p>
        </w:tc>
      </w:tr>
      <w:tr w14:paraId="7653B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69" w:hRule="atLeast"/>
          <w:jc w:val="center"/>
        </w:trPr>
        <w:tc>
          <w:tcPr>
            <w:tcW w:w="0" w:type="auto"/>
            <w:vMerge w:val="restart"/>
            <w:tcBorders>
              <w:tl2br w:val="nil"/>
              <w:tr2bl w:val="nil"/>
            </w:tcBorders>
            <w:vAlign w:val="center"/>
          </w:tcPr>
          <w:p w14:paraId="2D6D268D">
            <w:pPr>
              <w:widowControl/>
              <w:adjustRightInd w:val="0"/>
              <w:snapToGrid w:val="0"/>
              <w:spacing w:line="240" w:lineRule="auto"/>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新晃县城污水处理厂排放口上游500m至下游3.5km</w:t>
            </w:r>
          </w:p>
        </w:tc>
        <w:tc>
          <w:tcPr>
            <w:tcW w:w="0" w:type="auto"/>
            <w:tcBorders>
              <w:tl2br w:val="nil"/>
              <w:tr2bl w:val="nil"/>
            </w:tcBorders>
            <w:vAlign w:val="center"/>
          </w:tcPr>
          <w:p w14:paraId="4CE7A589">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COD</w:t>
            </w:r>
          </w:p>
        </w:tc>
        <w:tc>
          <w:tcPr>
            <w:tcW w:w="0" w:type="auto"/>
            <w:tcBorders>
              <w:tl2br w:val="nil"/>
              <w:tr2bl w:val="nil"/>
            </w:tcBorders>
            <w:vAlign w:val="center"/>
          </w:tcPr>
          <w:p w14:paraId="027036AD">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500.8</w:t>
            </w:r>
          </w:p>
        </w:tc>
        <w:tc>
          <w:tcPr>
            <w:tcW w:w="1933" w:type="dxa"/>
            <w:tcBorders>
              <w:tl2br w:val="nil"/>
              <w:tr2bl w:val="nil"/>
            </w:tcBorders>
            <w:vAlign w:val="center"/>
          </w:tcPr>
          <w:p w14:paraId="38B98DB0">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12.05</w:t>
            </w:r>
          </w:p>
        </w:tc>
        <w:tc>
          <w:tcPr>
            <w:tcW w:w="1184" w:type="dxa"/>
            <w:tcBorders>
              <w:tl2br w:val="nil"/>
              <w:tr2bl w:val="nil"/>
            </w:tcBorders>
            <w:vAlign w:val="center"/>
          </w:tcPr>
          <w:p w14:paraId="2D491B21">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488.75</w:t>
            </w:r>
          </w:p>
        </w:tc>
      </w:tr>
      <w:tr w14:paraId="71700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69" w:hRule="atLeast"/>
          <w:jc w:val="center"/>
        </w:trPr>
        <w:tc>
          <w:tcPr>
            <w:tcW w:w="0" w:type="auto"/>
            <w:vMerge w:val="continue"/>
            <w:tcBorders>
              <w:tl2br w:val="nil"/>
              <w:tr2bl w:val="nil"/>
            </w:tcBorders>
            <w:vAlign w:val="center"/>
          </w:tcPr>
          <w:p w14:paraId="2342A73A">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p>
        </w:tc>
        <w:tc>
          <w:tcPr>
            <w:tcW w:w="0" w:type="auto"/>
            <w:tcBorders>
              <w:tl2br w:val="nil"/>
              <w:tr2bl w:val="nil"/>
            </w:tcBorders>
            <w:vAlign w:val="center"/>
          </w:tcPr>
          <w:p w14:paraId="548C3218">
            <w:pPr>
              <w:adjustRightInd w:val="0"/>
              <w:snapToGrid w:val="0"/>
              <w:spacing w:line="240" w:lineRule="auto"/>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NH</w:t>
            </w:r>
            <w:r>
              <w:rPr>
                <w:rFonts w:hint="default" w:ascii="Times New Roman" w:hAnsi="Times New Roman" w:eastAsia="宋体" w:cs="Times New Roman"/>
                <w:color w:val="auto"/>
                <w:kern w:val="2"/>
                <w:sz w:val="21"/>
                <w:szCs w:val="21"/>
                <w:highlight w:val="none"/>
                <w:vertAlign w:val="subscript"/>
              </w:rPr>
              <w:t>3</w:t>
            </w:r>
            <w:r>
              <w:rPr>
                <w:rFonts w:hint="default" w:ascii="Times New Roman" w:hAnsi="Times New Roman" w:eastAsia="宋体" w:cs="Times New Roman"/>
                <w:color w:val="auto"/>
                <w:kern w:val="2"/>
                <w:sz w:val="21"/>
                <w:szCs w:val="21"/>
                <w:highlight w:val="none"/>
              </w:rPr>
              <w:t>-N</w:t>
            </w:r>
          </w:p>
        </w:tc>
        <w:tc>
          <w:tcPr>
            <w:tcW w:w="0" w:type="auto"/>
            <w:tcBorders>
              <w:tl2br w:val="nil"/>
              <w:tr2bl w:val="nil"/>
            </w:tcBorders>
            <w:vAlign w:val="center"/>
          </w:tcPr>
          <w:p w14:paraId="475B6EEB">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149.6</w:t>
            </w:r>
          </w:p>
        </w:tc>
        <w:tc>
          <w:tcPr>
            <w:tcW w:w="1933" w:type="dxa"/>
            <w:tcBorders>
              <w:tl2br w:val="nil"/>
              <w:tr2bl w:val="nil"/>
            </w:tcBorders>
            <w:vAlign w:val="center"/>
          </w:tcPr>
          <w:p w14:paraId="7CB199BF">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1.93</w:t>
            </w:r>
          </w:p>
        </w:tc>
        <w:tc>
          <w:tcPr>
            <w:tcW w:w="1184" w:type="dxa"/>
            <w:tcBorders>
              <w:tl2br w:val="nil"/>
              <w:tr2bl w:val="nil"/>
            </w:tcBorders>
            <w:vAlign w:val="center"/>
          </w:tcPr>
          <w:p w14:paraId="706595E5">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147.67</w:t>
            </w:r>
          </w:p>
        </w:tc>
      </w:tr>
    </w:tbl>
    <w:p w14:paraId="3A32647F">
      <w:pPr>
        <w:pStyle w:val="6"/>
        <w:rPr>
          <w:rFonts w:hint="default"/>
          <w:lang w:val="en-US" w:eastAsia="zh-CN"/>
        </w:rPr>
      </w:pPr>
    </w:p>
    <w:p w14:paraId="3B18BD3C">
      <w:pPr>
        <w:pStyle w:val="2"/>
        <w:pageBreakBefore w:val="0"/>
        <w:widowControl w:val="0"/>
        <w:kinsoku/>
        <w:wordWrap/>
        <w:overflowPunct/>
        <w:topLinePunct w:val="0"/>
        <w:autoSpaceDE/>
        <w:autoSpaceDN/>
        <w:bidi w:val="0"/>
        <w:adjustRightInd/>
        <w:spacing w:line="600" w:lineRule="exact"/>
        <w:textAlignment w:val="auto"/>
        <w:rPr>
          <w:rFonts w:hint="default" w:ascii="Times New Roman" w:hAnsi="Times New Roman" w:cs="Times New Roman"/>
          <w:b/>
          <w:sz w:val="36"/>
          <w:szCs w:val="20"/>
        </w:rPr>
      </w:pPr>
      <w:bookmarkStart w:id="7" w:name="_Toc6571"/>
      <w:r>
        <w:rPr>
          <w:rFonts w:hint="default" w:ascii="Times New Roman" w:hAnsi="Times New Roman" w:cs="Times New Roman"/>
          <w:b/>
          <w:sz w:val="36"/>
          <w:szCs w:val="20"/>
        </w:rPr>
        <w:t>二、环境管理情况</w:t>
      </w:r>
      <w:bookmarkEnd w:id="7"/>
    </w:p>
    <w:p w14:paraId="1F017217">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highlight w:val="none"/>
          <w:lang w:val="en-US" w:eastAsia="zh-CN"/>
        </w:rPr>
      </w:pPr>
      <w:bookmarkStart w:id="8" w:name="_Toc11735"/>
      <w:r>
        <w:rPr>
          <w:rFonts w:hint="default" w:ascii="Times New Roman" w:hAnsi="Times New Roman" w:cs="Times New Roman"/>
          <w:b/>
          <w:highlight w:val="none"/>
          <w:lang w:val="en-US" w:eastAsia="zh-CN"/>
        </w:rPr>
        <w:t>2.1规划环评批复要求落实情况</w:t>
      </w:r>
      <w:bookmarkEnd w:id="8"/>
    </w:p>
    <w:p w14:paraId="0C5766FE">
      <w:pPr>
        <w:pStyle w:val="16"/>
        <w:pageBreakBefore w:val="0"/>
        <w:widowControl w:val="0"/>
        <w:kinsoku/>
        <w:wordWrap/>
        <w:overflowPunct/>
        <w:topLinePunct w:val="0"/>
        <w:autoSpaceDE/>
        <w:autoSpaceDN/>
        <w:bidi w:val="0"/>
        <w:adjustRightInd/>
        <w:snapToGrid w:val="0"/>
        <w:spacing w:after="0" w:line="600" w:lineRule="exact"/>
        <w:ind w:left="0" w:leftChars="0" w:firstLine="643"/>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lang w:val="en-US" w:eastAsia="zh-CN" w:bidi="ar-SA"/>
        </w:rPr>
        <w:t>园区最新规划环评批复为湖南省生态环境厅于2021年10月21日发布的关于《湖南新晃工业集中区调扩区规划环境影响报告书》审查意见的函</w:t>
      </w:r>
      <w:r>
        <w:rPr>
          <w:rFonts w:hint="default" w:ascii="Times New Roman" w:hAnsi="Times New Roman" w:eastAsia="仿宋" w:cs="Times New Roman"/>
          <w:kern w:val="2"/>
          <w:sz w:val="32"/>
          <w:szCs w:val="32"/>
          <w:lang w:val="en-US" w:eastAsia="zh-CN" w:bidi="ar-SA"/>
        </w:rPr>
        <w:t>（湘环评函〔</w:t>
      </w:r>
      <w:r>
        <w:rPr>
          <w:rFonts w:hint="eastAsia" w:ascii="Times New Roman" w:hAnsi="Times New Roman" w:eastAsia="仿宋" w:cs="Times New Roman"/>
          <w:kern w:val="2"/>
          <w:sz w:val="32"/>
          <w:szCs w:val="32"/>
          <w:lang w:val="en-US" w:eastAsia="zh-CN" w:bidi="ar-SA"/>
        </w:rPr>
        <w:t>2021</w:t>
      </w:r>
      <w:r>
        <w:rPr>
          <w:rFonts w:hint="default"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32</w:t>
      </w:r>
      <w:r>
        <w:rPr>
          <w:rFonts w:hint="default" w:ascii="Times New Roman" w:hAnsi="Times New Roman" w:eastAsia="仿宋" w:cs="Times New Roman"/>
          <w:kern w:val="2"/>
          <w:sz w:val="32"/>
          <w:szCs w:val="32"/>
          <w:lang w:val="en-US" w:eastAsia="zh-CN" w:bidi="ar-SA"/>
        </w:rPr>
        <w:t>号）</w:t>
      </w:r>
      <w:r>
        <w:rPr>
          <w:rFonts w:hint="eastAsia" w:ascii="Times New Roman" w:hAnsi="Times New Roman" w:eastAsia="仿宋" w:cs="Times New Roman"/>
          <w:kern w:val="2"/>
          <w:sz w:val="32"/>
          <w:szCs w:val="32"/>
          <w:highlight w:val="none"/>
          <w:lang w:val="en-US" w:eastAsia="zh-CN" w:bidi="ar-SA"/>
        </w:rPr>
        <w:t>，</w:t>
      </w:r>
      <w:r>
        <w:rPr>
          <w:rFonts w:hint="default" w:ascii="Times New Roman" w:hAnsi="Times New Roman" w:eastAsia="仿宋" w:cs="Times New Roman"/>
          <w:kern w:val="2"/>
          <w:sz w:val="32"/>
          <w:szCs w:val="32"/>
          <w:highlight w:val="none"/>
          <w:lang w:val="en-US" w:eastAsia="zh-CN" w:bidi="ar-SA"/>
        </w:rPr>
        <w:t>具体批复要点及其执行情况见表</w:t>
      </w:r>
      <w:r>
        <w:rPr>
          <w:rFonts w:hint="eastAsia" w:ascii="Times New Roman" w:hAnsi="Times New Roman" w:eastAsia="仿宋" w:cs="Times New Roman"/>
          <w:kern w:val="2"/>
          <w:sz w:val="32"/>
          <w:szCs w:val="32"/>
          <w:highlight w:val="none"/>
          <w:lang w:val="en-US" w:eastAsia="zh-CN" w:bidi="ar-SA"/>
        </w:rPr>
        <w:t>5</w:t>
      </w:r>
      <w:r>
        <w:rPr>
          <w:rFonts w:hint="default" w:ascii="Times New Roman" w:hAnsi="Times New Roman" w:eastAsia="仿宋" w:cs="Times New Roman"/>
          <w:kern w:val="2"/>
          <w:sz w:val="32"/>
          <w:szCs w:val="32"/>
          <w:highlight w:val="none"/>
          <w:lang w:val="en-US" w:eastAsia="zh-CN" w:bidi="ar-SA"/>
        </w:rPr>
        <w:t>。</w:t>
      </w:r>
    </w:p>
    <w:p w14:paraId="44355B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4"/>
          <w:szCs w:val="24"/>
          <w:highlight w:val="none"/>
          <w:lang w:val="zh-CN" w:eastAsia="zh-CN"/>
        </w:rPr>
      </w:pPr>
      <w:r>
        <w:rPr>
          <w:rFonts w:hint="default" w:ascii="仿宋" w:hAnsi="仿宋" w:eastAsia="仿宋" w:cs="仿宋"/>
          <w:b/>
          <w:bCs w:val="0"/>
          <w:color w:val="auto"/>
          <w:sz w:val="24"/>
          <w:szCs w:val="24"/>
          <w:highlight w:val="none"/>
          <w:lang w:val="zh-CN" w:eastAsia="zh-CN"/>
        </w:rPr>
        <w:t>表</w:t>
      </w:r>
      <w:r>
        <w:rPr>
          <w:rFonts w:hint="eastAsia" w:ascii="仿宋" w:hAnsi="仿宋" w:eastAsia="仿宋" w:cs="仿宋"/>
          <w:b/>
          <w:bCs w:val="0"/>
          <w:color w:val="auto"/>
          <w:sz w:val="24"/>
          <w:szCs w:val="24"/>
          <w:highlight w:val="none"/>
          <w:lang w:val="en-US" w:eastAsia="zh-CN"/>
        </w:rPr>
        <w:t xml:space="preserve">5 </w:t>
      </w:r>
      <w:r>
        <w:rPr>
          <w:rFonts w:hint="default" w:ascii="仿宋" w:hAnsi="仿宋" w:eastAsia="仿宋" w:cs="仿宋"/>
          <w:b/>
          <w:bCs w:val="0"/>
          <w:color w:val="auto"/>
          <w:sz w:val="24"/>
          <w:szCs w:val="24"/>
          <w:highlight w:val="none"/>
          <w:lang w:val="zh-CN" w:eastAsia="zh-CN"/>
        </w:rPr>
        <w:t>新晃工业集中区环评批复前后落实情况一览表</w:t>
      </w:r>
    </w:p>
    <w:tbl>
      <w:tblPr>
        <w:tblStyle w:val="17"/>
        <w:tblW w:w="535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61"/>
        <w:gridCol w:w="4469"/>
        <w:gridCol w:w="3856"/>
        <w:gridCol w:w="1107"/>
      </w:tblGrid>
      <w:tr w14:paraId="31531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33" w:type="pct"/>
            <w:tcBorders>
              <w:tl2br w:val="nil"/>
              <w:tr2bl w:val="nil"/>
            </w:tcBorders>
            <w:vAlign w:val="center"/>
          </w:tcPr>
          <w:p w14:paraId="25EB85A7">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序号</w:t>
            </w:r>
          </w:p>
        </w:tc>
        <w:tc>
          <w:tcPr>
            <w:tcW w:w="2258" w:type="pct"/>
            <w:tcBorders>
              <w:tl2br w:val="nil"/>
              <w:tr2bl w:val="nil"/>
            </w:tcBorders>
            <w:vAlign w:val="center"/>
          </w:tcPr>
          <w:p w14:paraId="3DF96F9A">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环评批复</w:t>
            </w:r>
          </w:p>
        </w:tc>
        <w:tc>
          <w:tcPr>
            <w:tcW w:w="1948" w:type="pct"/>
            <w:tcBorders>
              <w:tl2br w:val="nil"/>
              <w:tr2bl w:val="nil"/>
            </w:tcBorders>
            <w:vAlign w:val="center"/>
          </w:tcPr>
          <w:p w14:paraId="641C8754">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园区目前情况</w:t>
            </w:r>
          </w:p>
        </w:tc>
        <w:tc>
          <w:tcPr>
            <w:tcW w:w="559" w:type="pct"/>
            <w:tcBorders>
              <w:tl2br w:val="nil"/>
              <w:tr2bl w:val="nil"/>
            </w:tcBorders>
            <w:vAlign w:val="center"/>
          </w:tcPr>
          <w:p w14:paraId="693D3297">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符合性分析</w:t>
            </w:r>
          </w:p>
        </w:tc>
      </w:tr>
      <w:tr w14:paraId="20DACF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tcBorders>
              <w:tl2br w:val="nil"/>
              <w:tr2bl w:val="nil"/>
            </w:tcBorders>
            <w:vAlign w:val="center"/>
          </w:tcPr>
          <w:p w14:paraId="13B280F6">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w:t>
            </w:r>
          </w:p>
        </w:tc>
        <w:tc>
          <w:tcPr>
            <w:tcW w:w="2258" w:type="pct"/>
            <w:tcBorders>
              <w:tl2br w:val="nil"/>
              <w:tr2bl w:val="nil"/>
            </w:tcBorders>
            <w:vAlign w:val="center"/>
          </w:tcPr>
          <w:p w14:paraId="75E7947C">
            <w:pPr>
              <w:adjustRightInd w:val="0"/>
              <w:snapToGrid w:val="0"/>
              <w:spacing w:line="240" w:lineRule="auto"/>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严格依规开发，优化空间功能布局。园区在下一步开发建设过程中应执行《长江保护法》的要求，按照最新的国土空间规划科学开展空间发展布局，将空间管制融入园区规划实施全过程，规划用地不得涉及各类法定保护地，严格按照经核准的规划范围开展园区建设，严禁随意扩大现有园区范围。从环境相容性的角度优化空间布局，将园区生产活动对周边集镇和生态敏感区的影响降至最低。柏树林工业园靠近黄家垅省级森林公园区域布设污染程度较轻的一类工业；前锋工业园应优化布局，园区化工片区的设置应遵守《长江保护法》、《长江经济带发展负面清单》及其相关条款的修订和释义要求，后续法律法规及相关政策有新的禁止和限制性要求的，应严格予以执行。前锋工业园以气型污染为主的企业布局应远离鱼市镇镇区，地方政府及相关部门应严格控制镇区向西边园区方向扩张，加强镇区与园区之间地带的绿化建设。</w:t>
            </w:r>
          </w:p>
        </w:tc>
        <w:tc>
          <w:tcPr>
            <w:tcW w:w="1948" w:type="pct"/>
            <w:tcBorders>
              <w:tl2br w:val="nil"/>
              <w:tr2bl w:val="nil"/>
            </w:tcBorders>
            <w:vAlign w:val="center"/>
          </w:tcPr>
          <w:p w14:paraId="682793D0">
            <w:pPr>
              <w:adjustRightInd w:val="0"/>
              <w:snapToGrid w:val="0"/>
              <w:spacing w:line="240" w:lineRule="auto"/>
              <w:jc w:val="both"/>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园区规划用地不涉及各类法定保护地，柏树林工业园均为一类工业用地，布设企业均为污染程度较轻的一类工业企业。前锋工业园化工片区的设置满足</w:t>
            </w:r>
            <w:r>
              <w:rPr>
                <w:rFonts w:hint="default" w:ascii="Times New Roman" w:hAnsi="Times New Roman" w:eastAsia="仿宋" w:cs="Times New Roman"/>
                <w:sz w:val="24"/>
                <w:szCs w:val="24"/>
                <w:highlight w:val="none"/>
              </w:rPr>
              <w:t>《长江经济带发展负面清单》</w:t>
            </w:r>
            <w:r>
              <w:rPr>
                <w:rFonts w:hint="eastAsia" w:ascii="Times New Roman" w:hAnsi="Times New Roman" w:eastAsia="仿宋" w:cs="Times New Roman"/>
                <w:sz w:val="24"/>
                <w:szCs w:val="24"/>
                <w:highlight w:val="none"/>
                <w:lang w:val="en-US" w:eastAsia="zh-CN"/>
              </w:rPr>
              <w:t>相关要求。前锋工业园以气型污染为主的企业均布设于园区西侧，远离鱼市镇镇区范围。</w:t>
            </w:r>
          </w:p>
        </w:tc>
        <w:tc>
          <w:tcPr>
            <w:tcW w:w="559" w:type="pct"/>
            <w:tcBorders>
              <w:tl2br w:val="nil"/>
              <w:tr2bl w:val="nil"/>
            </w:tcBorders>
            <w:vAlign w:val="center"/>
          </w:tcPr>
          <w:p w14:paraId="06912ED1">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w:t>
            </w:r>
          </w:p>
        </w:tc>
      </w:tr>
      <w:tr w14:paraId="580EF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tcBorders>
              <w:tl2br w:val="nil"/>
              <w:tr2bl w:val="nil"/>
            </w:tcBorders>
            <w:vAlign w:val="center"/>
          </w:tcPr>
          <w:p w14:paraId="53A95CCD">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w:t>
            </w:r>
          </w:p>
        </w:tc>
        <w:tc>
          <w:tcPr>
            <w:tcW w:w="2258" w:type="pct"/>
            <w:tcBorders>
              <w:tl2br w:val="nil"/>
              <w:tr2bl w:val="nil"/>
            </w:tcBorders>
            <w:vAlign w:val="center"/>
          </w:tcPr>
          <w:p w14:paraId="0ECEC75C">
            <w:pPr>
              <w:adjustRightInd w:val="0"/>
              <w:snapToGrid w:val="0"/>
              <w:spacing w:line="240" w:lineRule="auto"/>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严格环境准入，优化园区产业结构。园区产业引进应严格遵循《长江保护法》、《长江经济带发展负面清单》等法律法规及相关政策的要求，落实园区“三线一单”环境准入要求，严格执行《报告书》提出的产业定位和产业准入负面清单。柏树林工业园严格限制以气型污染为主的工业项目、不再引进屠宰加工类项目；前锋工业园及其中拟划定的化工片区应严格控制不符合现有产业基础和新晃本地资源禀赋的涉重金属和持久性有机污染物排放的项目。</w:t>
            </w:r>
          </w:p>
        </w:tc>
        <w:tc>
          <w:tcPr>
            <w:tcW w:w="1948" w:type="pct"/>
            <w:tcBorders>
              <w:tl2br w:val="nil"/>
              <w:tr2bl w:val="nil"/>
            </w:tcBorders>
            <w:vAlign w:val="center"/>
          </w:tcPr>
          <w:p w14:paraId="03004A60">
            <w:pPr>
              <w:adjustRightInd w:val="0"/>
              <w:snapToGrid w:val="0"/>
              <w:spacing w:line="240" w:lineRule="auto"/>
              <w:jc w:val="both"/>
              <w:rPr>
                <w:rFonts w:hint="eastAsia"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园区严格执行企业环境准入审核，引进企业均满足</w:t>
            </w:r>
            <w:r>
              <w:rPr>
                <w:rFonts w:hint="default" w:ascii="Times New Roman" w:hAnsi="Times New Roman" w:eastAsia="仿宋" w:cs="Times New Roman"/>
                <w:sz w:val="24"/>
                <w:szCs w:val="24"/>
                <w:highlight w:val="none"/>
              </w:rPr>
              <w:t>《长江保护法》、《长江经济带发展负面清单》</w:t>
            </w:r>
            <w:r>
              <w:rPr>
                <w:rFonts w:hint="eastAsia" w:ascii="Times New Roman" w:hAnsi="Times New Roman" w:eastAsia="仿宋" w:cs="Times New Roman"/>
                <w:sz w:val="24"/>
                <w:szCs w:val="24"/>
                <w:highlight w:val="none"/>
                <w:lang w:val="en-US" w:eastAsia="zh-CN"/>
              </w:rPr>
              <w:t>及园区</w:t>
            </w:r>
            <w:r>
              <w:rPr>
                <w:rFonts w:hint="default" w:ascii="Times New Roman" w:hAnsi="Times New Roman" w:eastAsia="仿宋" w:cs="Times New Roman"/>
                <w:sz w:val="24"/>
                <w:szCs w:val="24"/>
                <w:highlight w:val="none"/>
              </w:rPr>
              <w:t>“三线一单”环境准入要求</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z w:val="24"/>
                <w:szCs w:val="24"/>
                <w:highlight w:val="none"/>
                <w:lang w:val="en-US" w:eastAsia="zh-CN"/>
              </w:rPr>
              <w:t>严格</w:t>
            </w:r>
            <w:r>
              <w:rPr>
                <w:rFonts w:hint="default" w:ascii="Times New Roman" w:hAnsi="Times New Roman" w:eastAsia="仿宋" w:cs="Times New Roman"/>
                <w:sz w:val="24"/>
                <w:szCs w:val="24"/>
                <w:highlight w:val="none"/>
              </w:rPr>
              <w:t>执行《报告书》提出的产业定位和产业准入负面清单。</w:t>
            </w:r>
          </w:p>
        </w:tc>
        <w:tc>
          <w:tcPr>
            <w:tcW w:w="559" w:type="pct"/>
            <w:tcBorders>
              <w:tl2br w:val="nil"/>
              <w:tr2bl w:val="nil"/>
            </w:tcBorders>
            <w:vAlign w:val="center"/>
          </w:tcPr>
          <w:p w14:paraId="0602BB60">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w:t>
            </w:r>
          </w:p>
        </w:tc>
      </w:tr>
      <w:tr w14:paraId="556DE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tcBorders>
              <w:tl2br w:val="nil"/>
              <w:tr2bl w:val="nil"/>
            </w:tcBorders>
            <w:vAlign w:val="center"/>
          </w:tcPr>
          <w:p w14:paraId="32C3D5F4">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w:t>
            </w:r>
          </w:p>
        </w:tc>
        <w:tc>
          <w:tcPr>
            <w:tcW w:w="2258" w:type="pct"/>
            <w:tcBorders>
              <w:tl2br w:val="nil"/>
              <w:tr2bl w:val="nil"/>
            </w:tcBorders>
            <w:vAlign w:val="center"/>
          </w:tcPr>
          <w:p w14:paraId="04561AB3">
            <w:pPr>
              <w:adjustRightInd w:val="0"/>
              <w:snapToGrid w:val="0"/>
              <w:spacing w:line="240" w:lineRule="auto"/>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落实管控措施，加强园区排污管理。园区须完善污水管网建设，做好雨污分流，确保园区各片区生产生活废水应收尽收，集中排入污水处理厂，管网建设未完成、污水管网未接通之前，新建涉生产废水排放的企业不得投产，园区不得超污水处理厂能力引进污水排放项目。前锋工业园污水统一排入鱼市镇工业园污水处理厂，该污水处理厂应尽快完成提质改造，使尾水排放达到《城镇污水处理厂污染物排放标准》(GB18918-2002)一级A标准。柏树林工业园污水统一排入新晃县城市污水处理厂，经处理后达到《城镇污水处理厂污染物排放标准》(GB18918-2002)一级A标准后排入舞水。园区应加强大气污染防治，特别是对重点排放企业的监管，采取有效措施减少污染物排放总量，严格控制无组织排放，园区内禁止新建10蒸吨/时及以下燃煤锅炉。采取全流程管控措施，建立园区固废规范化管理体系，做好工业固体废物和生活垃圾的分类收集、转运、综合利用和无害化处理。对各类工业企业产生固体废物特别是危险固废应严格按照国家有关规定综合利用或妥善处置，对危险废物产生企业和经营单位，强化日常环境监管。园区须严格落实排污许可制度和污染物排放总量控制，督促入园企业及时完成环境保护竣工验收工作，推动重点污染企业完成清洁生产审核工作，限期要求区内企业完善相应环保手续。</w:t>
            </w:r>
          </w:p>
        </w:tc>
        <w:tc>
          <w:tcPr>
            <w:tcW w:w="1948" w:type="pct"/>
            <w:tcBorders>
              <w:tl2br w:val="nil"/>
              <w:tr2bl w:val="nil"/>
            </w:tcBorders>
            <w:vAlign w:val="center"/>
          </w:tcPr>
          <w:p w14:paraId="40A6F2B3">
            <w:pPr>
              <w:adjustRightInd w:val="0"/>
              <w:snapToGrid w:val="0"/>
              <w:spacing w:line="240" w:lineRule="auto"/>
              <w:jc w:val="both"/>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园区已经完善了雨污管网的建设，园区内各企业生活污水均纳入前锋污水处理厂集中处理后达标排放。前锋工业园污水处理厂提质改造工程已完工，现已进入验收阶段，提质改造后污水处理量提升为4000m</w:t>
            </w:r>
            <w:r>
              <w:rPr>
                <w:rFonts w:hint="eastAsia" w:ascii="Times New Roman" w:hAnsi="Times New Roman" w:eastAsia="仿宋" w:cs="Times New Roman"/>
                <w:sz w:val="24"/>
                <w:szCs w:val="24"/>
                <w:highlight w:val="none"/>
                <w:vertAlign w:val="superscript"/>
                <w:lang w:val="en-US" w:eastAsia="zh-CN"/>
              </w:rPr>
              <w:t>3</w:t>
            </w:r>
            <w:r>
              <w:rPr>
                <w:rFonts w:hint="eastAsia" w:ascii="Times New Roman" w:hAnsi="Times New Roman" w:eastAsia="仿宋" w:cs="Times New Roman"/>
                <w:sz w:val="24"/>
                <w:szCs w:val="24"/>
                <w:highlight w:val="none"/>
                <w:lang w:val="en-US" w:eastAsia="zh-CN"/>
              </w:rPr>
              <w:t>/d，污水排放标准达到《城镇污水处理厂污染物排放标准》(GB18918-2002)一级A标准。园区内未新建</w:t>
            </w:r>
            <w:r>
              <w:rPr>
                <w:rFonts w:hint="default" w:ascii="Times New Roman" w:hAnsi="Times New Roman" w:eastAsia="仿宋" w:cs="Times New Roman"/>
                <w:sz w:val="24"/>
                <w:szCs w:val="24"/>
                <w:highlight w:val="none"/>
              </w:rPr>
              <w:t>10蒸吨/时及以下燃煤锅炉</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z w:val="24"/>
                <w:szCs w:val="24"/>
                <w:highlight w:val="none"/>
                <w:lang w:val="en-US" w:eastAsia="zh-CN"/>
              </w:rPr>
              <w:t>园区建立了固体废物规范化管理体系，严格一般固体废物及危险废物管理。园区严格落实了排污许可制度，确保各企业均做到合法持证排污，达标排污。对未办理环境保护竣工验收的企业，园区均下达了办理时限要求，确保各企业环保手续合规。</w:t>
            </w:r>
          </w:p>
        </w:tc>
        <w:tc>
          <w:tcPr>
            <w:tcW w:w="559" w:type="pct"/>
            <w:tcBorders>
              <w:tl2br w:val="nil"/>
              <w:tr2bl w:val="nil"/>
            </w:tcBorders>
            <w:vAlign w:val="center"/>
          </w:tcPr>
          <w:p w14:paraId="0B90CC91">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w:t>
            </w:r>
          </w:p>
        </w:tc>
      </w:tr>
      <w:tr w14:paraId="2136D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tcBorders>
              <w:tl2br w:val="nil"/>
              <w:tr2bl w:val="nil"/>
            </w:tcBorders>
            <w:vAlign w:val="center"/>
          </w:tcPr>
          <w:p w14:paraId="64A30256">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2258" w:type="pct"/>
            <w:tcBorders>
              <w:tl2br w:val="nil"/>
              <w:tr2bl w:val="nil"/>
            </w:tcBorders>
            <w:vAlign w:val="center"/>
          </w:tcPr>
          <w:p w14:paraId="4D88576C">
            <w:pPr>
              <w:adjustRightInd w:val="0"/>
              <w:snapToGrid w:val="0"/>
              <w:spacing w:line="240" w:lineRule="auto"/>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完善监测体系，监控环境质量变化状况。园区应落实《报告书》提出的监测方案，结合园区规划的功能分区、产业布局、重点企业分布、特征污染物的排放种类和状况、环境敏感目标分布等，建立健全环境空气、地表水、地下水、土壤等环境要素的监控体系，重点监控园区周边的环境空气、地表水环境质量现状，并涵盖VOCs相关特征污染物监测，加强对周边空气质量检测和污染溯源分析，重点监控园区周边鱼市镇镇区等环境敏感点的大气环境质量，加强对园区重点排放企业，特别是主要涉重金属排放企业的监督性监测，防止透漏排。</w:t>
            </w:r>
          </w:p>
        </w:tc>
        <w:tc>
          <w:tcPr>
            <w:tcW w:w="1948" w:type="pct"/>
            <w:tcBorders>
              <w:tl2br w:val="nil"/>
              <w:tr2bl w:val="nil"/>
            </w:tcBorders>
            <w:vAlign w:val="center"/>
          </w:tcPr>
          <w:p w14:paraId="1EF9A3B0">
            <w:pPr>
              <w:adjustRightInd w:val="0"/>
              <w:snapToGrid w:val="0"/>
              <w:spacing w:line="240" w:lineRule="auto"/>
              <w:jc w:val="left"/>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园区建立了环境空气上风向、下风向自动监测站，地表水下游水质自动监测站，实时监控园区及周边环境空气及地表水环境质量，环境空气涵盖VOCs、恶臭、总悬浮颗粒物、PM</w:t>
            </w:r>
            <w:r>
              <w:rPr>
                <w:rFonts w:hint="eastAsia" w:ascii="Times New Roman" w:hAnsi="Times New Roman" w:eastAsia="仿宋" w:cs="Times New Roman"/>
                <w:sz w:val="24"/>
                <w:szCs w:val="24"/>
                <w:highlight w:val="none"/>
                <w:vertAlign w:val="subscript"/>
                <w:lang w:val="en-US" w:eastAsia="zh-CN"/>
              </w:rPr>
              <w:t>10</w:t>
            </w:r>
            <w:r>
              <w:rPr>
                <w:rFonts w:hint="eastAsia" w:ascii="Times New Roman" w:hAnsi="Times New Roman" w:eastAsia="仿宋" w:cs="Times New Roman"/>
                <w:sz w:val="24"/>
                <w:szCs w:val="24"/>
                <w:highlight w:val="none"/>
                <w:lang w:val="en-US" w:eastAsia="zh-CN"/>
              </w:rPr>
              <w:t>、PM</w:t>
            </w:r>
            <w:r>
              <w:rPr>
                <w:rFonts w:hint="eastAsia" w:ascii="Times New Roman" w:hAnsi="Times New Roman" w:eastAsia="仿宋" w:cs="Times New Roman"/>
                <w:sz w:val="24"/>
                <w:szCs w:val="24"/>
                <w:highlight w:val="none"/>
                <w:vertAlign w:val="subscript"/>
                <w:lang w:val="en-US" w:eastAsia="zh-CN"/>
              </w:rPr>
              <w:t>2.5</w:t>
            </w:r>
            <w:r>
              <w:rPr>
                <w:rFonts w:hint="eastAsia" w:ascii="Times New Roman" w:hAnsi="Times New Roman" w:eastAsia="仿宋" w:cs="Times New Roman"/>
                <w:sz w:val="24"/>
                <w:szCs w:val="24"/>
                <w:highlight w:val="none"/>
                <w:lang w:val="en-US" w:eastAsia="zh-CN"/>
              </w:rPr>
              <w:t>等特征污染物，地表水涵盖COD、总磷、总氮、重金属等特征污染物。园区协同县生态环境保护局定期对重点排放企业进行监督性监测，确保重点企业污染物排放达标。</w:t>
            </w:r>
          </w:p>
        </w:tc>
        <w:tc>
          <w:tcPr>
            <w:tcW w:w="559" w:type="pct"/>
            <w:tcBorders>
              <w:tl2br w:val="nil"/>
              <w:tr2bl w:val="nil"/>
            </w:tcBorders>
            <w:vAlign w:val="center"/>
          </w:tcPr>
          <w:p w14:paraId="4E4DC4DA">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w:t>
            </w:r>
          </w:p>
        </w:tc>
      </w:tr>
      <w:tr w14:paraId="659C9E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tcBorders>
              <w:tl2br w:val="nil"/>
              <w:tr2bl w:val="nil"/>
            </w:tcBorders>
            <w:vAlign w:val="center"/>
          </w:tcPr>
          <w:p w14:paraId="2C6241C2">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5</w:t>
            </w:r>
          </w:p>
        </w:tc>
        <w:tc>
          <w:tcPr>
            <w:tcW w:w="2258" w:type="pct"/>
            <w:tcBorders>
              <w:tl2br w:val="nil"/>
              <w:tr2bl w:val="nil"/>
            </w:tcBorders>
            <w:vAlign w:val="center"/>
          </w:tcPr>
          <w:p w14:paraId="32F3E906">
            <w:pPr>
              <w:adjustRightInd w:val="0"/>
              <w:snapToGrid w:val="0"/>
              <w:spacing w:line="240" w:lineRule="auto"/>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强化风险管控，严防园区环境事故。加强园区环境风险防控、预警和应急体系建设。建立健全园区环境风险管理工作长效机制，园区管理机构应建立环境监督管理机构；落实环境风险防控措施，及时完成园区环境应急预案的修订和备案工作及推动重点污染企业环境应急预案编制和备案工作，加强应急救援队伍、装备和设施建设，储备必要的应急物资，有计划地组织应急培训和演练，全面提升园区风险防控和事故应急处置能力。重点做好主要涉重涉化企业以及前锋工业园污水处理厂的风险防控，该污水处理厂后期改扩建选址应位于滨河南路南侧远离舞水河一侧，并设置相应容积的事故应急池，有效防范废水事故直排。</w:t>
            </w:r>
          </w:p>
        </w:tc>
        <w:tc>
          <w:tcPr>
            <w:tcW w:w="1948" w:type="pct"/>
            <w:tcBorders>
              <w:tl2br w:val="nil"/>
              <w:tr2bl w:val="nil"/>
            </w:tcBorders>
            <w:vAlign w:val="center"/>
          </w:tcPr>
          <w:p w14:paraId="43F3B875">
            <w:pPr>
              <w:adjustRightInd w:val="0"/>
              <w:snapToGrid w:val="0"/>
              <w:spacing w:line="240" w:lineRule="auto"/>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rPr>
              <w:t>园区</w:t>
            </w:r>
            <w:r>
              <w:rPr>
                <w:rFonts w:hint="eastAsia" w:ascii="Times New Roman" w:hAnsi="Times New Roman" w:eastAsia="仿宋" w:cs="Times New Roman"/>
                <w:sz w:val="24"/>
                <w:szCs w:val="24"/>
                <w:highlight w:val="none"/>
                <w:lang w:val="en-US" w:eastAsia="zh-CN"/>
              </w:rPr>
              <w:t>建立了</w:t>
            </w:r>
            <w:r>
              <w:rPr>
                <w:rFonts w:hint="default" w:ascii="Times New Roman" w:hAnsi="Times New Roman" w:eastAsia="仿宋" w:cs="Times New Roman"/>
                <w:sz w:val="24"/>
                <w:szCs w:val="24"/>
                <w:highlight w:val="none"/>
              </w:rPr>
              <w:t>环境风险管理工作长效机制，</w:t>
            </w:r>
            <w:r>
              <w:rPr>
                <w:rFonts w:hint="eastAsia" w:ascii="Times New Roman" w:hAnsi="Times New Roman" w:eastAsia="仿宋" w:cs="Times New Roman"/>
                <w:sz w:val="24"/>
                <w:szCs w:val="24"/>
                <w:highlight w:val="none"/>
                <w:lang w:val="en-US" w:eastAsia="zh-CN"/>
              </w:rPr>
              <w:t>设置了</w:t>
            </w:r>
            <w:r>
              <w:rPr>
                <w:rFonts w:hint="default" w:ascii="Times New Roman" w:hAnsi="Times New Roman" w:eastAsia="仿宋" w:cs="Times New Roman"/>
                <w:sz w:val="24"/>
                <w:szCs w:val="24"/>
                <w:highlight w:val="none"/>
              </w:rPr>
              <w:t>环境监督管理机构；</w:t>
            </w:r>
            <w:r>
              <w:rPr>
                <w:rFonts w:hint="eastAsia" w:ascii="Times New Roman" w:hAnsi="Times New Roman" w:eastAsia="仿宋" w:cs="Times New Roman"/>
                <w:sz w:val="24"/>
                <w:szCs w:val="24"/>
                <w:highlight w:val="none"/>
                <w:lang w:val="en-US" w:eastAsia="zh-CN"/>
              </w:rPr>
              <w:t>园区于2025年7月完成了《新晃产业开发区突发环境事件应急预案（2025年修订版）》的编制，并完成了省市县三级备案工作。</w:t>
            </w:r>
          </w:p>
        </w:tc>
        <w:tc>
          <w:tcPr>
            <w:tcW w:w="559" w:type="pct"/>
            <w:tcBorders>
              <w:tl2br w:val="nil"/>
              <w:tr2bl w:val="nil"/>
            </w:tcBorders>
            <w:vAlign w:val="center"/>
          </w:tcPr>
          <w:p w14:paraId="2B6E8CAF">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w:t>
            </w:r>
          </w:p>
        </w:tc>
      </w:tr>
      <w:tr w14:paraId="1304E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tcBorders>
              <w:tl2br w:val="nil"/>
              <w:tr2bl w:val="nil"/>
            </w:tcBorders>
            <w:vAlign w:val="center"/>
          </w:tcPr>
          <w:p w14:paraId="28F1CE64">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2258" w:type="pct"/>
            <w:tcBorders>
              <w:tl2br w:val="nil"/>
              <w:tr2bl w:val="nil"/>
            </w:tcBorders>
            <w:vAlign w:val="center"/>
          </w:tcPr>
          <w:p w14:paraId="030A1BC9">
            <w:pPr>
              <w:adjustRightInd w:val="0"/>
              <w:snapToGrid w:val="0"/>
              <w:spacing w:line="240" w:lineRule="auto"/>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themeColor="text1"/>
                <w:sz w:val="24"/>
                <w:szCs w:val="24"/>
                <w:highlight w:val="none"/>
                <w14:textFill>
                  <w14:solidFill>
                    <w14:schemeClr w14:val="tx1"/>
                  </w14:solidFill>
                </w14:textFill>
              </w:rPr>
              <w:t>做好周边控规，落实拆迁安置计划。严格做好控规，杜绝在规划的工业用地上新增环境敏感目标。确保园区开发过程中的居民拆迁安置到位，防止发生居民再次安置和次生环境问题，落实鱼市镇临近化工园区地块的用地类别调整工作，鱼市镇紧邻前锋园区周边地块全部调整为工业用地或仓储用地，不设置居住用地。化工园区周边不新建居民区、学校、医院等环境敏感建筑或生态敏感区。杜绝在规划的工业用地上新增环境敏感目标，确保园区开发过程中的居民拆迁安置到位，防止发生居民再次安置和次生环境问题，对于具体项目环评设置防护距离和拆迁要求的，要确保予以落实。</w:t>
            </w:r>
          </w:p>
        </w:tc>
        <w:tc>
          <w:tcPr>
            <w:tcW w:w="1948" w:type="pct"/>
            <w:tcBorders>
              <w:tl2br w:val="nil"/>
              <w:tr2bl w:val="nil"/>
            </w:tcBorders>
            <w:vAlign w:val="center"/>
          </w:tcPr>
          <w:p w14:paraId="165F20C3">
            <w:pPr>
              <w:adjustRightInd w:val="0"/>
              <w:snapToGrid w:val="0"/>
              <w:spacing w:line="240" w:lineRule="auto"/>
              <w:jc w:val="left"/>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园区严格控制了周边用地管控，规划工业用地上未新增环境敏感目标，化工园区周边未新建居民区、学校、医院等环境敏感建筑或生态敏感区。规划环评中设置的防护距离和拆迁要求均已落实到位。</w:t>
            </w:r>
          </w:p>
        </w:tc>
        <w:tc>
          <w:tcPr>
            <w:tcW w:w="559" w:type="pct"/>
            <w:tcBorders>
              <w:tl2br w:val="nil"/>
              <w:tr2bl w:val="nil"/>
            </w:tcBorders>
            <w:vAlign w:val="center"/>
          </w:tcPr>
          <w:p w14:paraId="32AA60CF">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w:t>
            </w:r>
          </w:p>
        </w:tc>
      </w:tr>
      <w:tr w14:paraId="43EA1B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33" w:type="pct"/>
            <w:tcBorders>
              <w:tl2br w:val="nil"/>
              <w:tr2bl w:val="nil"/>
            </w:tcBorders>
            <w:vAlign w:val="center"/>
          </w:tcPr>
          <w:p w14:paraId="274A8EAE">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7</w:t>
            </w:r>
          </w:p>
        </w:tc>
        <w:tc>
          <w:tcPr>
            <w:tcW w:w="2258" w:type="pct"/>
            <w:tcBorders>
              <w:tl2br w:val="nil"/>
              <w:tr2bl w:val="nil"/>
            </w:tcBorders>
            <w:vAlign w:val="center"/>
          </w:tcPr>
          <w:p w14:paraId="03817DF5">
            <w:pPr>
              <w:adjustRightInd w:val="0"/>
              <w:snapToGrid w:val="0"/>
              <w:spacing w:line="240" w:lineRule="auto"/>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做好园区建设期生态保护。园区开发建设过程中尽可能保留自然山体、水体，施工期对土石方开挖、堆存及回填要实施围挡、护坡等措施，裸露地及时恢复植被，防止水土流失，杜绝施工建设对地表水体的污染。</w:t>
            </w:r>
          </w:p>
        </w:tc>
        <w:tc>
          <w:tcPr>
            <w:tcW w:w="1948" w:type="pct"/>
            <w:tcBorders>
              <w:tl2br w:val="nil"/>
              <w:tr2bl w:val="nil"/>
            </w:tcBorders>
            <w:vAlign w:val="center"/>
          </w:tcPr>
          <w:p w14:paraId="6994AE3A">
            <w:pPr>
              <w:adjustRightInd w:val="0"/>
              <w:snapToGrid w:val="0"/>
              <w:spacing w:line="240" w:lineRule="auto"/>
              <w:jc w:val="left"/>
              <w:rPr>
                <w:rFonts w:hint="default" w:ascii="Times New Roman" w:hAnsi="Times New Roman" w:eastAsia="仿宋" w:cs="Times New Roman"/>
                <w:sz w:val="24"/>
                <w:szCs w:val="24"/>
                <w:highlight w:val="none"/>
                <w:lang w:val="en-US" w:eastAsia="zh-CN"/>
              </w:rPr>
            </w:pPr>
            <w:r>
              <w:rPr>
                <w:rFonts w:hint="eastAsia" w:ascii="Times New Roman" w:hAnsi="Times New Roman" w:eastAsia="仿宋" w:cs="Times New Roman"/>
                <w:sz w:val="24"/>
                <w:szCs w:val="24"/>
                <w:highlight w:val="none"/>
                <w:lang w:val="en-US" w:eastAsia="zh-CN"/>
              </w:rPr>
              <w:t>园区建设期间严格落实了生态环境保护，施工期未对周边生态环境及地表水环境造成较大影响。</w:t>
            </w:r>
          </w:p>
        </w:tc>
        <w:tc>
          <w:tcPr>
            <w:tcW w:w="559" w:type="pct"/>
            <w:tcBorders>
              <w:tl2br w:val="nil"/>
              <w:tr2bl w:val="nil"/>
            </w:tcBorders>
            <w:vAlign w:val="center"/>
          </w:tcPr>
          <w:p w14:paraId="3A637C21">
            <w:pPr>
              <w:adjustRightInd w:val="0"/>
              <w:snapToGrid w:val="0"/>
              <w:spacing w:line="24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w:t>
            </w:r>
          </w:p>
        </w:tc>
      </w:tr>
    </w:tbl>
    <w:p w14:paraId="33853BBA">
      <w:pPr>
        <w:pStyle w:val="16"/>
        <w:pageBreakBefore w:val="0"/>
        <w:kinsoku/>
        <w:wordWrap/>
        <w:overflowPunct/>
        <w:topLinePunct w:val="0"/>
        <w:autoSpaceDE/>
        <w:autoSpaceDN/>
        <w:bidi w:val="0"/>
        <w:adjustRightInd/>
        <w:snapToGrid w:val="0"/>
        <w:spacing w:before="227" w:beforeLines="50" w:after="227" w:afterLines="50" w:line="600" w:lineRule="exact"/>
        <w:ind w:left="0" w:leftChars="0" w:firstLine="643"/>
        <w:textAlignment w:val="auto"/>
        <w:rPr>
          <w:rFonts w:hint="default" w:ascii="Times New Roman" w:hAnsi="Times New Roman" w:eastAsia="仿宋" w:cs="Times New Roman"/>
          <w:color w:val="FF0000"/>
          <w:kern w:val="2"/>
          <w:sz w:val="32"/>
          <w:szCs w:val="32"/>
          <w:lang w:val="en-US" w:eastAsia="zh-CN" w:bidi="ar-SA"/>
        </w:rPr>
      </w:pPr>
    </w:p>
    <w:p w14:paraId="079A4146">
      <w:pPr>
        <w:pStyle w:val="3"/>
        <w:keepNext/>
        <w:keepLines/>
        <w:pageBreakBefore w:val="0"/>
        <w:widowControl w:val="0"/>
        <w:kinsoku/>
        <w:wordWrap/>
        <w:overflowPunct/>
        <w:topLinePunct w:val="0"/>
        <w:autoSpaceDE/>
        <w:autoSpaceDN/>
        <w:bidi w:val="0"/>
        <w:adjustRightInd/>
        <w:snapToGrid/>
        <w:spacing w:before="227" w:beforeLines="50" w:after="227" w:afterLines="50" w:line="600" w:lineRule="exact"/>
        <w:textAlignment w:val="auto"/>
        <w:rPr>
          <w:rFonts w:hint="default" w:ascii="Times New Roman" w:hAnsi="Times New Roman" w:cs="Times New Roman"/>
          <w:b/>
          <w:lang w:val="en-US" w:eastAsia="zh-CN"/>
        </w:rPr>
      </w:pPr>
      <w:bookmarkStart w:id="9" w:name="_Toc3180"/>
      <w:r>
        <w:rPr>
          <w:rFonts w:hint="default" w:ascii="Times New Roman" w:hAnsi="Times New Roman" w:cs="Times New Roman"/>
          <w:b/>
          <w:lang w:val="en-US" w:eastAsia="zh-CN"/>
        </w:rPr>
        <w:t>2.2“三线一单”落地应用情况</w:t>
      </w:r>
      <w:bookmarkEnd w:id="9"/>
    </w:p>
    <w:p w14:paraId="18DB6378">
      <w:pPr>
        <w:pStyle w:val="13"/>
        <w:keepNext w:val="0"/>
        <w:keepLines w:val="0"/>
        <w:pageBreakBefore w:val="0"/>
        <w:widowControl/>
        <w:kinsoku/>
        <w:wordWrap/>
        <w:overflowPunct/>
        <w:topLinePunct w:val="0"/>
        <w:autoSpaceDE/>
        <w:autoSpaceDN/>
        <w:bidi w:val="0"/>
        <w:adjustRightInd/>
        <w:snapToGrid w:val="0"/>
        <w:spacing w:beforeAutospacing="0" w:afterAutospacing="0" w:line="600" w:lineRule="exact"/>
        <w:ind w:firstLine="641"/>
        <w:jc w:val="left"/>
        <w:textAlignment w:val="auto"/>
        <w:rPr>
          <w:rFonts w:hint="default" w:ascii="Times New Roman" w:hAnsi="Times New Roman" w:eastAsia="仿宋" w:cs="Times New Roman"/>
          <w:kern w:val="2"/>
          <w:sz w:val="32"/>
          <w:szCs w:val="32"/>
          <w:lang w:val="zh-CN" w:eastAsia="zh-CN" w:bidi="ar-SA"/>
        </w:rPr>
        <w:sectPr>
          <w:footerReference r:id="rId4" w:type="default"/>
          <w:pgSz w:w="11906" w:h="16838"/>
          <w:pgMar w:top="1083" w:right="1440" w:bottom="1083" w:left="1440" w:header="851" w:footer="992" w:gutter="0"/>
          <w:pgBorders>
            <w:top w:val="none" w:sz="0" w:space="0"/>
            <w:left w:val="none" w:sz="0" w:space="0"/>
            <w:bottom w:val="none" w:sz="0" w:space="0"/>
            <w:right w:val="none" w:sz="0" w:space="0"/>
          </w:pgBorders>
          <w:pgNumType w:fmt="numberInDash" w:start="1"/>
          <w:cols w:space="720" w:num="1"/>
          <w:rtlGutter w:val="0"/>
          <w:docGrid w:type="lines" w:linePitch="451" w:charSpace="0"/>
        </w:sectPr>
      </w:pPr>
      <w:r>
        <w:rPr>
          <w:rFonts w:hint="default" w:ascii="Times New Roman" w:hAnsi="Times New Roman" w:eastAsia="仿宋" w:cs="Times New Roman"/>
          <w:kern w:val="2"/>
          <w:sz w:val="32"/>
          <w:szCs w:val="32"/>
          <w:lang w:val="zh-CN" w:eastAsia="zh-CN" w:bidi="ar-SA"/>
        </w:rPr>
        <w:t>根据《湖南省人民政府关于实施“三线一单”生态环境分区管控的意见》、《湖南省“三线一单”生态环境总体管控要求既省级以上产业园区生态环境准入清单》等相关文件，明确了新晃工业集中区“三线一单”生态环境管控要求。详见下表。</w:t>
      </w:r>
    </w:p>
    <w:tbl>
      <w:tblPr>
        <w:tblStyle w:val="17"/>
        <w:tblpPr w:leftFromText="180" w:rightFromText="180" w:vertAnchor="text" w:horzAnchor="page" w:tblpXSpec="center" w:tblpY="441"/>
        <w:tblOverlap w:val="never"/>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4"/>
        <w:gridCol w:w="973"/>
        <w:gridCol w:w="604"/>
        <w:gridCol w:w="538"/>
        <w:gridCol w:w="802"/>
        <w:gridCol w:w="801"/>
        <w:gridCol w:w="1704"/>
        <w:gridCol w:w="1289"/>
        <w:gridCol w:w="1269"/>
        <w:gridCol w:w="3917"/>
        <w:gridCol w:w="1833"/>
      </w:tblGrid>
      <w:tr w14:paraId="3996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874" w:type="dxa"/>
            <w:gridSpan w:val="11"/>
            <w:tcBorders>
              <w:top w:val="nil"/>
              <w:left w:val="nil"/>
              <w:right w:val="nil"/>
            </w:tcBorders>
            <w:vAlign w:val="center"/>
          </w:tcPr>
          <w:p w14:paraId="7C70D2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b/>
                <w:bCs w:val="0"/>
                <w:color w:val="auto"/>
                <w:sz w:val="21"/>
                <w:szCs w:val="21"/>
                <w:highlight w:val="none"/>
                <w:lang w:val="zh-CN" w:eastAsia="zh-CN"/>
              </w:rPr>
            </w:pPr>
            <w:r>
              <w:rPr>
                <w:rFonts w:hint="default" w:ascii="仿宋" w:hAnsi="仿宋" w:eastAsia="仿宋" w:cs="仿宋"/>
                <w:b/>
                <w:bCs w:val="0"/>
                <w:color w:val="auto"/>
                <w:sz w:val="21"/>
                <w:szCs w:val="21"/>
                <w:highlight w:val="none"/>
                <w:lang w:val="zh-CN" w:eastAsia="zh-CN"/>
              </w:rPr>
              <w:t>表</w:t>
            </w:r>
            <w:r>
              <w:rPr>
                <w:rFonts w:hint="eastAsia" w:ascii="仿宋" w:hAnsi="仿宋" w:eastAsia="仿宋" w:cs="仿宋"/>
                <w:b/>
                <w:bCs w:val="0"/>
                <w:color w:val="auto"/>
                <w:sz w:val="21"/>
                <w:szCs w:val="21"/>
                <w:highlight w:val="none"/>
                <w:lang w:val="en-US" w:eastAsia="zh-CN"/>
              </w:rPr>
              <w:t>6</w:t>
            </w:r>
            <w:r>
              <w:rPr>
                <w:rFonts w:hint="default" w:ascii="仿宋" w:hAnsi="仿宋" w:eastAsia="仿宋" w:cs="仿宋"/>
                <w:b/>
                <w:bCs w:val="0"/>
                <w:color w:val="auto"/>
                <w:sz w:val="21"/>
                <w:szCs w:val="21"/>
                <w:highlight w:val="none"/>
                <w:lang w:val="en-US" w:eastAsia="zh-CN"/>
              </w:rPr>
              <w:t xml:space="preserve">  </w:t>
            </w:r>
            <w:r>
              <w:rPr>
                <w:rFonts w:hint="default" w:ascii="仿宋" w:hAnsi="仿宋" w:eastAsia="仿宋" w:cs="仿宋"/>
                <w:b/>
                <w:bCs w:val="0"/>
                <w:color w:val="auto"/>
                <w:sz w:val="21"/>
                <w:szCs w:val="21"/>
                <w:highlight w:val="none"/>
                <w:lang w:val="zh-CN" w:eastAsia="zh-CN"/>
              </w:rPr>
              <w:t>新晃工业集中区环境准入清单</w:t>
            </w:r>
          </w:p>
        </w:tc>
      </w:tr>
      <w:tr w14:paraId="2625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4" w:type="dxa"/>
            <w:vMerge w:val="restart"/>
            <w:vAlign w:val="center"/>
          </w:tcPr>
          <w:p w14:paraId="4AB7FECD">
            <w:pPr>
              <w:widowControl/>
              <w:jc w:val="center"/>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环境管控单元编码</w:t>
            </w:r>
          </w:p>
        </w:tc>
        <w:tc>
          <w:tcPr>
            <w:tcW w:w="973" w:type="dxa"/>
            <w:vMerge w:val="restart"/>
            <w:vAlign w:val="center"/>
          </w:tcPr>
          <w:p w14:paraId="0D3FA839">
            <w:pPr>
              <w:widowControl/>
              <w:jc w:val="center"/>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单元名称</w:t>
            </w:r>
          </w:p>
        </w:tc>
        <w:tc>
          <w:tcPr>
            <w:tcW w:w="1944" w:type="dxa"/>
            <w:gridSpan w:val="3"/>
            <w:vAlign w:val="center"/>
          </w:tcPr>
          <w:p w14:paraId="0EB48EF7">
            <w:pPr>
              <w:widowControl/>
              <w:jc w:val="center"/>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行政区划</w:t>
            </w:r>
          </w:p>
        </w:tc>
        <w:tc>
          <w:tcPr>
            <w:tcW w:w="801" w:type="dxa"/>
            <w:vMerge w:val="restart"/>
            <w:vAlign w:val="center"/>
          </w:tcPr>
          <w:p w14:paraId="3F4AE8FB">
            <w:pPr>
              <w:widowControl/>
              <w:jc w:val="center"/>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单元分类</w:t>
            </w:r>
          </w:p>
        </w:tc>
        <w:tc>
          <w:tcPr>
            <w:tcW w:w="1704" w:type="dxa"/>
            <w:vMerge w:val="restart"/>
            <w:vAlign w:val="center"/>
          </w:tcPr>
          <w:p w14:paraId="5798C781">
            <w:pPr>
              <w:jc w:val="center"/>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单元面积</w:t>
            </w:r>
            <w:r>
              <w:rPr>
                <w:rFonts w:hint="eastAsia" w:ascii="仿宋" w:hAnsi="仿宋" w:eastAsia="仿宋" w:cs="仿宋"/>
                <w:color w:val="auto"/>
                <w:sz w:val="21"/>
                <w:szCs w:val="21"/>
                <w:highlight w:val="none"/>
                <w:vertAlign w:val="superscript"/>
              </w:rPr>
              <w:t>①</w:t>
            </w:r>
            <w:r>
              <w:rPr>
                <w:rFonts w:hint="eastAsia" w:ascii="仿宋" w:hAnsi="仿宋" w:eastAsia="仿宋" w:cs="仿宋"/>
                <w:b/>
                <w:color w:val="auto"/>
                <w:kern w:val="0"/>
                <w:sz w:val="21"/>
                <w:szCs w:val="21"/>
                <w:highlight w:val="none"/>
              </w:rPr>
              <w:t>(km</w:t>
            </w:r>
            <w:r>
              <w:rPr>
                <w:rFonts w:hint="eastAsia" w:ascii="仿宋" w:hAnsi="仿宋" w:eastAsia="仿宋" w:cs="仿宋"/>
                <w:b/>
                <w:color w:val="auto"/>
                <w:kern w:val="0"/>
                <w:sz w:val="21"/>
                <w:szCs w:val="21"/>
                <w:highlight w:val="none"/>
                <w:vertAlign w:val="superscript"/>
              </w:rPr>
              <w:t>2</w:t>
            </w:r>
            <w:r>
              <w:rPr>
                <w:rFonts w:hint="eastAsia" w:ascii="仿宋" w:hAnsi="仿宋" w:eastAsia="仿宋" w:cs="仿宋"/>
                <w:b/>
                <w:color w:val="auto"/>
                <w:kern w:val="0"/>
                <w:sz w:val="21"/>
                <w:szCs w:val="21"/>
                <w:highlight w:val="none"/>
              </w:rPr>
              <w:t>)</w:t>
            </w:r>
          </w:p>
        </w:tc>
        <w:tc>
          <w:tcPr>
            <w:tcW w:w="1289" w:type="dxa"/>
            <w:vMerge w:val="restart"/>
            <w:vAlign w:val="center"/>
          </w:tcPr>
          <w:p w14:paraId="218A617F">
            <w:pPr>
              <w:jc w:val="center"/>
              <w:rPr>
                <w:rFonts w:hint="eastAsia" w:ascii="仿宋" w:hAnsi="仿宋" w:eastAsia="仿宋" w:cs="仿宋"/>
                <w:b/>
                <w:color w:val="auto"/>
                <w:kern w:val="0"/>
                <w:sz w:val="21"/>
                <w:szCs w:val="21"/>
                <w:highlight w:val="none"/>
              </w:rPr>
            </w:pPr>
            <w:r>
              <w:rPr>
                <w:rFonts w:hint="eastAsia" w:ascii="仿宋" w:hAnsi="仿宋" w:eastAsia="仿宋" w:cs="仿宋"/>
                <w:b/>
                <w:color w:val="auto"/>
                <w:kern w:val="0"/>
                <w:sz w:val="21"/>
                <w:szCs w:val="21"/>
                <w:highlight w:val="none"/>
              </w:rPr>
              <w:t>涉及乡镇（街道）</w:t>
            </w:r>
          </w:p>
        </w:tc>
        <w:tc>
          <w:tcPr>
            <w:tcW w:w="1269" w:type="dxa"/>
            <w:vMerge w:val="restart"/>
            <w:vAlign w:val="center"/>
          </w:tcPr>
          <w:p w14:paraId="15FAE67F">
            <w:pPr>
              <w:jc w:val="center"/>
              <w:rPr>
                <w:rFonts w:hint="eastAsia" w:ascii="仿宋" w:hAnsi="仿宋" w:eastAsia="仿宋" w:cs="仿宋"/>
                <w:b/>
                <w:color w:val="auto"/>
                <w:kern w:val="0"/>
                <w:sz w:val="21"/>
                <w:szCs w:val="21"/>
                <w:highlight w:val="none"/>
                <w:lang w:val="en-US" w:eastAsia="zh-CN"/>
              </w:rPr>
            </w:pPr>
            <w:r>
              <w:rPr>
                <w:rFonts w:hint="eastAsia" w:ascii="仿宋" w:hAnsi="仿宋" w:eastAsia="仿宋" w:cs="仿宋"/>
                <w:b/>
                <w:color w:val="auto"/>
                <w:kern w:val="0"/>
                <w:sz w:val="21"/>
                <w:szCs w:val="21"/>
                <w:highlight w:val="none"/>
                <w:lang w:val="en-US" w:eastAsia="zh-CN"/>
              </w:rPr>
              <w:t>区域主体功能定位</w:t>
            </w:r>
          </w:p>
        </w:tc>
        <w:tc>
          <w:tcPr>
            <w:tcW w:w="3917" w:type="dxa"/>
            <w:vMerge w:val="restart"/>
            <w:vAlign w:val="center"/>
          </w:tcPr>
          <w:p w14:paraId="5DC96B86">
            <w:pPr>
              <w:jc w:val="center"/>
              <w:rPr>
                <w:rFonts w:hint="eastAsia" w:ascii="仿宋" w:hAnsi="仿宋" w:eastAsia="仿宋" w:cs="仿宋"/>
                <w:b/>
                <w:color w:val="auto"/>
                <w:kern w:val="0"/>
                <w:sz w:val="21"/>
                <w:szCs w:val="21"/>
                <w:highlight w:val="none"/>
                <w:lang w:val="en-US" w:eastAsia="zh-CN"/>
              </w:rPr>
            </w:pPr>
            <w:r>
              <w:rPr>
                <w:rFonts w:hint="eastAsia" w:ascii="仿宋" w:hAnsi="仿宋" w:eastAsia="仿宋" w:cs="仿宋"/>
                <w:b/>
                <w:color w:val="auto"/>
                <w:kern w:val="0"/>
                <w:sz w:val="21"/>
                <w:szCs w:val="21"/>
                <w:highlight w:val="none"/>
                <w:lang w:val="en-US" w:eastAsia="zh-CN"/>
              </w:rPr>
              <w:t>主导产业</w:t>
            </w:r>
            <w:r>
              <w:rPr>
                <w:rFonts w:hint="eastAsia" w:ascii="仿宋" w:hAnsi="仿宋" w:eastAsia="仿宋" w:cs="仿宋"/>
                <w:color w:val="auto"/>
                <w:sz w:val="21"/>
                <w:szCs w:val="21"/>
                <w:highlight w:val="none"/>
                <w:vertAlign w:val="superscript"/>
                <w:lang w:val="en-US" w:eastAsia="zh-CN"/>
              </w:rPr>
              <w:t>②</w:t>
            </w:r>
          </w:p>
        </w:tc>
        <w:tc>
          <w:tcPr>
            <w:tcW w:w="1833" w:type="dxa"/>
            <w:vMerge w:val="restart"/>
            <w:vAlign w:val="center"/>
          </w:tcPr>
          <w:p w14:paraId="0D196BBA">
            <w:pPr>
              <w:jc w:val="center"/>
              <w:rPr>
                <w:rFonts w:hint="eastAsia" w:ascii="仿宋" w:hAnsi="仿宋" w:eastAsia="仿宋" w:cs="仿宋"/>
                <w:b/>
                <w:color w:val="auto"/>
                <w:kern w:val="0"/>
                <w:sz w:val="21"/>
                <w:szCs w:val="21"/>
                <w:highlight w:val="none"/>
                <w:lang w:val="en-US" w:eastAsia="zh-CN"/>
              </w:rPr>
            </w:pPr>
            <w:r>
              <w:rPr>
                <w:rFonts w:hint="eastAsia" w:ascii="仿宋" w:hAnsi="仿宋" w:eastAsia="仿宋" w:cs="仿宋"/>
                <w:b/>
                <w:color w:val="auto"/>
                <w:kern w:val="0"/>
                <w:sz w:val="21"/>
                <w:szCs w:val="21"/>
                <w:highlight w:val="none"/>
              </w:rPr>
              <w:t>主要环境问题</w:t>
            </w:r>
            <w:r>
              <w:rPr>
                <w:rFonts w:hint="eastAsia" w:ascii="仿宋" w:hAnsi="仿宋" w:eastAsia="仿宋" w:cs="仿宋"/>
                <w:b/>
                <w:color w:val="auto"/>
                <w:kern w:val="0"/>
                <w:sz w:val="21"/>
                <w:szCs w:val="21"/>
                <w:highlight w:val="none"/>
                <w:lang w:val="en-US" w:eastAsia="zh-CN"/>
              </w:rPr>
              <w:t>和重要敏感目标</w:t>
            </w:r>
          </w:p>
        </w:tc>
      </w:tr>
      <w:tr w14:paraId="6F80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1144" w:type="dxa"/>
            <w:vMerge w:val="continue"/>
            <w:vAlign w:val="center"/>
          </w:tcPr>
          <w:p w14:paraId="1174B244">
            <w:pPr>
              <w:widowControl/>
              <w:jc w:val="center"/>
              <w:rPr>
                <w:rFonts w:hint="eastAsia" w:ascii="仿宋" w:hAnsi="仿宋" w:eastAsia="仿宋" w:cs="仿宋"/>
                <w:color w:val="auto"/>
                <w:kern w:val="0"/>
                <w:sz w:val="21"/>
                <w:szCs w:val="21"/>
                <w:highlight w:val="none"/>
              </w:rPr>
            </w:pPr>
          </w:p>
        </w:tc>
        <w:tc>
          <w:tcPr>
            <w:tcW w:w="973" w:type="dxa"/>
            <w:vMerge w:val="continue"/>
            <w:vAlign w:val="center"/>
          </w:tcPr>
          <w:p w14:paraId="6F47320B">
            <w:pPr>
              <w:widowControl/>
              <w:jc w:val="center"/>
              <w:rPr>
                <w:rFonts w:hint="eastAsia" w:ascii="仿宋" w:hAnsi="仿宋" w:eastAsia="仿宋" w:cs="仿宋"/>
                <w:color w:val="auto"/>
                <w:kern w:val="0"/>
                <w:sz w:val="21"/>
                <w:szCs w:val="21"/>
                <w:highlight w:val="none"/>
              </w:rPr>
            </w:pPr>
          </w:p>
        </w:tc>
        <w:tc>
          <w:tcPr>
            <w:tcW w:w="604" w:type="dxa"/>
            <w:vAlign w:val="center"/>
          </w:tcPr>
          <w:p w14:paraId="351B1FC4">
            <w:pPr>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省</w:t>
            </w:r>
          </w:p>
        </w:tc>
        <w:tc>
          <w:tcPr>
            <w:tcW w:w="538" w:type="dxa"/>
            <w:vAlign w:val="center"/>
          </w:tcPr>
          <w:p w14:paraId="68DCC456">
            <w:pPr>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市</w:t>
            </w:r>
          </w:p>
        </w:tc>
        <w:tc>
          <w:tcPr>
            <w:tcW w:w="802" w:type="dxa"/>
            <w:vAlign w:val="center"/>
          </w:tcPr>
          <w:p w14:paraId="2299B0BE">
            <w:pPr>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县</w:t>
            </w:r>
          </w:p>
        </w:tc>
        <w:tc>
          <w:tcPr>
            <w:tcW w:w="801" w:type="dxa"/>
            <w:vMerge w:val="continue"/>
            <w:vAlign w:val="center"/>
          </w:tcPr>
          <w:p w14:paraId="789DBCE2">
            <w:pPr>
              <w:jc w:val="center"/>
              <w:rPr>
                <w:rFonts w:hint="eastAsia" w:ascii="仿宋" w:hAnsi="仿宋" w:eastAsia="仿宋" w:cs="仿宋"/>
                <w:color w:val="auto"/>
                <w:sz w:val="21"/>
                <w:szCs w:val="21"/>
                <w:highlight w:val="none"/>
              </w:rPr>
            </w:pPr>
          </w:p>
        </w:tc>
        <w:tc>
          <w:tcPr>
            <w:tcW w:w="1704" w:type="dxa"/>
            <w:vMerge w:val="continue"/>
            <w:vAlign w:val="center"/>
          </w:tcPr>
          <w:p w14:paraId="6E1AC41A">
            <w:pPr>
              <w:jc w:val="center"/>
              <w:rPr>
                <w:rFonts w:hint="eastAsia" w:ascii="仿宋" w:hAnsi="仿宋" w:eastAsia="仿宋" w:cs="仿宋"/>
                <w:color w:val="auto"/>
                <w:sz w:val="21"/>
                <w:szCs w:val="21"/>
                <w:highlight w:val="none"/>
              </w:rPr>
            </w:pPr>
          </w:p>
        </w:tc>
        <w:tc>
          <w:tcPr>
            <w:tcW w:w="1289" w:type="dxa"/>
            <w:vMerge w:val="continue"/>
            <w:vAlign w:val="center"/>
          </w:tcPr>
          <w:p w14:paraId="6F083643">
            <w:pPr>
              <w:jc w:val="center"/>
              <w:rPr>
                <w:rFonts w:hint="eastAsia" w:ascii="仿宋" w:hAnsi="仿宋" w:eastAsia="仿宋" w:cs="仿宋"/>
                <w:color w:val="auto"/>
                <w:sz w:val="21"/>
                <w:szCs w:val="21"/>
                <w:highlight w:val="none"/>
              </w:rPr>
            </w:pPr>
          </w:p>
        </w:tc>
        <w:tc>
          <w:tcPr>
            <w:tcW w:w="1269" w:type="dxa"/>
            <w:vMerge w:val="continue"/>
            <w:vAlign w:val="center"/>
          </w:tcPr>
          <w:p w14:paraId="7F493347">
            <w:pPr>
              <w:jc w:val="center"/>
              <w:rPr>
                <w:rFonts w:hint="eastAsia" w:ascii="仿宋" w:hAnsi="仿宋" w:eastAsia="仿宋" w:cs="仿宋"/>
                <w:color w:val="auto"/>
                <w:sz w:val="21"/>
                <w:szCs w:val="21"/>
                <w:highlight w:val="none"/>
              </w:rPr>
            </w:pPr>
          </w:p>
        </w:tc>
        <w:tc>
          <w:tcPr>
            <w:tcW w:w="3917" w:type="dxa"/>
            <w:vMerge w:val="continue"/>
            <w:vAlign w:val="top"/>
          </w:tcPr>
          <w:p w14:paraId="2A9AAA06">
            <w:pPr>
              <w:jc w:val="center"/>
              <w:rPr>
                <w:rFonts w:hint="eastAsia" w:ascii="仿宋" w:hAnsi="仿宋" w:eastAsia="仿宋" w:cs="仿宋"/>
                <w:color w:val="auto"/>
                <w:sz w:val="21"/>
                <w:szCs w:val="21"/>
                <w:highlight w:val="none"/>
              </w:rPr>
            </w:pPr>
          </w:p>
        </w:tc>
        <w:tc>
          <w:tcPr>
            <w:tcW w:w="1833" w:type="dxa"/>
            <w:vMerge w:val="continue"/>
            <w:vAlign w:val="top"/>
          </w:tcPr>
          <w:p w14:paraId="4D5577B2">
            <w:pPr>
              <w:jc w:val="center"/>
              <w:rPr>
                <w:rFonts w:hint="eastAsia" w:ascii="仿宋" w:hAnsi="仿宋" w:eastAsia="仿宋" w:cs="仿宋"/>
                <w:color w:val="auto"/>
                <w:sz w:val="21"/>
                <w:szCs w:val="21"/>
                <w:highlight w:val="none"/>
              </w:rPr>
            </w:pPr>
          </w:p>
        </w:tc>
      </w:tr>
      <w:tr w14:paraId="7F90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4" w:type="dxa"/>
            <w:vAlign w:val="center"/>
          </w:tcPr>
          <w:p w14:paraId="254004B5">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ZH43122720004</w:t>
            </w:r>
          </w:p>
        </w:tc>
        <w:tc>
          <w:tcPr>
            <w:tcW w:w="973" w:type="dxa"/>
            <w:vAlign w:val="center"/>
          </w:tcPr>
          <w:p w14:paraId="1E2AC4FA">
            <w:pPr>
              <w:jc w:val="center"/>
              <w:rPr>
                <w:rFonts w:hint="eastAsia" w:ascii="仿宋" w:hAnsi="仿宋" w:eastAsia="仿宋" w:cs="仿宋"/>
                <w:color w:val="auto"/>
                <w:sz w:val="21"/>
                <w:szCs w:val="21"/>
                <w:highlight w:val="none"/>
              </w:rPr>
            </w:pPr>
            <w:r>
              <w:rPr>
                <w:rFonts w:hint="eastAsia" w:ascii="仿宋" w:hAnsi="仿宋" w:eastAsia="仿宋" w:cs="仿宋"/>
                <w:b w:val="0"/>
                <w:bCs w:val="0"/>
                <w:color w:val="auto"/>
                <w:kern w:val="2"/>
                <w:sz w:val="21"/>
                <w:szCs w:val="21"/>
                <w:highlight w:val="none"/>
                <w:u w:val="none"/>
                <w:vertAlign w:val="baseline"/>
                <w:lang w:val="en-US" w:eastAsia="zh-CN" w:bidi="ar-SA"/>
              </w:rPr>
              <w:t>新晃产业开发区</w:t>
            </w:r>
          </w:p>
        </w:tc>
        <w:tc>
          <w:tcPr>
            <w:tcW w:w="604" w:type="dxa"/>
            <w:vAlign w:val="center"/>
          </w:tcPr>
          <w:p w14:paraId="0907AEB8">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湖南</w:t>
            </w:r>
            <w:r>
              <w:rPr>
                <w:rFonts w:hint="eastAsia" w:ascii="仿宋" w:hAnsi="仿宋" w:eastAsia="仿宋" w:cs="仿宋"/>
                <w:color w:val="auto"/>
                <w:sz w:val="21"/>
                <w:szCs w:val="21"/>
                <w:highlight w:val="none"/>
                <w:lang w:val="en-US" w:eastAsia="zh-CN"/>
              </w:rPr>
              <w:t>省</w:t>
            </w:r>
          </w:p>
        </w:tc>
        <w:tc>
          <w:tcPr>
            <w:tcW w:w="538" w:type="dxa"/>
            <w:vAlign w:val="center"/>
          </w:tcPr>
          <w:p w14:paraId="30ED5D79">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怀化</w:t>
            </w:r>
            <w:r>
              <w:rPr>
                <w:rFonts w:hint="eastAsia" w:ascii="仿宋" w:hAnsi="仿宋" w:eastAsia="仿宋" w:cs="仿宋"/>
                <w:color w:val="auto"/>
                <w:sz w:val="21"/>
                <w:szCs w:val="21"/>
                <w:highlight w:val="none"/>
                <w:lang w:val="en-US" w:eastAsia="zh-CN"/>
              </w:rPr>
              <w:t>市</w:t>
            </w:r>
          </w:p>
        </w:tc>
        <w:tc>
          <w:tcPr>
            <w:tcW w:w="802" w:type="dxa"/>
            <w:vAlign w:val="center"/>
          </w:tcPr>
          <w:p w14:paraId="7B39AED2">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新晃侗族自治县</w:t>
            </w:r>
          </w:p>
        </w:tc>
        <w:tc>
          <w:tcPr>
            <w:tcW w:w="801" w:type="dxa"/>
            <w:vAlign w:val="center"/>
          </w:tcPr>
          <w:p w14:paraId="7B4F9495">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重点管控单元</w:t>
            </w:r>
          </w:p>
        </w:tc>
        <w:tc>
          <w:tcPr>
            <w:tcW w:w="1704" w:type="dxa"/>
            <w:vAlign w:val="center"/>
          </w:tcPr>
          <w:p w14:paraId="741B9D57">
            <w:pPr>
              <w:numPr>
                <w:ilvl w:val="0"/>
                <w:numId w:val="0"/>
              </w:numPr>
              <w:jc w:val="both"/>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核准范围</w:t>
            </w:r>
            <w:r>
              <w:rPr>
                <w:rFonts w:hint="eastAsia" w:ascii="仿宋" w:hAnsi="仿宋" w:eastAsia="仿宋" w:cs="仿宋"/>
                <w:color w:val="auto"/>
                <w:sz w:val="21"/>
                <w:szCs w:val="21"/>
                <w:highlight w:val="none"/>
                <w:vertAlign w:val="superscript"/>
                <w:lang w:val="en-US" w:eastAsia="zh-CN"/>
              </w:rPr>
              <w:t>①</w:t>
            </w:r>
            <w:r>
              <w:rPr>
                <w:rFonts w:hint="eastAsia" w:ascii="仿宋" w:hAnsi="仿宋" w:eastAsia="仿宋" w:cs="仿宋"/>
                <w:color w:val="auto"/>
                <w:sz w:val="21"/>
                <w:szCs w:val="21"/>
                <w:highlight w:val="none"/>
                <w:lang w:val="en-US" w:eastAsia="zh-CN"/>
              </w:rPr>
              <w:t>：省发改园区〔2022〕601号核定的面积：4.0936</w:t>
            </w:r>
          </w:p>
        </w:tc>
        <w:tc>
          <w:tcPr>
            <w:tcW w:w="1289" w:type="dxa"/>
            <w:vAlign w:val="center"/>
          </w:tcPr>
          <w:p w14:paraId="506992C3">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核准范围（一区</w:t>
            </w:r>
            <w:r>
              <w:rPr>
                <w:rFonts w:hint="eastAsia" w:ascii="仿宋" w:hAnsi="仿宋" w:eastAsia="仿宋" w:cs="仿宋"/>
                <w:color w:val="auto"/>
                <w:sz w:val="21"/>
                <w:szCs w:val="21"/>
                <w:highlight w:val="none"/>
                <w:lang w:val="en-US" w:eastAsia="zh-CN"/>
              </w:rPr>
              <w:t>两</w:t>
            </w:r>
            <w:r>
              <w:rPr>
                <w:rFonts w:hint="eastAsia" w:ascii="仿宋" w:hAnsi="仿宋" w:eastAsia="仿宋" w:cs="仿宋"/>
                <w:color w:val="auto"/>
                <w:sz w:val="21"/>
                <w:szCs w:val="21"/>
                <w:highlight w:val="none"/>
              </w:rPr>
              <w:t>园）：前锋工业园</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区</w:t>
            </w:r>
            <w:r>
              <w:rPr>
                <w:rFonts w:hint="eastAsia" w:ascii="仿宋" w:hAnsi="仿宋" w:eastAsia="仿宋" w:cs="仿宋"/>
                <w:color w:val="auto"/>
                <w:sz w:val="21"/>
                <w:szCs w:val="21"/>
                <w:highlight w:val="none"/>
              </w:rPr>
              <w:t>柏树林片区涉及晃州镇</w:t>
            </w:r>
          </w:p>
        </w:tc>
        <w:tc>
          <w:tcPr>
            <w:tcW w:w="1269" w:type="dxa"/>
            <w:vAlign w:val="center"/>
          </w:tcPr>
          <w:p w14:paraId="35DE3646">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国家重点</w:t>
            </w:r>
          </w:p>
          <w:p w14:paraId="3ECB5B8D">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生态功能</w:t>
            </w:r>
          </w:p>
          <w:p w14:paraId="1A50343B">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区；新晃镇</w:t>
            </w:r>
          </w:p>
          <w:p w14:paraId="416AA7EB">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（并入晃州镇）：重点建制镇</w:t>
            </w:r>
          </w:p>
        </w:tc>
        <w:tc>
          <w:tcPr>
            <w:tcW w:w="3917" w:type="dxa"/>
            <w:vAlign w:val="center"/>
          </w:tcPr>
          <w:p w14:paraId="1C5729C7">
            <w:pPr>
              <w:jc w:val="left"/>
              <w:rPr>
                <w:rFonts w:hint="eastAsia" w:ascii="仿宋" w:hAnsi="仿宋" w:eastAsia="仿宋" w:cs="仿宋"/>
                <w:color w:val="auto"/>
                <w:sz w:val="21"/>
                <w:szCs w:val="21"/>
                <w:highlight w:val="none"/>
                <w:lang w:eastAsia="zh-CN"/>
              </w:rPr>
            </w:pPr>
            <w:r>
              <w:rPr>
                <w:rFonts w:hint="eastAsia" w:ascii="仿宋" w:hAnsi="仿宋" w:eastAsia="仿宋" w:cs="仿宋"/>
                <w:b/>
                <w:bCs/>
                <w:color w:val="auto"/>
                <w:sz w:val="21"/>
                <w:szCs w:val="21"/>
                <w:highlight w:val="none"/>
              </w:rPr>
              <w:t>六部委公告2018年第4号：</w:t>
            </w:r>
            <w:r>
              <w:rPr>
                <w:rFonts w:hint="eastAsia" w:ascii="仿宋" w:hAnsi="仿宋" w:eastAsia="仿宋" w:cs="仿宋"/>
                <w:color w:val="auto"/>
                <w:sz w:val="21"/>
                <w:szCs w:val="21"/>
                <w:highlight w:val="none"/>
              </w:rPr>
              <w:t>农副食品、非金属矿物制品、电气机械</w:t>
            </w:r>
            <w:r>
              <w:rPr>
                <w:rFonts w:hint="eastAsia" w:ascii="仿宋" w:hAnsi="仿宋" w:eastAsia="仿宋" w:cs="仿宋"/>
                <w:color w:val="auto"/>
                <w:sz w:val="21"/>
                <w:szCs w:val="21"/>
                <w:highlight w:val="none"/>
                <w:lang w:eastAsia="zh-CN"/>
              </w:rPr>
              <w:t>；</w:t>
            </w:r>
          </w:p>
          <w:p w14:paraId="79DE0317">
            <w:pPr>
              <w:jc w:val="left"/>
              <w:rPr>
                <w:rFonts w:hint="eastAsia" w:ascii="仿宋" w:hAnsi="仿宋" w:eastAsia="仿宋" w:cs="仿宋"/>
                <w:color w:val="auto"/>
                <w:sz w:val="21"/>
                <w:szCs w:val="21"/>
                <w:highlight w:val="none"/>
                <w:lang w:eastAsia="zh-CN"/>
              </w:rPr>
            </w:pPr>
            <w:r>
              <w:rPr>
                <w:rFonts w:hint="eastAsia" w:ascii="仿宋" w:hAnsi="仿宋" w:eastAsia="仿宋" w:cs="仿宋"/>
                <w:b/>
                <w:bCs/>
                <w:color w:val="auto"/>
                <w:sz w:val="21"/>
                <w:szCs w:val="21"/>
                <w:highlight w:val="none"/>
                <w:lang w:val="en-US" w:eastAsia="zh-CN"/>
              </w:rPr>
              <w:t>湘发改地区〔2021〕394号</w:t>
            </w:r>
            <w:r>
              <w:rPr>
                <w:rFonts w:hint="eastAsia" w:ascii="仿宋" w:hAnsi="仿宋" w:eastAsia="仿宋" w:cs="仿宋"/>
                <w:color w:val="auto"/>
                <w:sz w:val="21"/>
                <w:szCs w:val="21"/>
                <w:highlight w:val="none"/>
                <w:lang w:val="en-US" w:eastAsia="zh-CN"/>
              </w:rPr>
              <w:t>：新金属材料、精细化工（含生物医药）</w:t>
            </w:r>
            <w:r>
              <w:rPr>
                <w:rFonts w:hint="eastAsia" w:ascii="仿宋" w:hAnsi="仿宋" w:eastAsia="仿宋" w:cs="仿宋"/>
                <w:color w:val="auto"/>
                <w:sz w:val="21"/>
                <w:szCs w:val="21"/>
                <w:highlight w:val="none"/>
                <w:lang w:eastAsia="zh-CN"/>
              </w:rPr>
              <w:t>；</w:t>
            </w:r>
          </w:p>
          <w:p w14:paraId="7EC3BCDF">
            <w:pPr>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湘环评函〔20</w:t>
            </w:r>
            <w:r>
              <w:rPr>
                <w:rFonts w:hint="eastAsia" w:ascii="仿宋" w:hAnsi="仿宋" w:eastAsia="仿宋" w:cs="仿宋"/>
                <w:b/>
                <w:bCs/>
                <w:color w:val="auto"/>
                <w:sz w:val="21"/>
                <w:szCs w:val="21"/>
                <w:highlight w:val="none"/>
                <w:lang w:val="en-US" w:eastAsia="zh-CN"/>
              </w:rPr>
              <w:t>21</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32</w:t>
            </w:r>
            <w:r>
              <w:rPr>
                <w:rFonts w:hint="eastAsia" w:ascii="仿宋" w:hAnsi="仿宋" w:eastAsia="仿宋" w:cs="仿宋"/>
                <w:b/>
                <w:bCs/>
                <w:color w:val="auto"/>
                <w:sz w:val="21"/>
                <w:szCs w:val="21"/>
                <w:highlight w:val="none"/>
              </w:rPr>
              <w:t>号：</w:t>
            </w:r>
            <w:r>
              <w:rPr>
                <w:rFonts w:hint="eastAsia" w:ascii="仿宋" w:hAnsi="仿宋" w:eastAsia="仿宋" w:cs="仿宋"/>
                <w:color w:val="auto"/>
                <w:sz w:val="21"/>
                <w:szCs w:val="21"/>
                <w:highlight w:val="none"/>
              </w:rPr>
              <w:t>前锋工业园：</w:t>
            </w:r>
            <w:r>
              <w:rPr>
                <w:rFonts w:hint="eastAsia" w:ascii="仿宋" w:hAnsi="仿宋" w:eastAsia="仿宋" w:cs="仿宋"/>
                <w:color w:val="auto"/>
                <w:sz w:val="21"/>
                <w:szCs w:val="21"/>
                <w:highlight w:val="none"/>
                <w:lang w:val="en-US" w:eastAsia="zh-CN"/>
              </w:rPr>
              <w:t>化工、金属材料、新能源及装备制造产业、配套发展轻工电子信息产业</w:t>
            </w:r>
            <w:r>
              <w:rPr>
                <w:rFonts w:hint="eastAsia" w:ascii="仿宋" w:hAnsi="仿宋" w:eastAsia="仿宋" w:cs="仿宋"/>
                <w:color w:val="auto"/>
                <w:sz w:val="21"/>
                <w:szCs w:val="21"/>
                <w:highlight w:val="none"/>
              </w:rPr>
              <w:t>；</w:t>
            </w:r>
          </w:p>
          <w:p w14:paraId="5515E15A">
            <w:pPr>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柏树林片区：</w:t>
            </w:r>
            <w:r>
              <w:rPr>
                <w:rFonts w:hint="eastAsia" w:ascii="仿宋" w:hAnsi="仿宋" w:eastAsia="仿宋" w:cs="仿宋"/>
                <w:b w:val="0"/>
                <w:bCs w:val="0"/>
                <w:color w:val="auto"/>
                <w:sz w:val="21"/>
                <w:szCs w:val="21"/>
                <w:highlight w:val="none"/>
                <w:lang w:val="en-US" w:eastAsia="zh-CN"/>
              </w:rPr>
              <w:t>农产品深加工。</w:t>
            </w:r>
          </w:p>
        </w:tc>
        <w:tc>
          <w:tcPr>
            <w:tcW w:w="1833" w:type="dxa"/>
            <w:vAlign w:val="center"/>
          </w:tcPr>
          <w:p w14:paraId="30DCBE4A">
            <w:pPr>
              <w:widowControl/>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1、涉重企业紧邻舞水，有一定的环境风险</w:t>
            </w:r>
          </w:p>
          <w:p w14:paraId="21EABABD">
            <w:pPr>
              <w:jc w:val="left"/>
              <w:rPr>
                <w:rFonts w:hint="default"/>
                <w:color w:val="auto"/>
                <w:sz w:val="21"/>
                <w:szCs w:val="21"/>
                <w:highlight w:val="none"/>
                <w:lang w:val="en-US" w:eastAsia="zh-CN"/>
              </w:rPr>
            </w:pPr>
            <w:r>
              <w:rPr>
                <w:rFonts w:hint="eastAsia" w:ascii="仿宋" w:hAnsi="仿宋" w:eastAsia="仿宋" w:cs="仿宋"/>
                <w:color w:val="auto"/>
                <w:sz w:val="21"/>
                <w:szCs w:val="21"/>
                <w:highlight w:val="none"/>
                <w:lang w:val="en-US" w:eastAsia="zh-CN"/>
              </w:rPr>
              <w:t>2、前锋工业园与鱼市镇镇区最近距离约为848米</w:t>
            </w:r>
          </w:p>
        </w:tc>
      </w:tr>
      <w:tr w14:paraId="03D6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4" w:type="dxa"/>
            <w:vAlign w:val="center"/>
          </w:tcPr>
          <w:p w14:paraId="11A275F4">
            <w:pPr>
              <w:widowControl/>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管控维度</w:t>
            </w:r>
          </w:p>
        </w:tc>
        <w:tc>
          <w:tcPr>
            <w:tcW w:w="6711" w:type="dxa"/>
            <w:gridSpan w:val="7"/>
            <w:vAlign w:val="center"/>
          </w:tcPr>
          <w:p w14:paraId="5E7FDA07">
            <w:pPr>
              <w:spacing w:line="280" w:lineRule="exact"/>
              <w:jc w:val="center"/>
              <w:rPr>
                <w:rFonts w:hint="eastAsia" w:ascii="仿宋" w:hAnsi="仿宋" w:eastAsia="仿宋" w:cs="仿宋"/>
                <w:b/>
                <w:color w:val="auto"/>
                <w:sz w:val="21"/>
                <w:szCs w:val="21"/>
                <w:highlight w:val="none"/>
              </w:rPr>
            </w:pPr>
            <w:r>
              <w:rPr>
                <w:rFonts w:hint="eastAsia" w:ascii="仿宋" w:hAnsi="仿宋" w:eastAsia="仿宋" w:cs="仿宋"/>
                <w:b/>
                <w:color w:val="auto"/>
                <w:kern w:val="0"/>
                <w:sz w:val="21"/>
                <w:szCs w:val="21"/>
                <w:highlight w:val="none"/>
              </w:rPr>
              <w:t>管控要求</w:t>
            </w:r>
          </w:p>
        </w:tc>
        <w:tc>
          <w:tcPr>
            <w:tcW w:w="7019" w:type="dxa"/>
            <w:gridSpan w:val="3"/>
            <w:vAlign w:val="center"/>
          </w:tcPr>
          <w:p w14:paraId="349427C7">
            <w:pPr>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编制依据</w:t>
            </w:r>
          </w:p>
        </w:tc>
      </w:tr>
      <w:tr w14:paraId="1EA5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4" w:type="dxa"/>
            <w:vAlign w:val="center"/>
          </w:tcPr>
          <w:p w14:paraId="100FE125">
            <w:pPr>
              <w:widowControl/>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空间布局约束</w:t>
            </w:r>
          </w:p>
        </w:tc>
        <w:tc>
          <w:tcPr>
            <w:tcW w:w="6711" w:type="dxa"/>
            <w:gridSpan w:val="7"/>
            <w:vAlign w:val="center"/>
          </w:tcPr>
          <w:p w14:paraId="5737A852">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（1.1）集中区引进企业应当符合“新晃县产业准入负面清单”的有关规定。</w:t>
            </w:r>
          </w:p>
          <w:p w14:paraId="0FA4144C">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w:t>
            </w:r>
            <w:r>
              <w:rPr>
                <w:rFonts w:hint="eastAsia" w:ascii="仿宋" w:hAnsi="仿宋" w:eastAsia="仿宋" w:cs="仿宋"/>
                <w:color w:val="auto"/>
                <w:sz w:val="21"/>
                <w:szCs w:val="21"/>
                <w:highlight w:val="none"/>
                <w:lang w:eastAsia="zh-CN"/>
              </w:rPr>
              <w:t>柏树林片区</w:t>
            </w:r>
            <w:r>
              <w:rPr>
                <w:rFonts w:hint="eastAsia" w:ascii="仿宋" w:hAnsi="仿宋" w:eastAsia="仿宋" w:cs="仿宋"/>
                <w:color w:val="auto"/>
                <w:sz w:val="21"/>
                <w:szCs w:val="21"/>
                <w:highlight w:val="none"/>
              </w:rPr>
              <w:t>靠近黄家垅省级森林公园区域布设污染程度较轻的一类工业；前锋工业园以气型污染为主的企业布局应远离鱼市镇镇区</w:t>
            </w:r>
            <w:r>
              <w:rPr>
                <w:rFonts w:hint="eastAsia" w:ascii="仿宋" w:hAnsi="仿宋" w:eastAsia="仿宋" w:cs="仿宋"/>
                <w:color w:val="auto"/>
                <w:sz w:val="21"/>
                <w:szCs w:val="21"/>
                <w:highlight w:val="none"/>
                <w:lang w:eastAsia="zh-CN"/>
              </w:rPr>
              <w:t>，地方政府及相关部门应严格控制镇区向西边园区方向扩张，加强镇区与园区之间地带的绿化建设。</w:t>
            </w:r>
          </w:p>
        </w:tc>
        <w:tc>
          <w:tcPr>
            <w:tcW w:w="7019" w:type="dxa"/>
            <w:gridSpan w:val="3"/>
            <w:vMerge w:val="restart"/>
            <w:vAlign w:val="center"/>
          </w:tcPr>
          <w:p w14:paraId="7CD7F6A7">
            <w:pPr>
              <w:widowControl/>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关于发布湖南省省级及以上产业园区边界面积及四至范围目录的通知</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（省发改园区</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2022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601号）；</w:t>
            </w:r>
          </w:p>
          <w:p w14:paraId="5DA2D9FF">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（1.1）《湖南省新增19个国家重点生态功能区产业准入负面清单（试行）》（湘发改规划〔2018〕972号）；</w:t>
            </w:r>
          </w:p>
          <w:p w14:paraId="17C03C2B">
            <w:pPr>
              <w:keepNext w:val="0"/>
              <w:keepLines w:val="0"/>
              <w:pageBreakBefore w:val="0"/>
              <w:widowControl w:val="0"/>
              <w:tabs>
                <w:tab w:val="left" w:pos="1021"/>
              </w:tabs>
              <w:kinsoku/>
              <w:wordWrap/>
              <w:overflowPunct/>
              <w:topLinePunct w:val="0"/>
              <w:autoSpaceDE/>
              <w:autoSpaceDN/>
              <w:bidi w:val="0"/>
              <w:adjustRightInd/>
              <w:snapToGrid/>
              <w:ind w:left="0" w:leftChars="0" w:right="0" w:rightChars="0" w:firstLine="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关于</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湖南省新晃工业集中区调扩区规划环境影响报告书</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审查意见的函（湘环评函〔2021〕32号）中“柏树林工业园靠近黄家垅省级森林公园区域布设污染程度较轻的一类工业；前锋工业园应优化布局，园区化工片区的设置应遵守《长江保护法》、《长江经济带发展负面清单》及其相关条款的修订和释义要求，后续法律法规及相关政策有新的禁止和限制性要求的，应严格予以执行。前锋工业园以气型污染为主的企业布局应远离鱼市镇镇区，地方政府及相关部门应严格控制镇区向西边园区方向扩张，加强镇区与园区之间地带的绿化建设。”；</w:t>
            </w:r>
          </w:p>
          <w:p w14:paraId="23FDF7D5">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2.1.2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关于</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湖南省新晃工业集中区调扩区规划环境影响报告书</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审查意见的函（湘环评函〔2021〕32号）中“前锋工业园污水统一排入鱼市镇工业园污水处理厂，该污水处理厂应尽快完成提质改造，使尾水排放达到《城镇污水处理厂污染物排放标准》（GB18918-2002）一级A 标准。柏树林工业园污水统一排入新晃县城市污水处理厂，经处理后达到《城镇污水处理厂污染物排放标准》（GB18918-2002）一级A标准后排入舞水。”《怀化市环境保护局关于对新晃县污水处理有限公司新晃县城污水处理及提质改造工程环境影响报告表的批复》（怀环审［2015］53号）中“本项目改扩建完成后尾水排放利用一期工程已建排水管道及排口，不涉及排污管道、排污口工程，仅对截污干管进行局部改造。”</w:t>
            </w:r>
          </w:p>
          <w:p w14:paraId="19A66517">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（2.2.1）（2.3）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2.4</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（4.1.1）《湖南省环境保护厅关于湖南省新晃工业集中区环境影响报告书的批复意见》（湘环评函〔2014〕16号）；</w:t>
            </w:r>
          </w:p>
          <w:p w14:paraId="1C7B2FF0">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2.2.3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关于</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湖南省新晃工业集中区调扩区规划环境影响报告书</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审查意见的函（湘环评函〔2021〕32号）中“（三）落实管控措施，园区应加强大气污染防治，特别是对重点排放企业的监管，采取有效措施减少污染物排放总量，严格控制无组织排放，园区内禁止新建10蒸吨/时及以下燃煤锅炉。”</w:t>
            </w:r>
          </w:p>
          <w:p w14:paraId="2FC2017D">
            <w:pPr>
              <w:pStyle w:val="6"/>
              <w:spacing w:after="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）《湖南省生态环境厅关于执行污染物特别排放限值（第一批）的公告》；</w:t>
            </w:r>
          </w:p>
          <w:p w14:paraId="7115CC49">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（2.2.2）《新晃县污染防治攻坚战三年行动计划（2018—2020年）》（晃环委办函〔2018〕18号）；</w:t>
            </w:r>
          </w:p>
          <w:p w14:paraId="0CFCFB7F">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（3.1）《新晃侗族自治县工业集中区突发环境事件应急预案》（43122720</w:t>
            </w:r>
            <w:r>
              <w:rPr>
                <w:rFonts w:hint="eastAsia" w:ascii="仿宋" w:hAnsi="仿宋" w:eastAsia="仿宋" w:cs="仿宋"/>
                <w:color w:val="auto"/>
                <w:sz w:val="21"/>
                <w:szCs w:val="21"/>
                <w:highlight w:val="none"/>
                <w:lang w:val="en-US" w:eastAsia="zh-CN"/>
              </w:rPr>
              <w:t>22004</w:t>
            </w:r>
            <w:r>
              <w:rPr>
                <w:rFonts w:hint="eastAsia" w:ascii="仿宋" w:hAnsi="仿宋" w:eastAsia="仿宋" w:cs="仿宋"/>
                <w:color w:val="auto"/>
                <w:sz w:val="21"/>
                <w:szCs w:val="21"/>
                <w:highlight w:val="none"/>
              </w:rPr>
              <w:t>G）；</w:t>
            </w:r>
          </w:p>
          <w:p w14:paraId="128C2249">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（3.2）《企业事业单位突发环境事件应急预案备案管理办法》（环发〔2015〕4号）；</w:t>
            </w:r>
          </w:p>
          <w:p w14:paraId="0CC56521">
            <w:pPr>
              <w:widowControl/>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（3.3）（3.4）《怀化市土壤污染防治行动计划》（怀政发〔2017〕5号）；</w:t>
            </w:r>
          </w:p>
          <w:p w14:paraId="5E861F19">
            <w:pPr>
              <w:tabs>
                <w:tab w:val="left" w:pos="1021"/>
              </w:tabs>
              <w:ind w:right="45" w:rightChars="16"/>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3.4</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关于</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湖南省新晃工业集中区调扩区规划环境影响报告书</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审查意见的函（湘环评函〔2021〕32号）中“（五）强化风险管控，严防园区环境事故。重点做好主要涉重涉化企业以及前锋工业园污水处理厂的风险防控，该污水处理厂后期改扩建选址应位于滨河南侧远离舞水河一侧，并设置相应容积的事故应急池，有效防范废水事故直排。”；</w:t>
            </w:r>
          </w:p>
          <w:p w14:paraId="7794B981">
            <w:pPr>
              <w:tabs>
                <w:tab w:val="left" w:pos="1021"/>
              </w:tabs>
              <w:ind w:right="45" w:rightChars="1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（4.1.2）《怀化市“十三五”节能减排综合工作方案》（怀环委办发〔2018〕6号）；</w:t>
            </w:r>
          </w:p>
          <w:p w14:paraId="525FDED0">
            <w:pPr>
              <w:tabs>
                <w:tab w:val="left" w:pos="1021"/>
              </w:tabs>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（4.1.3）</w:t>
            </w:r>
            <w:r>
              <w:rPr>
                <w:rFonts w:hint="eastAsia" w:ascii="仿宋" w:hAnsi="仿宋" w:eastAsia="仿宋" w:cs="仿宋"/>
                <w:color w:val="auto"/>
                <w:sz w:val="21"/>
                <w:szCs w:val="21"/>
                <w:highlight w:val="none"/>
                <w:lang w:val="en-US" w:eastAsia="zh-CN"/>
              </w:rPr>
              <w:t>国家发展改革委等部门关于发布《高耗能行业重点领域能效标杆水平和基准水平（2021）版》的通知（发改产业〔2021〕1609号）、国家发展改革委等部门关于发布《煤炭清洁高效利用重点领域标杆水平和基准水平（2022年版）》的通知（发改运行〔2022〕559号）；</w:t>
            </w:r>
          </w:p>
          <w:p w14:paraId="00FACBFC">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修改原因依据：原有指标依据停止执行，根据《湖南省发展和改革委员会关于落实审计整改要求进一步加强节能审查工作的通知》（发改运行〔2022〕559号）（湘发改环资〔2022〕668号）中内容“一、暂停实施区域节能评估审查，经报请省人民政府同意，暂停实施区域节能评估审查。自本通知印发之日起，园区新上项目严格按照《固定资产投资项目节能审查办法》（国家发展和改革委员会令2016年第44号）、《湖南省固定资产投资项目节能审查实施办法》（湘发改环资〔2018〕449号）、《关于印发&lt;不单独进行节能审查的行业目录&gt;的通知》（发改环资规〔2017〕1975号）等要求开展节能审查。各市州发展改革部门要切实履行节能审查职责，严格把关，对拟上“两高”项目要求深入论证，坚决遏制高耗能高排放低水平项目盲目上马。严禁未批先建和违规建设。”</w:t>
            </w:r>
            <w:r>
              <w:rPr>
                <w:rFonts w:hint="default" w:ascii="Times New Roman" w:hAnsi="Times New Roman" w:eastAsia="仿宋" w:cs="Times New Roman"/>
                <w:color w:val="auto"/>
                <w:sz w:val="21"/>
                <w:szCs w:val="21"/>
                <w:highlight w:val="none"/>
              </w:rPr>
              <w:t>；</w:t>
            </w:r>
          </w:p>
          <w:p w14:paraId="367E0FEA">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（4.2.1）《湖南省新晃工业集中区环境影响报告书》（2013年12月）</w:t>
            </w:r>
          </w:p>
          <w:p w14:paraId="4CD38DE4">
            <w:pPr>
              <w:tabs>
                <w:tab w:val="left" w:pos="1021"/>
              </w:tabs>
              <w:ind w:right="45" w:rightChars="16"/>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rPr>
              <w:t>（4.2.2）</w:t>
            </w:r>
            <w:r>
              <w:rPr>
                <w:rFonts w:hint="eastAsia" w:ascii="仿宋" w:hAnsi="仿宋" w:eastAsia="仿宋" w:cs="仿宋"/>
                <w:color w:val="auto"/>
                <w:sz w:val="21"/>
                <w:szCs w:val="21"/>
                <w:highlight w:val="none"/>
                <w:lang w:val="en-US" w:eastAsia="zh-CN"/>
              </w:rPr>
              <w:t>《怀化市水利局、怀化市发展和改革委员会关于印发“十四五”用水量和强度双控目标的通知》（怀水发</w:t>
            </w:r>
            <w:r>
              <w:rPr>
                <w:rFonts w:hint="eastAsia" w:ascii="仿宋" w:hAnsi="仿宋" w:eastAsia="仿宋" w:cs="仿宋"/>
                <w:color w:val="auto"/>
                <w:sz w:val="21"/>
                <w:szCs w:val="21"/>
                <w:highlight w:val="none"/>
              </w:rPr>
              <w:t>〔20</w:t>
            </w:r>
            <w:r>
              <w:rPr>
                <w:rFonts w:hint="eastAsia" w:ascii="仿宋" w:hAnsi="仿宋" w:eastAsia="仿宋" w:cs="仿宋"/>
                <w:color w:val="auto"/>
                <w:sz w:val="21"/>
                <w:szCs w:val="21"/>
                <w:highlight w:val="none"/>
                <w:lang w:val="en-US" w:eastAsia="zh-CN"/>
              </w:rPr>
              <w:t>22</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9</w:t>
            </w:r>
            <w:r>
              <w:rPr>
                <w:rFonts w:hint="eastAsia" w:ascii="仿宋" w:hAnsi="仿宋" w:eastAsia="仿宋" w:cs="仿宋"/>
                <w:color w:val="auto"/>
                <w:sz w:val="21"/>
                <w:szCs w:val="21"/>
                <w:highlight w:val="none"/>
              </w:rPr>
              <w:t>号</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lang w:eastAsia="zh-CN"/>
              </w:rPr>
              <w:t>附件。</w:t>
            </w:r>
          </w:p>
          <w:p w14:paraId="16D80320">
            <w:pPr>
              <w:tabs>
                <w:tab w:val="left" w:pos="1021"/>
              </w:tabs>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（4.3.1）《湖南省人民政府关于进一步加强节约集约用地的意见》（湘政发〔2016〕10号）。</w:t>
            </w:r>
          </w:p>
          <w:p w14:paraId="7479F319">
            <w:pPr>
              <w:tabs>
                <w:tab w:val="left" w:pos="1021"/>
              </w:tabs>
              <w:ind w:right="199" w:rightChars="71"/>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（4.3.2）《湖南省新晃工业集中区控制性前戏规划》。</w:t>
            </w:r>
          </w:p>
        </w:tc>
      </w:tr>
      <w:tr w14:paraId="53AC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4" w:type="dxa"/>
            <w:vAlign w:val="center"/>
          </w:tcPr>
          <w:p w14:paraId="464AA272">
            <w:pPr>
              <w:widowControl/>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污染物排放管控</w:t>
            </w:r>
          </w:p>
        </w:tc>
        <w:tc>
          <w:tcPr>
            <w:tcW w:w="6711" w:type="dxa"/>
            <w:gridSpan w:val="7"/>
            <w:vAlign w:val="top"/>
          </w:tcPr>
          <w:p w14:paraId="162CBA24">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（2.1）废水：</w:t>
            </w:r>
          </w:p>
          <w:p w14:paraId="75CBF77D">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（2.1.</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）集中区排水实施雨污分流。柏树林工业园污水依托新晃县城污水处理厂处理，处理达标后排入㵲水；前锋工业园污水纳入鱼市镇工业园区污水处理厂处理，处理达标后排入㵲水。</w:t>
            </w:r>
          </w:p>
          <w:p w14:paraId="4665A119">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2.1.2</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柏树林工业园雨水</w:t>
            </w:r>
            <w:r>
              <w:rPr>
                <w:rFonts w:hint="eastAsia" w:ascii="仿宋" w:hAnsi="仿宋" w:eastAsia="仿宋" w:cs="仿宋"/>
                <w:color w:val="auto"/>
                <w:sz w:val="21"/>
                <w:szCs w:val="21"/>
                <w:highlight w:val="none"/>
                <w:lang w:eastAsia="zh-CN"/>
              </w:rPr>
              <w:t>按重力流自流就近排入水体；</w:t>
            </w:r>
            <w:r>
              <w:rPr>
                <w:rFonts w:hint="eastAsia" w:ascii="仿宋" w:hAnsi="仿宋" w:eastAsia="仿宋" w:cs="仿宋"/>
                <w:color w:val="auto"/>
                <w:sz w:val="21"/>
                <w:szCs w:val="21"/>
                <w:highlight w:val="none"/>
              </w:rPr>
              <w:t>前锋工业园雨水</w:t>
            </w:r>
            <w:r>
              <w:rPr>
                <w:rFonts w:hint="eastAsia" w:ascii="仿宋" w:hAnsi="仿宋" w:eastAsia="仿宋" w:cs="仿宋"/>
                <w:color w:val="auto"/>
                <w:sz w:val="21"/>
                <w:szCs w:val="21"/>
                <w:highlight w:val="none"/>
                <w:lang w:eastAsia="zh-CN"/>
              </w:rPr>
              <w:t>按重力流自流就近排入水体。</w:t>
            </w:r>
          </w:p>
          <w:p w14:paraId="786EBF81">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（2.2）废气：</w:t>
            </w:r>
          </w:p>
          <w:p w14:paraId="15BE021F">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2.2.1）建立集中区清洁生产管理考核机制，对各企业工艺废气产出的生产节点，应配置废气收集与处理净化装置，确保达标排放；加强生产工艺研究与技术改进，采取有效措施，减少入园企业工艺废气的无组织排放</w:t>
            </w:r>
          </w:p>
          <w:p w14:paraId="13F02DD6">
            <w:p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（2.2.2）强化工业污染治理与监管，加快推进家具制造、电动车制造（含工业涂装）等行业企业挥发性有机物（VOCs）综合治理。</w:t>
            </w:r>
          </w:p>
          <w:p w14:paraId="23BAF3F5">
            <w:pPr>
              <w:ind w:left="0" w:leftChars="0" w:firstLine="0" w:firstLineChars="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2.2.3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园区应加强大气污染防治，特别是对重点排放企业的监管，采取有效措施减少污染物排放总量，严格控制无组织排放，园区内禁止新建10蒸吨/时及以下燃煤锅炉。</w:t>
            </w:r>
          </w:p>
          <w:p w14:paraId="1B112258">
            <w:pPr>
              <w:ind w:left="0" w:leftChars="0" w:firstLine="0" w:firstLineChars="0"/>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（2.3）固体废弃物：</w:t>
            </w:r>
            <w:r>
              <w:rPr>
                <w:rFonts w:hint="eastAsia" w:ascii="仿宋_GB2312" w:hAnsi="仿宋_GB2312" w:eastAsia="仿宋_GB2312" w:cs="仿宋_GB2312"/>
                <w:color w:val="auto"/>
                <w:sz w:val="21"/>
                <w:szCs w:val="21"/>
                <w:highlight w:val="none"/>
              </w:rPr>
              <w:t>采取全流程管控措施，建立园区固废规范化管理体系，做好工业固体废物和生活垃圾的分类收集、转运、综合利用和无害化处理。对各类工业企业产生固体废物特别是危险固废应严格按照国家有关规定综合利用或妥善处置，对危险废物产生企业和经营单位，强化日常环境监管。</w:t>
            </w:r>
          </w:p>
        </w:tc>
        <w:tc>
          <w:tcPr>
            <w:tcW w:w="7019" w:type="dxa"/>
            <w:gridSpan w:val="3"/>
            <w:vMerge w:val="continue"/>
            <w:vAlign w:val="center"/>
          </w:tcPr>
          <w:p w14:paraId="67B3B691">
            <w:pPr>
              <w:tabs>
                <w:tab w:val="left" w:pos="1021"/>
              </w:tabs>
              <w:ind w:left="135" w:leftChars="48" w:right="199" w:rightChars="71" w:hanging="1"/>
              <w:rPr>
                <w:rFonts w:hint="eastAsia" w:ascii="仿宋" w:hAnsi="仿宋" w:eastAsia="仿宋" w:cs="仿宋"/>
                <w:color w:val="auto"/>
                <w:sz w:val="21"/>
                <w:szCs w:val="21"/>
                <w:highlight w:val="none"/>
              </w:rPr>
            </w:pPr>
          </w:p>
        </w:tc>
      </w:tr>
      <w:tr w14:paraId="2AF7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4" w:type="dxa"/>
            <w:vAlign w:val="center"/>
          </w:tcPr>
          <w:p w14:paraId="26D08FC7">
            <w:pPr>
              <w:widowControl/>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环境风险防控</w:t>
            </w:r>
          </w:p>
        </w:tc>
        <w:tc>
          <w:tcPr>
            <w:tcW w:w="6711" w:type="dxa"/>
            <w:gridSpan w:val="7"/>
            <w:vAlign w:val="center"/>
          </w:tcPr>
          <w:p w14:paraId="53F6E667">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（3.1）</w:t>
            </w:r>
            <w:r>
              <w:rPr>
                <w:rFonts w:hint="eastAsia" w:ascii="仿宋" w:hAnsi="仿宋" w:eastAsia="仿宋" w:cs="仿宋"/>
                <w:color w:val="auto"/>
                <w:sz w:val="21"/>
                <w:szCs w:val="21"/>
                <w:highlight w:val="none"/>
                <w:lang w:eastAsia="zh-CN"/>
              </w:rPr>
              <w:t>集中区</w:t>
            </w:r>
            <w:r>
              <w:rPr>
                <w:rFonts w:hint="eastAsia" w:ascii="仿宋" w:hAnsi="仿宋" w:eastAsia="仿宋" w:cs="仿宋"/>
                <w:color w:val="auto"/>
                <w:sz w:val="21"/>
                <w:szCs w:val="21"/>
                <w:highlight w:val="none"/>
              </w:rPr>
              <w:t>应建立健全环境风险防控体系，加强区内重要风险源管控。加强</w:t>
            </w:r>
            <w:r>
              <w:rPr>
                <w:rFonts w:hint="eastAsia" w:ascii="仿宋" w:hAnsi="仿宋" w:eastAsia="仿宋" w:cs="仿宋"/>
                <w:color w:val="auto"/>
                <w:sz w:val="21"/>
                <w:szCs w:val="21"/>
                <w:highlight w:val="none"/>
                <w:lang w:eastAsia="zh-CN"/>
              </w:rPr>
              <w:t>集中区</w:t>
            </w:r>
            <w:r>
              <w:rPr>
                <w:rFonts w:hint="eastAsia" w:ascii="仿宋" w:hAnsi="仿宋" w:eastAsia="仿宋" w:cs="仿宋"/>
                <w:color w:val="auto"/>
                <w:sz w:val="21"/>
                <w:szCs w:val="21"/>
                <w:highlight w:val="none"/>
              </w:rPr>
              <w:t>危险化学品储运的环境风险管理，严格落实应急响应联动机制，确保区域环境安全。强化环境监督管理，根据新晃侗族自治县工业集中区突发环境事件应急预案要求，健全环境风险事故防范措施，严防环境风险事故发生。</w:t>
            </w:r>
          </w:p>
          <w:p w14:paraId="68E8885C">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集中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w:t>
            </w:r>
          </w:p>
          <w:p w14:paraId="1CE67139">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（3.3）建设用地土壤风险防控：加强对建设用地土壤环境状况调查、风险评估和污染地块治理与修复活动的监管。</w:t>
            </w:r>
          </w:p>
          <w:p w14:paraId="277A80D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（3.4）重点做好主要涉重涉化企业以及前锋工业园污水处理厂的风险防控，防范废水事故直排。</w:t>
            </w:r>
          </w:p>
        </w:tc>
        <w:tc>
          <w:tcPr>
            <w:tcW w:w="7019" w:type="dxa"/>
            <w:gridSpan w:val="3"/>
            <w:vMerge w:val="continue"/>
            <w:vAlign w:val="center"/>
          </w:tcPr>
          <w:p w14:paraId="0AAD3828">
            <w:pPr>
              <w:tabs>
                <w:tab w:val="left" w:pos="1021"/>
              </w:tabs>
              <w:ind w:left="135" w:leftChars="48" w:right="199" w:rightChars="71" w:hanging="1"/>
              <w:rPr>
                <w:rFonts w:hint="eastAsia" w:ascii="仿宋" w:hAnsi="仿宋" w:eastAsia="仿宋" w:cs="仿宋"/>
                <w:color w:val="auto"/>
                <w:sz w:val="21"/>
                <w:szCs w:val="21"/>
                <w:highlight w:val="none"/>
              </w:rPr>
            </w:pPr>
          </w:p>
        </w:tc>
      </w:tr>
      <w:tr w14:paraId="15BD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4" w:type="dxa"/>
            <w:vAlign w:val="center"/>
          </w:tcPr>
          <w:p w14:paraId="7FA796CA">
            <w:pPr>
              <w:widowControl/>
              <w:ind w:left="-15" w:leftChars="-17" w:right="-84" w:rightChars="-30" w:hanging="33" w:hangingChars="16"/>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资源开发效率要求</w:t>
            </w:r>
          </w:p>
        </w:tc>
        <w:tc>
          <w:tcPr>
            <w:tcW w:w="6711" w:type="dxa"/>
            <w:gridSpan w:val="7"/>
            <w:vAlign w:val="center"/>
          </w:tcPr>
          <w:p w14:paraId="67014F84">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（4.1）能源：</w:t>
            </w:r>
          </w:p>
          <w:p w14:paraId="03E864AD">
            <w:pPr>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（4.1.1）</w:t>
            </w:r>
            <w:r>
              <w:rPr>
                <w:rFonts w:hint="eastAsia" w:ascii="仿宋" w:hAnsi="仿宋" w:eastAsia="仿宋" w:cs="仿宋"/>
                <w:color w:val="auto"/>
                <w:sz w:val="21"/>
                <w:szCs w:val="21"/>
                <w:highlight w:val="none"/>
                <w:lang w:val="en-US" w:eastAsia="zh-CN"/>
              </w:rPr>
              <w:t>集中区</w:t>
            </w:r>
            <w:r>
              <w:rPr>
                <w:rFonts w:hint="eastAsia" w:ascii="仿宋" w:hAnsi="仿宋" w:eastAsia="仿宋" w:cs="仿宋"/>
                <w:color w:val="auto"/>
                <w:sz w:val="21"/>
                <w:szCs w:val="21"/>
                <w:highlight w:val="none"/>
              </w:rPr>
              <w:t>应统一协调园区内低硫煤的稳定供应，积极推广清洁能源，逐步减少燃煤用量。</w:t>
            </w:r>
          </w:p>
          <w:p w14:paraId="00D7B4F9">
            <w:pPr>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（4.1.2）实施能源消耗总量和强度双控行动，逐步建立用能预算管理体系，编制用能预算管理方案。</w:t>
            </w:r>
          </w:p>
          <w:p w14:paraId="456634FB">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（4.1.3）到202</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rPr>
              <w:t>年，单位GDP能耗为0.363吨标准煤/万元，单位工业增加值能耗0.523吨标准煤/万元。到2025年，单位GDP能耗为0.305吨标准煤/万元，单位工业增加值能耗0.396吨标准煤/万元。到2025年，高能耗行业重点领域能效达到发改产业〔2021〕1609号、〔2022〕559号文件中标杆值水平，其他行业能效达到相应行业单位产品能源消耗限额标准。</w:t>
            </w:r>
          </w:p>
          <w:p w14:paraId="1F65F99D">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（4.2）水资源：</w:t>
            </w:r>
          </w:p>
          <w:p w14:paraId="37C3260C">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（4.2.1）进驻的各企业要加强中水回用及水的循环利用，以减少污水排放量；为从源头削减废水污染物的产生及排放量，工业集中区要对水资源消耗量大、水循环利用率低的企业做出限制。</w:t>
            </w:r>
          </w:p>
          <w:p w14:paraId="19DF2DA5">
            <w:pPr>
              <w:keepNext w:val="0"/>
              <w:keepLines w:val="0"/>
              <w:pageBreakBefore w:val="0"/>
              <w:widowControl w:val="0"/>
              <w:kinsoku/>
              <w:wordWrap/>
              <w:overflowPunct/>
              <w:topLinePunct w:val="0"/>
              <w:autoSpaceDE/>
              <w:autoSpaceDN/>
              <w:bidi w:val="0"/>
              <w:adjustRightInd/>
              <w:snapToGrid/>
              <w:ind w:right="0" w:rightChars="0" w:firstLine="42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（4.2.2）</w:t>
            </w:r>
            <w:r>
              <w:rPr>
                <w:rFonts w:hint="eastAsia" w:ascii="仿宋" w:hAnsi="仿宋" w:eastAsia="仿宋" w:cs="仿宋"/>
                <w:color w:val="auto"/>
                <w:kern w:val="0"/>
                <w:sz w:val="21"/>
                <w:szCs w:val="21"/>
                <w:highlight w:val="none"/>
                <w:lang w:val="en-US" w:eastAsia="zh-CN"/>
              </w:rPr>
              <w:t>到2025年，新晃县用水总量9133万立方米，万元地区生产总量用水量比2020年下降29.02%，万元工业增加值用水量比2020年下降8.80%。万元工业增加值用水量控制在55立方米/万元以下，加强水资源管理，切实合理开发利用和节约保护水资源。</w:t>
            </w:r>
          </w:p>
          <w:p w14:paraId="3791613C">
            <w:pPr>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（4.3）土地资源：</w:t>
            </w:r>
          </w:p>
          <w:p w14:paraId="7D152E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（4.3.1）坚持最严格的节约用地制度，盘活存量建设用地，提升土地产出效益，全面实施节约集约用地战略。</w:t>
            </w:r>
          </w:p>
          <w:p w14:paraId="5738640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4.3.2）园区项目引进严格运用用地指标，严格节约集约用地，园区总用地面积为373.43公顷，建设用地面积为363.53公顷，占城乡用地的97.35%，均为城市建设用地。非建设用地面积为9.90公顷，占城乡用地的2.65%，包括水域面积2.33公顷，农林用地面积7.57公顷。</w:t>
            </w:r>
          </w:p>
        </w:tc>
        <w:tc>
          <w:tcPr>
            <w:tcW w:w="7019" w:type="dxa"/>
            <w:gridSpan w:val="3"/>
            <w:vMerge w:val="continue"/>
            <w:vAlign w:val="center"/>
          </w:tcPr>
          <w:p w14:paraId="3500AA79">
            <w:pPr>
              <w:tabs>
                <w:tab w:val="left" w:pos="1021"/>
              </w:tabs>
              <w:ind w:left="135" w:leftChars="48" w:right="199" w:rightChars="71" w:hanging="1"/>
              <w:rPr>
                <w:rFonts w:hint="eastAsia" w:ascii="仿宋" w:hAnsi="仿宋" w:eastAsia="仿宋" w:cs="仿宋"/>
                <w:color w:val="auto"/>
                <w:sz w:val="21"/>
                <w:szCs w:val="21"/>
                <w:highlight w:val="none"/>
              </w:rPr>
            </w:pPr>
          </w:p>
        </w:tc>
      </w:tr>
    </w:tbl>
    <w:p w14:paraId="4F17EC0A">
      <w:pPr>
        <w:pStyle w:val="16"/>
        <w:snapToGrid w:val="0"/>
        <w:spacing w:after="0" w:line="600" w:lineRule="exact"/>
        <w:ind w:left="0" w:leftChars="0" w:firstLine="0" w:firstLineChars="0"/>
        <w:jc w:val="both"/>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新晃工业集中区“三线一单”落实情况具体如下：</w:t>
      </w:r>
    </w:p>
    <w:p w14:paraId="29145E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1"/>
          <w:szCs w:val="21"/>
          <w:highlight w:val="none"/>
          <w:lang w:val="zh-CN" w:eastAsia="zh-CN"/>
        </w:rPr>
      </w:pPr>
      <w:r>
        <w:rPr>
          <w:rFonts w:hint="default" w:ascii="仿宋" w:hAnsi="仿宋" w:eastAsia="仿宋" w:cs="仿宋"/>
          <w:b/>
          <w:bCs w:val="0"/>
          <w:color w:val="auto"/>
          <w:sz w:val="21"/>
          <w:szCs w:val="21"/>
          <w:highlight w:val="none"/>
          <w:lang w:val="en-US" w:eastAsia="zh-CN"/>
        </w:rPr>
        <w:t>表</w:t>
      </w:r>
      <w:r>
        <w:rPr>
          <w:rFonts w:hint="eastAsia" w:ascii="仿宋" w:hAnsi="仿宋" w:eastAsia="仿宋" w:cs="仿宋"/>
          <w:b/>
          <w:bCs w:val="0"/>
          <w:color w:val="auto"/>
          <w:sz w:val="21"/>
          <w:szCs w:val="21"/>
          <w:highlight w:val="none"/>
          <w:lang w:val="en-US" w:eastAsia="zh-CN"/>
        </w:rPr>
        <w:t>7</w:t>
      </w:r>
      <w:r>
        <w:rPr>
          <w:rFonts w:hint="default" w:ascii="仿宋" w:hAnsi="仿宋" w:eastAsia="仿宋" w:cs="仿宋"/>
          <w:b/>
          <w:bCs w:val="0"/>
          <w:color w:val="auto"/>
          <w:sz w:val="21"/>
          <w:szCs w:val="21"/>
          <w:highlight w:val="none"/>
          <w:lang w:val="en-US" w:eastAsia="zh-CN"/>
        </w:rPr>
        <w:t xml:space="preserve"> 新晃工业集中区</w:t>
      </w:r>
      <w:r>
        <w:rPr>
          <w:rFonts w:hint="default" w:ascii="仿宋" w:hAnsi="仿宋" w:eastAsia="仿宋" w:cs="仿宋"/>
          <w:b/>
          <w:bCs w:val="0"/>
          <w:color w:val="auto"/>
          <w:sz w:val="21"/>
          <w:szCs w:val="21"/>
          <w:highlight w:val="none"/>
          <w:lang w:val="zh-CN" w:eastAsia="zh-CN"/>
        </w:rPr>
        <w:t>“三线一单”落实情况</w:t>
      </w:r>
    </w:p>
    <w:tbl>
      <w:tblPr>
        <w:tblStyle w:val="1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7764"/>
        <w:gridCol w:w="4964"/>
        <w:gridCol w:w="955"/>
      </w:tblGrid>
      <w:tr w14:paraId="6392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tcBorders>
              <w:tl2br w:val="nil"/>
              <w:tr2bl w:val="nil"/>
            </w:tcBorders>
            <w:shd w:val="clear" w:color="auto" w:fill="auto"/>
            <w:noWrap w:val="0"/>
            <w:vAlign w:val="center"/>
          </w:tcPr>
          <w:p w14:paraId="268F27C3">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管控维度</w:t>
            </w:r>
          </w:p>
        </w:tc>
        <w:tc>
          <w:tcPr>
            <w:tcW w:w="2609" w:type="pct"/>
            <w:tcBorders>
              <w:tl2br w:val="nil"/>
              <w:tr2bl w:val="nil"/>
            </w:tcBorders>
            <w:shd w:val="clear" w:color="auto" w:fill="auto"/>
            <w:noWrap w:val="0"/>
            <w:vAlign w:val="center"/>
          </w:tcPr>
          <w:p w14:paraId="2FBC60EC">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管控要求</w:t>
            </w:r>
          </w:p>
        </w:tc>
        <w:tc>
          <w:tcPr>
            <w:tcW w:w="1668" w:type="pct"/>
            <w:tcBorders>
              <w:tl2br w:val="nil"/>
              <w:tr2bl w:val="nil"/>
            </w:tcBorders>
            <w:shd w:val="clear" w:color="auto" w:fill="auto"/>
            <w:noWrap w:val="0"/>
            <w:vAlign w:val="center"/>
          </w:tcPr>
          <w:p w14:paraId="155355C1">
            <w:pPr>
              <w:pStyle w:val="22"/>
              <w:autoSpaceDE w:val="0"/>
              <w:autoSpaceDN w:val="0"/>
              <w:spacing w:line="240" w:lineRule="auto"/>
              <w:ind w:firstLine="0" w:firstLineChars="0"/>
              <w:jc w:val="center"/>
              <w:rPr>
                <w:rFonts w:hint="default" w:ascii="Times New Roman" w:hAnsi="Times New Roman" w:eastAsia="仿宋" w:cs="Times New Roman"/>
                <w:sz w:val="24"/>
                <w:szCs w:val="24"/>
                <w:highlight w:val="none"/>
                <w:lang w:eastAsia="en-US"/>
              </w:rPr>
            </w:pPr>
            <w:r>
              <w:rPr>
                <w:rFonts w:hint="default" w:ascii="Times New Roman" w:hAnsi="Times New Roman" w:eastAsia="仿宋" w:cs="Times New Roman"/>
                <w:sz w:val="24"/>
                <w:szCs w:val="24"/>
                <w:highlight w:val="none"/>
                <w:lang w:eastAsia="en-US"/>
              </w:rPr>
              <w:t>落实情况</w:t>
            </w:r>
          </w:p>
        </w:tc>
        <w:tc>
          <w:tcPr>
            <w:tcW w:w="321" w:type="pct"/>
            <w:tcBorders>
              <w:tl2br w:val="nil"/>
              <w:tr2bl w:val="nil"/>
            </w:tcBorders>
            <w:shd w:val="clear" w:color="auto" w:fill="auto"/>
            <w:noWrap w:val="0"/>
            <w:vAlign w:val="center"/>
          </w:tcPr>
          <w:p w14:paraId="629DCEDE">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符合性</w:t>
            </w:r>
          </w:p>
        </w:tc>
      </w:tr>
      <w:tr w14:paraId="7F2F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tcBorders>
              <w:tl2br w:val="nil"/>
              <w:tr2bl w:val="nil"/>
            </w:tcBorders>
            <w:shd w:val="clear" w:color="auto" w:fill="auto"/>
            <w:noWrap w:val="0"/>
            <w:vAlign w:val="center"/>
          </w:tcPr>
          <w:p w14:paraId="4F33C9E4">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空间布局约束</w:t>
            </w:r>
          </w:p>
        </w:tc>
        <w:tc>
          <w:tcPr>
            <w:tcW w:w="2609" w:type="pct"/>
            <w:tcBorders>
              <w:tl2br w:val="nil"/>
              <w:tr2bl w:val="nil"/>
            </w:tcBorders>
            <w:shd w:val="clear" w:color="auto" w:fill="auto"/>
            <w:noWrap w:val="0"/>
            <w:vAlign w:val="center"/>
          </w:tcPr>
          <w:p w14:paraId="6F185D45">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（1.1）集中区引进企业应当符合“新晃县产业准入负面清单”的有关规定。</w:t>
            </w:r>
          </w:p>
          <w:p w14:paraId="6DB7BD80">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1.2）柏树林片区靠近黄家垅省级森林公园区域布设污染程度较轻的一类工业；前锋工业园以气型污染为主的企业布局应远离鱼市镇镇区，地方政府及相关部门应严格控制镇区向西边园区方向扩张，加强镇区与园区之间地带的绿化建设。</w:t>
            </w:r>
          </w:p>
        </w:tc>
        <w:tc>
          <w:tcPr>
            <w:tcW w:w="1668" w:type="pct"/>
            <w:tcBorders>
              <w:tl2br w:val="nil"/>
              <w:tr2bl w:val="nil"/>
            </w:tcBorders>
            <w:shd w:val="clear" w:color="auto" w:fill="auto"/>
            <w:noWrap w:val="0"/>
            <w:vAlign w:val="center"/>
          </w:tcPr>
          <w:p w14:paraId="620F6C05">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en-US"/>
              </w:rPr>
            </w:pPr>
            <w:r>
              <w:rPr>
                <w:rFonts w:hint="default" w:ascii="Times New Roman" w:hAnsi="Times New Roman" w:eastAsia="仿宋" w:cs="Times New Roman"/>
                <w:sz w:val="24"/>
                <w:szCs w:val="24"/>
                <w:highlight w:val="none"/>
                <w:lang w:val="en-US" w:eastAsia="zh-CN"/>
              </w:rPr>
              <w:t>1.</w:t>
            </w:r>
            <w:r>
              <w:rPr>
                <w:rFonts w:hint="default" w:ascii="Times New Roman" w:hAnsi="Times New Roman" w:eastAsia="仿宋" w:cs="Times New Roman"/>
                <w:sz w:val="24"/>
                <w:szCs w:val="24"/>
                <w:highlight w:val="none"/>
                <w:lang w:val="en-US" w:eastAsia="en-US"/>
              </w:rPr>
              <w:t>集中区引进企业符合</w:t>
            </w:r>
            <w:r>
              <w:rPr>
                <w:rFonts w:hint="default" w:ascii="Times New Roman" w:hAnsi="Times New Roman" w:eastAsia="仿宋" w:cs="Times New Roman"/>
                <w:sz w:val="24"/>
                <w:szCs w:val="24"/>
                <w:highlight w:val="none"/>
                <w:lang w:val="en-US" w:eastAsia="zh-CN"/>
              </w:rPr>
              <w:t>了</w:t>
            </w:r>
            <w:r>
              <w:rPr>
                <w:rFonts w:hint="default" w:ascii="Times New Roman" w:hAnsi="Times New Roman" w:eastAsia="仿宋" w:cs="Times New Roman"/>
                <w:sz w:val="24"/>
                <w:szCs w:val="24"/>
                <w:highlight w:val="none"/>
                <w:lang w:val="en-US" w:eastAsia="en-US"/>
              </w:rPr>
              <w:t>“新晃县产业准入负面清单”的有关规定。</w:t>
            </w:r>
          </w:p>
          <w:p w14:paraId="032F4AD6">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eastAsia="en-US"/>
              </w:rPr>
            </w:pPr>
            <w:r>
              <w:rPr>
                <w:rFonts w:hint="default" w:ascii="Times New Roman" w:hAnsi="Times New Roman" w:eastAsia="仿宋" w:cs="Times New Roman"/>
                <w:sz w:val="24"/>
                <w:szCs w:val="24"/>
                <w:highlight w:val="none"/>
                <w:lang w:val="en-US" w:eastAsia="zh-CN"/>
              </w:rPr>
              <w:t>2.</w:t>
            </w:r>
            <w:r>
              <w:rPr>
                <w:rFonts w:hint="default" w:ascii="Times New Roman" w:hAnsi="Times New Roman" w:eastAsia="仿宋" w:cs="Times New Roman"/>
                <w:sz w:val="24"/>
                <w:szCs w:val="24"/>
                <w:highlight w:val="none"/>
                <w:lang w:val="en-US" w:eastAsia="en-US"/>
              </w:rPr>
              <w:t>柏树林片区</w:t>
            </w:r>
            <w:r>
              <w:rPr>
                <w:rFonts w:hint="default" w:ascii="Times New Roman" w:hAnsi="Times New Roman" w:eastAsia="仿宋" w:cs="Times New Roman"/>
                <w:sz w:val="24"/>
                <w:szCs w:val="24"/>
                <w:highlight w:val="none"/>
                <w:lang w:val="en-US" w:eastAsia="zh-CN"/>
              </w:rPr>
              <w:t>未</w:t>
            </w:r>
            <w:r>
              <w:rPr>
                <w:rFonts w:hint="default" w:ascii="Times New Roman" w:hAnsi="Times New Roman" w:eastAsia="仿宋" w:cs="Times New Roman"/>
                <w:sz w:val="24"/>
                <w:szCs w:val="24"/>
                <w:highlight w:val="none"/>
                <w:lang w:val="en-US" w:eastAsia="en-US"/>
              </w:rPr>
              <w:t>新建气型污染企业、</w:t>
            </w:r>
            <w:r>
              <w:rPr>
                <w:rFonts w:hint="default" w:ascii="Times New Roman" w:hAnsi="Times New Roman" w:eastAsia="仿宋" w:cs="Times New Roman"/>
                <w:sz w:val="24"/>
                <w:szCs w:val="24"/>
                <w:highlight w:val="none"/>
                <w:lang w:val="en-US" w:eastAsia="zh-CN"/>
              </w:rPr>
              <w:t>未</w:t>
            </w:r>
            <w:r>
              <w:rPr>
                <w:rFonts w:hint="default" w:ascii="Times New Roman" w:hAnsi="Times New Roman" w:eastAsia="仿宋" w:cs="Times New Roman"/>
                <w:sz w:val="24"/>
                <w:szCs w:val="24"/>
                <w:highlight w:val="none"/>
                <w:lang w:val="en-US" w:eastAsia="en-US"/>
              </w:rPr>
              <w:t>引进屠宰加工类项目；前锋工业园</w:t>
            </w:r>
            <w:r>
              <w:rPr>
                <w:rFonts w:hint="default" w:ascii="Times New Roman" w:hAnsi="Times New Roman" w:eastAsia="仿宋" w:cs="Times New Roman"/>
                <w:sz w:val="24"/>
                <w:szCs w:val="24"/>
                <w:highlight w:val="none"/>
                <w:lang w:val="en-US" w:eastAsia="zh-CN"/>
              </w:rPr>
              <w:t>以气型污染为主的企业布局</w:t>
            </w:r>
            <w:r>
              <w:rPr>
                <w:rFonts w:hint="eastAsia" w:ascii="Times New Roman" w:hAnsi="Times New Roman" w:eastAsia="仿宋" w:cs="Times New Roman"/>
                <w:sz w:val="24"/>
                <w:szCs w:val="24"/>
                <w:highlight w:val="none"/>
                <w:lang w:val="en-US" w:eastAsia="zh-CN"/>
              </w:rPr>
              <w:t>已</w:t>
            </w:r>
            <w:r>
              <w:rPr>
                <w:rFonts w:hint="default" w:ascii="Times New Roman" w:hAnsi="Times New Roman" w:eastAsia="仿宋" w:cs="Times New Roman"/>
                <w:sz w:val="24"/>
                <w:szCs w:val="24"/>
                <w:highlight w:val="none"/>
                <w:lang w:val="en-US" w:eastAsia="zh-CN"/>
              </w:rPr>
              <w:t>远离鱼市镇镇区，地方政府及相关部门</w:t>
            </w:r>
            <w:r>
              <w:rPr>
                <w:rFonts w:hint="eastAsia" w:ascii="Times New Roman" w:hAnsi="Times New Roman" w:eastAsia="仿宋" w:cs="Times New Roman"/>
                <w:sz w:val="24"/>
                <w:szCs w:val="24"/>
                <w:highlight w:val="none"/>
                <w:lang w:val="en-US" w:eastAsia="zh-CN"/>
              </w:rPr>
              <w:t>已</w:t>
            </w:r>
            <w:r>
              <w:rPr>
                <w:rFonts w:hint="default" w:ascii="Times New Roman" w:hAnsi="Times New Roman" w:eastAsia="仿宋" w:cs="Times New Roman"/>
                <w:sz w:val="24"/>
                <w:szCs w:val="24"/>
                <w:highlight w:val="none"/>
                <w:lang w:val="en-US" w:eastAsia="zh-CN"/>
              </w:rPr>
              <w:t>严格控制镇区向西边园区方向扩张，加强</w:t>
            </w:r>
            <w:r>
              <w:rPr>
                <w:rFonts w:hint="eastAsia" w:ascii="Times New Roman" w:hAnsi="Times New Roman" w:eastAsia="仿宋" w:cs="Times New Roman"/>
                <w:sz w:val="24"/>
                <w:szCs w:val="24"/>
                <w:highlight w:val="none"/>
                <w:lang w:val="en-US" w:eastAsia="zh-CN"/>
              </w:rPr>
              <w:t>了</w:t>
            </w:r>
            <w:r>
              <w:rPr>
                <w:rFonts w:hint="default" w:ascii="Times New Roman" w:hAnsi="Times New Roman" w:eastAsia="仿宋" w:cs="Times New Roman"/>
                <w:sz w:val="24"/>
                <w:szCs w:val="24"/>
                <w:highlight w:val="none"/>
                <w:lang w:val="en-US" w:eastAsia="zh-CN"/>
              </w:rPr>
              <w:t>镇区与园区之间地带的绿化建设。</w:t>
            </w:r>
          </w:p>
        </w:tc>
        <w:tc>
          <w:tcPr>
            <w:tcW w:w="321" w:type="pct"/>
            <w:tcBorders>
              <w:tl2br w:val="nil"/>
              <w:tr2bl w:val="nil"/>
            </w:tcBorders>
            <w:shd w:val="clear" w:color="auto" w:fill="auto"/>
            <w:noWrap w:val="0"/>
            <w:vAlign w:val="center"/>
          </w:tcPr>
          <w:p w14:paraId="5AA1F53C">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符合</w:t>
            </w:r>
          </w:p>
        </w:tc>
      </w:tr>
      <w:tr w14:paraId="6358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0" w:type="pct"/>
            <w:tcBorders>
              <w:tl2br w:val="nil"/>
              <w:tr2bl w:val="nil"/>
            </w:tcBorders>
            <w:shd w:val="clear" w:color="auto" w:fill="auto"/>
            <w:noWrap w:val="0"/>
            <w:vAlign w:val="center"/>
          </w:tcPr>
          <w:p w14:paraId="409DFEE8">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污染物排放管控</w:t>
            </w:r>
          </w:p>
        </w:tc>
        <w:tc>
          <w:tcPr>
            <w:tcW w:w="2609" w:type="pct"/>
            <w:tcBorders>
              <w:tl2br w:val="nil"/>
              <w:tr2bl w:val="nil"/>
            </w:tcBorders>
            <w:shd w:val="clear" w:color="auto" w:fill="auto"/>
            <w:noWrap w:val="0"/>
            <w:vAlign w:val="center"/>
          </w:tcPr>
          <w:p w14:paraId="1E8E00DD">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（2.1）废水：</w:t>
            </w:r>
          </w:p>
          <w:p w14:paraId="0B49644A">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（2.1.1）集中区排水实施雨污分流。柏树林工业园污水依托新晃县城污水处理厂处理，处理达标后排入㵲水；前锋工业园污水纳入鱼市镇工业园区污水处理厂处理，处理达标后排入㵲水。</w:t>
            </w:r>
          </w:p>
          <w:p w14:paraId="4A06D587">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（2.1.2）柏树林工业园雨水按重力流自流就近排入水体；前锋工业园雨水按重力流自流就近排入水体。</w:t>
            </w:r>
          </w:p>
          <w:p w14:paraId="523CEB38">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（2.2）废气：</w:t>
            </w:r>
          </w:p>
          <w:p w14:paraId="16110544">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2.2.1）建立集中区清洁生产管理考核机制，对各企业工艺废气产出的生产节点，应配置废气收集与处理净化装置，确保达标排放；加强生产工艺研究与技术改进，采取有效措施，减少入园企业工艺废气的无组织排放</w:t>
            </w:r>
          </w:p>
          <w:p w14:paraId="7E69DC80">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（2.2.2）强化工业污染治理与监管，加快推进家具制造、电动车制造（含工业涂装）等行业企业挥发性有机物（VOCs）综合治理。</w:t>
            </w:r>
          </w:p>
          <w:p w14:paraId="54ED4089">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（2.2.3）园区应加强大气污染防治，特别是对重点排放企业的监管，采取有效措施减少污染物排放总量，严格控制无组织排放，园区内禁止新建10蒸吨/时及以下燃煤锅炉。</w:t>
            </w:r>
          </w:p>
          <w:p w14:paraId="0B572A7C">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2.3）固体废弃物：采取全流程管控措施，建立园区固废规范化管理体系，做好工业固体废物和生活垃圾的分类收集、转运、综合利用和无害化处理。对各类工业企业产生固体废物特别是危险固废应严格按照国家有关规定综合利用或妥善处置，对危险废物产生企业和经营单位，强化日常环境监管。</w:t>
            </w:r>
          </w:p>
        </w:tc>
        <w:tc>
          <w:tcPr>
            <w:tcW w:w="1668" w:type="pct"/>
            <w:tcBorders>
              <w:tl2br w:val="nil"/>
              <w:tr2bl w:val="nil"/>
            </w:tcBorders>
            <w:shd w:val="clear" w:color="auto" w:fill="auto"/>
            <w:noWrap w:val="0"/>
            <w:vAlign w:val="center"/>
          </w:tcPr>
          <w:p w14:paraId="2D48FF12">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en-US"/>
              </w:rPr>
              <w:t>1、园区实施雨污分流，</w:t>
            </w:r>
            <w:r>
              <w:rPr>
                <w:rFonts w:hint="default" w:ascii="Times New Roman" w:hAnsi="Times New Roman" w:eastAsia="仿宋" w:cs="Times New Roman"/>
                <w:sz w:val="24"/>
                <w:szCs w:val="24"/>
                <w:highlight w:val="none"/>
                <w:lang w:eastAsia="zh-CN"/>
              </w:rPr>
              <w:t>集中区排水已实施雨污分流，截污、排污管网与道路建设、区域开发、项目引进同步进行；柏树林园区废水接入新晃县城污水处理厂进行处理后达《城镇污水处理厂污染物排放标准》(GB18918-2002)一级A 标准排入舞水；酒店塘片区污水由酒店塘污水处理站统一收集处理后达一级A标准后排放；鱼市镇工业园污水处理厂</w:t>
            </w:r>
            <w:r>
              <w:rPr>
                <w:rFonts w:hint="eastAsia" w:ascii="Times New Roman" w:hAnsi="Times New Roman" w:eastAsia="仿宋" w:cs="Times New Roman"/>
                <w:sz w:val="24"/>
                <w:szCs w:val="24"/>
                <w:highlight w:val="none"/>
                <w:lang w:val="en-US" w:eastAsia="zh-CN"/>
              </w:rPr>
              <w:t>提标扩容工程</w:t>
            </w:r>
            <w:r>
              <w:rPr>
                <w:rFonts w:hint="default" w:ascii="Times New Roman" w:hAnsi="Times New Roman" w:eastAsia="仿宋" w:cs="Times New Roman"/>
                <w:sz w:val="24"/>
                <w:szCs w:val="24"/>
                <w:highlight w:val="none"/>
                <w:lang w:eastAsia="zh-CN"/>
              </w:rPr>
              <w:t>已</w:t>
            </w:r>
            <w:r>
              <w:rPr>
                <w:rFonts w:hint="eastAsia" w:ascii="Times New Roman" w:hAnsi="Times New Roman" w:eastAsia="仿宋" w:cs="Times New Roman"/>
                <w:sz w:val="24"/>
                <w:szCs w:val="24"/>
                <w:highlight w:val="none"/>
                <w:lang w:val="en-US" w:eastAsia="zh-CN"/>
              </w:rPr>
              <w:t>完工</w:t>
            </w:r>
            <w:r>
              <w:rPr>
                <w:rFonts w:hint="default" w:ascii="Times New Roman" w:hAnsi="Times New Roman" w:eastAsia="仿宋" w:cs="Times New Roman"/>
                <w:sz w:val="24"/>
                <w:szCs w:val="24"/>
                <w:highlight w:val="none"/>
                <w:lang w:eastAsia="zh-CN"/>
              </w:rPr>
              <w:t>处理规模</w:t>
            </w:r>
            <w:r>
              <w:rPr>
                <w:rFonts w:hint="eastAsia" w:ascii="Times New Roman" w:hAnsi="Times New Roman" w:eastAsia="仿宋" w:cs="Times New Roman"/>
                <w:sz w:val="24"/>
                <w:szCs w:val="24"/>
                <w:highlight w:val="none"/>
                <w:lang w:val="en-US" w:eastAsia="zh-CN"/>
              </w:rPr>
              <w:t>提升至4000</w:t>
            </w:r>
            <w:r>
              <w:rPr>
                <w:rFonts w:hint="default" w:ascii="Times New Roman" w:hAnsi="Times New Roman" w:eastAsia="仿宋" w:cs="Times New Roman"/>
                <w:sz w:val="24"/>
                <w:szCs w:val="24"/>
                <w:highlight w:val="none"/>
                <w:lang w:eastAsia="zh-CN"/>
              </w:rPr>
              <w:t>m</w:t>
            </w:r>
            <w:r>
              <w:rPr>
                <w:rFonts w:hint="default" w:ascii="Times New Roman" w:hAnsi="Times New Roman" w:eastAsia="仿宋" w:cs="Times New Roman"/>
                <w:sz w:val="24"/>
                <w:szCs w:val="24"/>
                <w:highlight w:val="none"/>
                <w:vertAlign w:val="superscript"/>
                <w:lang w:eastAsia="zh-CN"/>
              </w:rPr>
              <w:t>3</w:t>
            </w:r>
            <w:r>
              <w:rPr>
                <w:rFonts w:hint="default" w:ascii="Times New Roman" w:hAnsi="Times New Roman" w:eastAsia="仿宋" w:cs="Times New Roman"/>
                <w:sz w:val="24"/>
                <w:szCs w:val="24"/>
                <w:highlight w:val="none"/>
                <w:lang w:eastAsia="zh-CN"/>
              </w:rPr>
              <w:t>/d，污水排放达到一级</w:t>
            </w:r>
            <w:r>
              <w:rPr>
                <w:rFonts w:hint="eastAsia" w:ascii="Times New Roman" w:hAnsi="Times New Roman" w:eastAsia="仿宋" w:cs="Times New Roman"/>
                <w:sz w:val="24"/>
                <w:szCs w:val="24"/>
                <w:highlight w:val="none"/>
                <w:lang w:val="en-US" w:eastAsia="zh-CN"/>
              </w:rPr>
              <w:t>A</w:t>
            </w:r>
            <w:r>
              <w:rPr>
                <w:rFonts w:hint="default" w:ascii="Times New Roman" w:hAnsi="Times New Roman" w:eastAsia="仿宋" w:cs="Times New Roman"/>
                <w:sz w:val="24"/>
                <w:szCs w:val="24"/>
                <w:highlight w:val="none"/>
                <w:lang w:eastAsia="zh-CN"/>
              </w:rPr>
              <w:t>标准；县城污水处理厂已完成提质扩建工程，处理规模为2万m</w:t>
            </w:r>
            <w:r>
              <w:rPr>
                <w:rFonts w:hint="default" w:ascii="Times New Roman" w:hAnsi="Times New Roman" w:eastAsia="仿宋" w:cs="Times New Roman"/>
                <w:sz w:val="24"/>
                <w:szCs w:val="24"/>
                <w:highlight w:val="none"/>
                <w:vertAlign w:val="superscript"/>
                <w:lang w:eastAsia="zh-CN"/>
              </w:rPr>
              <w:t>3</w:t>
            </w:r>
            <w:r>
              <w:rPr>
                <w:rFonts w:hint="default" w:ascii="Times New Roman" w:hAnsi="Times New Roman" w:eastAsia="仿宋" w:cs="Times New Roman"/>
                <w:sz w:val="24"/>
                <w:szCs w:val="24"/>
                <w:highlight w:val="none"/>
                <w:lang w:eastAsia="zh-CN"/>
              </w:rPr>
              <w:t>/d，污水排放可达一级A标准。</w:t>
            </w:r>
          </w:p>
          <w:p w14:paraId="420D69F7">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eastAsia="en-US"/>
              </w:rPr>
              <w:t>2、园区按批复要求落实了</w:t>
            </w:r>
            <w:r>
              <w:rPr>
                <w:rFonts w:hint="default" w:ascii="Times New Roman" w:hAnsi="Times New Roman" w:eastAsia="仿宋" w:cs="Times New Roman"/>
                <w:sz w:val="24"/>
                <w:szCs w:val="24"/>
                <w:highlight w:val="none"/>
                <w:lang w:val="en-US" w:eastAsia="zh-CN"/>
              </w:rPr>
              <w:t>对各企业工艺废气产出的生产节点，应配置废气收集与处理净化装置，确保达标排放；加强生产工艺研究与技术改进，采取有效措施，减少入园企业工艺废气的无组织排放</w:t>
            </w:r>
            <w:r>
              <w:rPr>
                <w:rFonts w:hint="eastAsia" w:ascii="Times New Roman" w:hAnsi="Times New Roman" w:eastAsia="仿宋" w:cs="Times New Roman"/>
                <w:sz w:val="24"/>
                <w:szCs w:val="24"/>
                <w:highlight w:val="none"/>
                <w:lang w:val="en-US" w:eastAsia="zh-CN"/>
              </w:rPr>
              <w:t>。</w:t>
            </w:r>
            <w:r>
              <w:rPr>
                <w:rFonts w:hint="default" w:ascii="Times New Roman" w:hAnsi="Times New Roman" w:eastAsia="仿宋" w:cs="Times New Roman"/>
                <w:sz w:val="24"/>
                <w:szCs w:val="24"/>
                <w:highlight w:val="none"/>
                <w:lang w:val="en-US" w:eastAsia="zh-CN"/>
              </w:rPr>
              <w:t>强化</w:t>
            </w:r>
            <w:r>
              <w:rPr>
                <w:rFonts w:hint="eastAsia" w:ascii="Times New Roman" w:hAnsi="Times New Roman" w:eastAsia="仿宋" w:cs="Times New Roman"/>
                <w:sz w:val="24"/>
                <w:szCs w:val="24"/>
                <w:highlight w:val="none"/>
                <w:lang w:val="en-US" w:eastAsia="zh-CN"/>
              </w:rPr>
              <w:t>了</w:t>
            </w:r>
            <w:r>
              <w:rPr>
                <w:rFonts w:hint="default" w:ascii="Times New Roman" w:hAnsi="Times New Roman" w:eastAsia="仿宋" w:cs="Times New Roman"/>
                <w:sz w:val="24"/>
                <w:szCs w:val="24"/>
                <w:highlight w:val="none"/>
                <w:lang w:val="en-US" w:eastAsia="zh-CN"/>
              </w:rPr>
              <w:t>工业污染治理与监管，推进家具制造、电动车制造（含工业涂装）等行业企业挥发性有机物（VOCs）综合治理。</w:t>
            </w:r>
          </w:p>
          <w:p w14:paraId="1B3D51D6">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yellow"/>
                <w:lang w:eastAsia="en-US"/>
              </w:rPr>
            </w:pPr>
            <w:r>
              <w:rPr>
                <w:rFonts w:hint="default" w:ascii="Times New Roman" w:hAnsi="Times New Roman" w:eastAsia="仿宋" w:cs="Times New Roman"/>
                <w:sz w:val="24"/>
                <w:szCs w:val="24"/>
                <w:highlight w:val="none"/>
                <w:lang w:eastAsia="en-US"/>
              </w:rPr>
              <w:t>3、各企业固废基本得到综合利用或妥善处置。</w:t>
            </w:r>
          </w:p>
        </w:tc>
        <w:tc>
          <w:tcPr>
            <w:tcW w:w="321" w:type="pct"/>
            <w:tcBorders>
              <w:tl2br w:val="nil"/>
              <w:tr2bl w:val="nil"/>
            </w:tcBorders>
            <w:shd w:val="clear" w:color="auto" w:fill="auto"/>
            <w:noWrap w:val="0"/>
            <w:vAlign w:val="center"/>
          </w:tcPr>
          <w:p w14:paraId="6CCD37C9">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符合</w:t>
            </w:r>
          </w:p>
        </w:tc>
      </w:tr>
      <w:tr w14:paraId="139E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400" w:type="pct"/>
            <w:tcBorders>
              <w:tl2br w:val="nil"/>
              <w:tr2bl w:val="nil"/>
            </w:tcBorders>
            <w:shd w:val="clear" w:color="auto" w:fill="auto"/>
            <w:noWrap w:val="0"/>
            <w:vAlign w:val="center"/>
          </w:tcPr>
          <w:p w14:paraId="541E83AC">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环境风险防控</w:t>
            </w:r>
          </w:p>
        </w:tc>
        <w:tc>
          <w:tcPr>
            <w:tcW w:w="2609" w:type="pct"/>
            <w:tcBorders>
              <w:tl2br w:val="nil"/>
              <w:tr2bl w:val="nil"/>
            </w:tcBorders>
            <w:shd w:val="clear" w:color="auto" w:fill="auto"/>
            <w:noWrap w:val="0"/>
            <w:vAlign w:val="center"/>
          </w:tcPr>
          <w:p w14:paraId="009E0D2C">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3.1）集中区应建立健全环境风险防控体系，加强区内重要风险源管控。加强集中区危险化学品储运的环境风险管理，严格落实应急响应联动机制，确保区域环境安全。强化环境监督管理，根据新晃侗族自治县工业集中区突发环境事件应急预案要求，健全环境风险事故防范措施，严防环境风险事故发生。</w:t>
            </w:r>
          </w:p>
          <w:p w14:paraId="1E82030C">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3.2）集中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w:t>
            </w:r>
          </w:p>
          <w:p w14:paraId="0D8CD216">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（3.3）建设用地土壤风险防控：加强对建设用地土壤环境状况调查、风险评估和污染地块治理与修复活动的监管。</w:t>
            </w:r>
          </w:p>
          <w:p w14:paraId="3F48D0CE">
            <w:pPr>
              <w:pStyle w:val="22"/>
              <w:autoSpaceDE w:val="0"/>
              <w:autoSpaceDN w:val="0"/>
              <w:spacing w:line="240" w:lineRule="auto"/>
              <w:ind w:firstLine="0" w:firstLineChars="0"/>
              <w:jc w:val="left"/>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（3.4）重点做好主要涉重涉化企业以及前锋工业园污水处理厂的风险防控，防范废水事故直排。</w:t>
            </w:r>
          </w:p>
        </w:tc>
        <w:tc>
          <w:tcPr>
            <w:tcW w:w="1668" w:type="pct"/>
            <w:tcBorders>
              <w:tl2br w:val="nil"/>
              <w:tr2bl w:val="nil"/>
            </w:tcBorders>
            <w:shd w:val="clear" w:color="auto" w:fill="auto"/>
            <w:noWrap w:val="0"/>
            <w:vAlign w:val="center"/>
          </w:tcPr>
          <w:p w14:paraId="78A2C472">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eastAsia="en-US"/>
              </w:rPr>
            </w:pPr>
            <w:r>
              <w:rPr>
                <w:rFonts w:hint="default" w:ascii="Times New Roman" w:hAnsi="Times New Roman" w:eastAsia="仿宋" w:cs="Times New Roman"/>
                <w:sz w:val="24"/>
                <w:szCs w:val="24"/>
                <w:highlight w:val="none"/>
                <w:lang w:val="en-US" w:eastAsia="zh-CN"/>
              </w:rPr>
              <w:t>1、</w:t>
            </w:r>
            <w:r>
              <w:rPr>
                <w:rFonts w:hint="default" w:ascii="Times New Roman" w:hAnsi="Times New Roman" w:eastAsia="仿宋" w:cs="Times New Roman"/>
                <w:sz w:val="24"/>
                <w:szCs w:val="24"/>
                <w:highlight w:val="none"/>
                <w:lang w:eastAsia="en-US"/>
              </w:rPr>
              <w:t>设立了</w:t>
            </w:r>
            <w:r>
              <w:rPr>
                <w:rFonts w:hint="default" w:ascii="Times New Roman" w:hAnsi="Times New Roman" w:eastAsia="仿宋" w:cs="Times New Roman"/>
                <w:sz w:val="24"/>
                <w:szCs w:val="24"/>
                <w:highlight w:val="none"/>
                <w:lang w:val="en-US" w:eastAsia="zh-CN"/>
              </w:rPr>
              <w:t>新晃工业集中区</w:t>
            </w:r>
            <w:r>
              <w:rPr>
                <w:rFonts w:hint="default" w:ascii="Times New Roman" w:hAnsi="Times New Roman" w:eastAsia="仿宋" w:cs="Times New Roman"/>
                <w:sz w:val="24"/>
                <w:szCs w:val="24"/>
                <w:highlight w:val="none"/>
                <w:lang w:eastAsia="en-US"/>
              </w:rPr>
              <w:t>环境管理机构，园区突发环境事件应急预案</w:t>
            </w:r>
            <w:r>
              <w:rPr>
                <w:rFonts w:hint="eastAsia" w:ascii="Times New Roman" w:hAnsi="Times New Roman" w:eastAsia="仿宋" w:cs="Times New Roman"/>
                <w:sz w:val="24"/>
                <w:szCs w:val="24"/>
                <w:highlight w:val="none"/>
                <w:lang w:val="en-US" w:eastAsia="zh-CN"/>
              </w:rPr>
              <w:t>已进行修编</w:t>
            </w:r>
            <w:r>
              <w:rPr>
                <w:rFonts w:hint="default" w:ascii="Times New Roman" w:hAnsi="Times New Roman" w:eastAsia="仿宋" w:cs="Times New Roman"/>
                <w:sz w:val="24"/>
                <w:szCs w:val="24"/>
                <w:highlight w:val="none"/>
                <w:lang w:val="en-US" w:eastAsia="zh-CN"/>
              </w:rPr>
              <w:t>并</w:t>
            </w:r>
            <w:r>
              <w:rPr>
                <w:rFonts w:hint="eastAsia" w:ascii="Times New Roman" w:hAnsi="Times New Roman" w:eastAsia="仿宋" w:cs="Times New Roman"/>
                <w:sz w:val="24"/>
                <w:szCs w:val="24"/>
                <w:highlight w:val="none"/>
                <w:lang w:val="en-US" w:eastAsia="zh-CN"/>
              </w:rPr>
              <w:t>完成了省市县三级</w:t>
            </w:r>
            <w:r>
              <w:rPr>
                <w:rFonts w:hint="default" w:ascii="Times New Roman" w:hAnsi="Times New Roman" w:eastAsia="仿宋" w:cs="Times New Roman"/>
                <w:sz w:val="24"/>
                <w:szCs w:val="24"/>
                <w:highlight w:val="none"/>
                <w:lang w:val="en-US" w:eastAsia="zh-CN"/>
              </w:rPr>
              <w:t>备案</w:t>
            </w:r>
            <w:r>
              <w:rPr>
                <w:rFonts w:hint="default" w:ascii="Times New Roman" w:hAnsi="Times New Roman" w:eastAsia="仿宋" w:cs="Times New Roman"/>
                <w:sz w:val="24"/>
                <w:szCs w:val="24"/>
                <w:highlight w:val="none"/>
                <w:lang w:eastAsia="en-US"/>
              </w:rPr>
              <w:t>。</w:t>
            </w:r>
          </w:p>
          <w:p w14:paraId="6C614160">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val="en-US" w:eastAsia="zh-CN"/>
              </w:rPr>
              <w:t>2、</w:t>
            </w:r>
            <w:r>
              <w:rPr>
                <w:rFonts w:hint="default" w:ascii="Times New Roman" w:hAnsi="Times New Roman" w:eastAsia="仿宋" w:cs="Times New Roman"/>
                <w:sz w:val="24"/>
                <w:szCs w:val="24"/>
                <w:highlight w:val="none"/>
                <w:lang w:eastAsia="en-US"/>
              </w:rPr>
              <w:t>园区内可能发生突发环境事件的污染物排放企业，生产、储存、运输、使用危险化学品的企业，产生、收集、贮存、运输、利用、处置危险废物的企业等建立</w:t>
            </w:r>
            <w:r>
              <w:rPr>
                <w:rFonts w:hint="default" w:ascii="Times New Roman" w:hAnsi="Times New Roman" w:eastAsia="仿宋" w:cs="Times New Roman"/>
                <w:sz w:val="24"/>
                <w:szCs w:val="24"/>
                <w:highlight w:val="none"/>
                <w:lang w:val="en-US" w:eastAsia="zh-CN"/>
              </w:rPr>
              <w:t>了</w:t>
            </w:r>
            <w:r>
              <w:rPr>
                <w:rFonts w:hint="default" w:ascii="Times New Roman" w:hAnsi="Times New Roman" w:eastAsia="仿宋" w:cs="Times New Roman"/>
                <w:sz w:val="24"/>
                <w:szCs w:val="24"/>
                <w:highlight w:val="none"/>
                <w:lang w:eastAsia="en-US"/>
              </w:rPr>
              <w:t>健全环境风险事故防范措施和应急预案，严防环境风险事故发生</w:t>
            </w:r>
            <w:r>
              <w:rPr>
                <w:rFonts w:hint="default" w:ascii="Times New Roman" w:hAnsi="Times New Roman" w:eastAsia="仿宋" w:cs="Times New Roman"/>
                <w:sz w:val="24"/>
                <w:szCs w:val="24"/>
                <w:highlight w:val="none"/>
                <w:lang w:eastAsia="zh-CN"/>
              </w:rPr>
              <w:t>。</w:t>
            </w:r>
          </w:p>
          <w:p w14:paraId="2AF57AA6">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yellow"/>
                <w:lang w:eastAsia="en-US"/>
              </w:rPr>
            </w:pPr>
            <w:r>
              <w:rPr>
                <w:rFonts w:hint="default" w:ascii="Times New Roman" w:hAnsi="Times New Roman" w:eastAsia="仿宋" w:cs="Times New Roman"/>
                <w:sz w:val="24"/>
                <w:szCs w:val="24"/>
                <w:highlight w:val="none"/>
                <w:lang w:val="en-US" w:eastAsia="zh-CN"/>
              </w:rPr>
              <w:t>3、</w:t>
            </w:r>
            <w:r>
              <w:rPr>
                <w:rFonts w:hint="default" w:ascii="Times New Roman" w:hAnsi="Times New Roman" w:eastAsia="仿宋" w:cs="Times New Roman"/>
                <w:sz w:val="24"/>
                <w:szCs w:val="24"/>
                <w:highlight w:val="none"/>
                <w:lang w:eastAsia="en-US"/>
              </w:rPr>
              <w:t>园区无污染地块。</w:t>
            </w:r>
          </w:p>
        </w:tc>
        <w:tc>
          <w:tcPr>
            <w:tcW w:w="321" w:type="pct"/>
            <w:tcBorders>
              <w:tl2br w:val="nil"/>
              <w:tr2bl w:val="nil"/>
            </w:tcBorders>
            <w:shd w:val="clear" w:color="auto" w:fill="auto"/>
            <w:noWrap w:val="0"/>
            <w:vAlign w:val="center"/>
          </w:tcPr>
          <w:p w14:paraId="4D3706AD">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符合</w:t>
            </w:r>
          </w:p>
        </w:tc>
      </w:tr>
      <w:tr w14:paraId="2BA2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00" w:type="pct"/>
            <w:tcBorders>
              <w:tl2br w:val="nil"/>
              <w:tr2bl w:val="nil"/>
            </w:tcBorders>
            <w:shd w:val="clear" w:color="auto" w:fill="auto"/>
            <w:noWrap w:val="0"/>
            <w:vAlign w:val="center"/>
          </w:tcPr>
          <w:p w14:paraId="1E8C883D">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资源开发效率要求</w:t>
            </w:r>
          </w:p>
        </w:tc>
        <w:tc>
          <w:tcPr>
            <w:tcW w:w="2609" w:type="pct"/>
            <w:tcBorders>
              <w:tl2br w:val="nil"/>
              <w:tr2bl w:val="nil"/>
            </w:tcBorders>
            <w:shd w:val="clear" w:color="auto" w:fill="auto"/>
            <w:noWrap w:val="0"/>
            <w:vAlign w:val="center"/>
          </w:tcPr>
          <w:p w14:paraId="26A316EE">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（4.1）能源：</w:t>
            </w:r>
          </w:p>
          <w:p w14:paraId="45E76925">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（4.1.1）集中区应统一协调园区内低硫煤的稳定供应，积极推广清洁能源，逐步减少燃煤用量。</w:t>
            </w:r>
          </w:p>
          <w:p w14:paraId="1B9FD56A">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（4.1.2）实施能源消耗总量和强度双控行动，逐步建立用能预算管理体系，编制用能预算管理方案。</w:t>
            </w:r>
          </w:p>
          <w:p w14:paraId="6600C2A8">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4.1.3）到2020年，单位GDP能耗为0.363吨标准煤/万元，单位工业增加值能耗0.523吨标准煤/万元。到2025年，单位GDP能耗为0.305吨标准煤/万元，单位工业增加值能耗0.396吨标准煤/万元。到2025年，高能耗行业重点领域能效达到发改产业〔2021〕1609号、〔2022〕559号文件中标杆值水平，其他行业能效达到相应行业单位产品能源消耗限额标准。</w:t>
            </w:r>
          </w:p>
          <w:p w14:paraId="08A8B73C">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（4.2）水资源：</w:t>
            </w:r>
          </w:p>
          <w:p w14:paraId="3C360513">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（4.2.1）进驻的各企业要加强中水回用及水的循环利用，以减少污水排放量；为从源头削减废水污染物的产生及排放量，工业集中区要对水资源消耗量大、水循环利用率低的企业做出限制。</w:t>
            </w:r>
          </w:p>
          <w:p w14:paraId="1C9965FC">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4.2.2）到2025年，新晃县用水总量9133万立方米，万元地区生产总量用水量比2020年下降29.02%，万元工业增加值用水量比2020年下降8.80%。万元工业增加值用水量控制在55立方米/万元以下，加强水资源管理，切实合理开发利用和节约保护水资源。</w:t>
            </w:r>
          </w:p>
          <w:p w14:paraId="5F0B0DF2">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（4.3）土地资源：</w:t>
            </w:r>
          </w:p>
          <w:p w14:paraId="7BE7376F">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（4.3.1）坚持最严格的节约用地制度，盘活存量建设用地，提升土地产出效益，全面实施节约集约用地战略。</w:t>
            </w:r>
          </w:p>
          <w:p w14:paraId="13D03331">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4.3.2）园区项目引进严格运用用地指标，严格节约集约用地，园区总用地面积为373.43公顷，建设用地面积为363.53公顷，占城乡用地的97.35%，均为城市建设用地。非建设用地面积为9.90公顷，占城乡用地的2.65%，包括水域面积2.33公顷，农林用地面积7.57公顷。</w:t>
            </w:r>
          </w:p>
        </w:tc>
        <w:tc>
          <w:tcPr>
            <w:tcW w:w="1668" w:type="pct"/>
            <w:tcBorders>
              <w:tl2br w:val="nil"/>
              <w:tr2bl w:val="nil"/>
            </w:tcBorders>
            <w:shd w:val="clear" w:color="auto" w:fill="auto"/>
            <w:noWrap w:val="0"/>
            <w:vAlign w:val="center"/>
          </w:tcPr>
          <w:p w14:paraId="4516BF6E">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eastAsia="en-US"/>
              </w:rPr>
            </w:pPr>
            <w:r>
              <w:rPr>
                <w:rFonts w:hint="default" w:ascii="Times New Roman" w:hAnsi="Times New Roman" w:eastAsia="仿宋" w:cs="Times New Roman"/>
                <w:sz w:val="24"/>
                <w:szCs w:val="24"/>
                <w:highlight w:val="none"/>
                <w:lang w:eastAsia="en-US"/>
              </w:rPr>
              <w:t>1、园区积极推广清洁能源。</w:t>
            </w:r>
          </w:p>
          <w:p w14:paraId="5CF6D222">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eastAsia="en-US"/>
              </w:rPr>
            </w:pPr>
            <w:r>
              <w:rPr>
                <w:rFonts w:hint="default" w:ascii="Times New Roman" w:hAnsi="Times New Roman" w:eastAsia="仿宋" w:cs="Times New Roman"/>
                <w:sz w:val="24"/>
                <w:szCs w:val="24"/>
                <w:highlight w:val="none"/>
                <w:lang w:eastAsia="en-US"/>
              </w:rPr>
              <w:t>2、鼓励工业企业用水重复利用，尽可能有效的利用水资源和降低生产成本，减少废水排放。</w:t>
            </w:r>
          </w:p>
          <w:p w14:paraId="17FC882F">
            <w:pPr>
              <w:pStyle w:val="22"/>
              <w:autoSpaceDE w:val="0"/>
              <w:autoSpaceDN w:val="0"/>
              <w:spacing w:line="240" w:lineRule="auto"/>
              <w:ind w:firstLine="0" w:firstLineChars="0"/>
              <w:jc w:val="left"/>
              <w:rPr>
                <w:rFonts w:hint="default" w:ascii="Times New Roman" w:hAnsi="Times New Roman" w:eastAsia="仿宋" w:cs="Times New Roman"/>
                <w:sz w:val="24"/>
                <w:szCs w:val="24"/>
                <w:highlight w:val="none"/>
                <w:lang w:eastAsia="en-US"/>
              </w:rPr>
            </w:pPr>
            <w:r>
              <w:rPr>
                <w:rFonts w:hint="default" w:ascii="Times New Roman" w:hAnsi="Times New Roman" w:eastAsia="仿宋" w:cs="Times New Roman"/>
                <w:sz w:val="24"/>
                <w:szCs w:val="24"/>
                <w:highlight w:val="none"/>
                <w:lang w:eastAsia="en-US"/>
              </w:rPr>
              <w:t>3、严格按照园区用地规划布局实施，未有超出规划范围的开发活动。</w:t>
            </w:r>
          </w:p>
        </w:tc>
        <w:tc>
          <w:tcPr>
            <w:tcW w:w="321" w:type="pct"/>
            <w:tcBorders>
              <w:tl2br w:val="nil"/>
              <w:tr2bl w:val="nil"/>
            </w:tcBorders>
            <w:shd w:val="clear" w:color="auto" w:fill="auto"/>
            <w:noWrap w:val="0"/>
            <w:vAlign w:val="center"/>
          </w:tcPr>
          <w:p w14:paraId="6FDB7D91">
            <w:pPr>
              <w:pStyle w:val="22"/>
              <w:autoSpaceDE w:val="0"/>
              <w:autoSpaceDN w:val="0"/>
              <w:spacing w:line="240" w:lineRule="auto"/>
              <w:ind w:firstLine="0" w:firstLineChars="0"/>
              <w:jc w:val="center"/>
              <w:rPr>
                <w:rFonts w:hint="default" w:ascii="Times New Roman" w:hAnsi="Times New Roman" w:eastAsia="仿宋" w:cs="Times New Roman"/>
                <w:sz w:val="24"/>
                <w:szCs w:val="24"/>
                <w:lang w:eastAsia="en-US"/>
              </w:rPr>
            </w:pPr>
            <w:r>
              <w:rPr>
                <w:rFonts w:hint="default" w:ascii="Times New Roman" w:hAnsi="Times New Roman" w:eastAsia="仿宋" w:cs="Times New Roman"/>
                <w:sz w:val="24"/>
                <w:szCs w:val="24"/>
                <w:lang w:eastAsia="en-US"/>
              </w:rPr>
              <w:t>符合</w:t>
            </w:r>
          </w:p>
        </w:tc>
      </w:tr>
    </w:tbl>
    <w:p w14:paraId="78EBF094">
      <w:pPr>
        <w:pStyle w:val="3"/>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lang w:val="en-US" w:eastAsia="zh-CN"/>
        </w:rPr>
        <w:sectPr>
          <w:pgSz w:w="16838" w:h="11906" w:orient="landscape"/>
          <w:pgMar w:top="1440" w:right="1083" w:bottom="1440" w:left="1083" w:header="851" w:footer="992" w:gutter="0"/>
          <w:pgBorders>
            <w:top w:val="none" w:sz="0" w:space="0"/>
            <w:left w:val="none" w:sz="0" w:space="0"/>
            <w:bottom w:val="none" w:sz="0" w:space="0"/>
            <w:right w:val="none" w:sz="0" w:space="0"/>
          </w:pgBorders>
          <w:pgNumType w:fmt="numberInDash"/>
          <w:cols w:space="720" w:num="1"/>
          <w:rtlGutter w:val="0"/>
          <w:docGrid w:type="lines" w:linePitch="451" w:charSpace="0"/>
        </w:sectPr>
      </w:pPr>
    </w:p>
    <w:p w14:paraId="57C02885">
      <w:pPr>
        <w:pStyle w:val="3"/>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b/>
          <w:lang w:val="en-US" w:eastAsia="zh-CN"/>
        </w:rPr>
      </w:pPr>
      <w:bookmarkStart w:id="10" w:name="_Toc11220"/>
      <w:r>
        <w:rPr>
          <w:rFonts w:hint="default" w:ascii="Times New Roman" w:hAnsi="Times New Roman" w:cs="Times New Roman"/>
          <w:b/>
          <w:lang w:val="en-US" w:eastAsia="zh-CN"/>
        </w:rPr>
        <w:t>2.3</w:t>
      </w:r>
      <w:r>
        <w:rPr>
          <w:rFonts w:hint="eastAsia" w:ascii="Times New Roman" w:hAnsi="Times New Roman" w:cs="Times New Roman"/>
          <w:b/>
          <w:lang w:val="en-US" w:eastAsia="zh-CN"/>
        </w:rPr>
        <w:t>环境监测情况</w:t>
      </w:r>
      <w:bookmarkEnd w:id="10"/>
    </w:p>
    <w:p w14:paraId="4365FE9F">
      <w:pPr>
        <w:pStyle w:val="16"/>
        <w:snapToGrid w:val="0"/>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园区定期由管委会委托有资质的环境监测机构承担水环境、环境空气和环境噪声的监测工作</w:t>
      </w:r>
      <w:r>
        <w:rPr>
          <w:rFonts w:hint="eastAsia" w:ascii="Times New Roman" w:hAnsi="Times New Roman" w:eastAsia="仿宋" w:cs="Times New Roman"/>
          <w:kern w:val="2"/>
          <w:sz w:val="32"/>
          <w:szCs w:val="32"/>
          <w:lang w:val="en-US" w:eastAsia="zh-CN" w:bidi="ar-SA"/>
        </w:rPr>
        <w:t>或通过在线监控对污染源进行监测</w:t>
      </w:r>
      <w:r>
        <w:rPr>
          <w:rFonts w:hint="default" w:ascii="Times New Roman" w:hAnsi="Times New Roman" w:eastAsia="仿宋" w:cs="Times New Roman"/>
          <w:kern w:val="2"/>
          <w:sz w:val="32"/>
          <w:szCs w:val="32"/>
          <w:lang w:val="en-US" w:eastAsia="zh-CN" w:bidi="ar-SA"/>
        </w:rPr>
        <w:t>，监测结果定期向</w:t>
      </w:r>
      <w:r>
        <w:rPr>
          <w:rFonts w:hint="eastAsia" w:ascii="Times New Roman" w:hAnsi="Times New Roman" w:eastAsia="仿宋" w:cs="Times New Roman"/>
          <w:kern w:val="2"/>
          <w:sz w:val="32"/>
          <w:szCs w:val="32"/>
          <w:lang w:val="en-US" w:eastAsia="zh-CN" w:bidi="ar-SA"/>
        </w:rPr>
        <w:t>怀化市生态环境局新晃分局</w:t>
      </w:r>
      <w:r>
        <w:rPr>
          <w:rFonts w:hint="default" w:ascii="Times New Roman" w:hAnsi="Times New Roman" w:eastAsia="仿宋" w:cs="Times New Roman"/>
          <w:kern w:val="2"/>
          <w:sz w:val="32"/>
          <w:szCs w:val="32"/>
          <w:lang w:val="en-US" w:eastAsia="zh-CN" w:bidi="ar-SA"/>
        </w:rPr>
        <w:t>报告。</w:t>
      </w:r>
    </w:p>
    <w:p w14:paraId="0A7062B3">
      <w:pPr>
        <w:pStyle w:val="16"/>
        <w:snapToGrid w:val="0"/>
        <w:spacing w:after="0" w:line="600" w:lineRule="exact"/>
        <w:ind w:left="0" w:leftChars="0" w:firstLine="643"/>
        <w:rPr>
          <w:rFonts w:hint="default" w:ascii="Times New Roman" w:hAnsi="Times New Roman" w:eastAsia="仿宋" w:cs="Times New Roman"/>
          <w:kern w:val="2"/>
          <w:sz w:val="32"/>
          <w:szCs w:val="32"/>
          <w:highlight w:val="none"/>
          <w:lang w:val="en-US" w:eastAsia="zh-CN" w:bidi="ar-SA"/>
        </w:rPr>
      </w:pPr>
      <w:r>
        <w:rPr>
          <w:rFonts w:hint="default" w:ascii="Times New Roman" w:hAnsi="Times New Roman" w:eastAsia="仿宋" w:cs="Times New Roman"/>
          <w:kern w:val="2"/>
          <w:sz w:val="32"/>
          <w:szCs w:val="32"/>
          <w:highlight w:val="none"/>
          <w:lang w:val="en-US" w:eastAsia="zh-CN" w:bidi="ar-SA"/>
        </w:rPr>
        <w:t>1、环境空气监测</w:t>
      </w:r>
    </w:p>
    <w:p w14:paraId="7B965293">
      <w:pPr>
        <w:pStyle w:val="16"/>
        <w:snapToGrid w:val="0"/>
        <w:spacing w:after="0" w:line="600" w:lineRule="exact"/>
        <w:ind w:left="0" w:leftChars="0" w:firstLine="643"/>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 w:cs="Times New Roman"/>
          <w:kern w:val="2"/>
          <w:sz w:val="32"/>
          <w:szCs w:val="32"/>
          <w:lang w:val="en-US" w:eastAsia="zh-CN" w:bidi="ar-SA"/>
        </w:rPr>
        <w:t>新晃</w:t>
      </w:r>
      <w:r>
        <w:rPr>
          <w:rFonts w:hint="eastAsia" w:ascii="Times New Roman" w:hAnsi="Times New Roman" w:eastAsia="仿宋" w:cs="Times New Roman"/>
          <w:kern w:val="2"/>
          <w:sz w:val="32"/>
          <w:szCs w:val="32"/>
          <w:lang w:val="en-US" w:eastAsia="zh-CN" w:bidi="ar-SA"/>
        </w:rPr>
        <w:t>产业开发区</w:t>
      </w:r>
      <w:r>
        <w:rPr>
          <w:rFonts w:hint="default" w:ascii="Times New Roman" w:hAnsi="Times New Roman" w:eastAsia="仿宋" w:cs="Times New Roman"/>
          <w:kern w:val="2"/>
          <w:sz w:val="32"/>
          <w:szCs w:val="32"/>
          <w:lang w:val="en-US" w:eastAsia="zh-CN" w:bidi="ar-SA"/>
        </w:rPr>
        <w:t>建设</w:t>
      </w:r>
      <w:r>
        <w:rPr>
          <w:rFonts w:hint="eastAsia" w:ascii="Times New Roman" w:hAnsi="Times New Roman" w:eastAsia="仿宋" w:cs="Times New Roman"/>
          <w:kern w:val="2"/>
          <w:sz w:val="32"/>
          <w:szCs w:val="32"/>
          <w:lang w:val="en-US" w:eastAsia="zh-CN" w:bidi="ar-SA"/>
        </w:rPr>
        <w:t>了两</w:t>
      </w:r>
      <w:r>
        <w:rPr>
          <w:rFonts w:hint="default" w:ascii="Times New Roman" w:hAnsi="Times New Roman" w:eastAsia="仿宋" w:cs="Times New Roman"/>
          <w:kern w:val="2"/>
          <w:sz w:val="32"/>
          <w:szCs w:val="32"/>
          <w:lang w:val="en-US" w:eastAsia="zh-CN" w:bidi="ar-SA"/>
        </w:rPr>
        <w:t>个</w:t>
      </w:r>
      <w:r>
        <w:rPr>
          <w:rFonts w:hint="eastAsia" w:ascii="Times New Roman" w:hAnsi="Times New Roman" w:eastAsia="仿宋" w:cs="Times New Roman"/>
          <w:kern w:val="2"/>
          <w:sz w:val="32"/>
          <w:szCs w:val="32"/>
          <w:lang w:val="en-US" w:eastAsia="zh-CN" w:bidi="ar-SA"/>
        </w:rPr>
        <w:t>环境空气自动监测</w:t>
      </w:r>
      <w:r>
        <w:rPr>
          <w:rFonts w:hint="default" w:ascii="Times New Roman" w:hAnsi="Times New Roman" w:eastAsia="仿宋" w:cs="Times New Roman"/>
          <w:kern w:val="2"/>
          <w:sz w:val="32"/>
          <w:szCs w:val="32"/>
          <w:lang w:val="en-US" w:eastAsia="zh-CN" w:bidi="ar-SA"/>
        </w:rPr>
        <w:t>站，用于实时监测园区空气质量，主要监测SO</w:t>
      </w:r>
      <w:r>
        <w:rPr>
          <w:rFonts w:hint="default" w:ascii="Times New Roman" w:hAnsi="Times New Roman" w:eastAsia="仿宋" w:cs="Times New Roman"/>
          <w:kern w:val="2"/>
          <w:sz w:val="32"/>
          <w:szCs w:val="32"/>
          <w:vertAlign w:val="subscript"/>
          <w:lang w:val="en-US" w:eastAsia="zh-CN" w:bidi="ar-SA"/>
        </w:rPr>
        <w:t>2</w:t>
      </w:r>
      <w:r>
        <w:rPr>
          <w:rFonts w:hint="default" w:ascii="Times New Roman" w:hAnsi="Times New Roman" w:eastAsia="仿宋" w:cs="Times New Roman"/>
          <w:kern w:val="2"/>
          <w:sz w:val="32"/>
          <w:szCs w:val="32"/>
          <w:lang w:val="en-US" w:eastAsia="zh-CN" w:bidi="ar-SA"/>
        </w:rPr>
        <w:t>、NO</w:t>
      </w:r>
      <w:r>
        <w:rPr>
          <w:rFonts w:hint="default" w:ascii="Times New Roman" w:hAnsi="Times New Roman" w:eastAsia="仿宋" w:cs="Times New Roman"/>
          <w:kern w:val="2"/>
          <w:sz w:val="32"/>
          <w:szCs w:val="32"/>
          <w:vertAlign w:val="subscript"/>
          <w:lang w:val="en-US" w:eastAsia="zh-CN" w:bidi="ar-SA"/>
        </w:rPr>
        <w:t>2</w:t>
      </w:r>
      <w:r>
        <w:rPr>
          <w:rFonts w:hint="default" w:ascii="Times New Roman" w:hAnsi="Times New Roman" w:eastAsia="仿宋" w:cs="Times New Roman"/>
          <w:kern w:val="2"/>
          <w:sz w:val="32"/>
          <w:szCs w:val="32"/>
          <w:lang w:val="en-US" w:eastAsia="zh-CN" w:bidi="ar-SA"/>
        </w:rPr>
        <w:t>、PM</w:t>
      </w:r>
      <w:r>
        <w:rPr>
          <w:rFonts w:hint="default" w:ascii="Times New Roman" w:hAnsi="Times New Roman" w:eastAsia="仿宋" w:cs="Times New Roman"/>
          <w:kern w:val="2"/>
          <w:sz w:val="32"/>
          <w:szCs w:val="32"/>
          <w:vertAlign w:val="subscript"/>
          <w:lang w:val="en-US" w:eastAsia="zh-CN" w:bidi="ar-SA"/>
        </w:rPr>
        <w:t>2.5</w:t>
      </w:r>
      <w:r>
        <w:rPr>
          <w:rFonts w:hint="default" w:ascii="Times New Roman" w:hAnsi="Times New Roman" w:eastAsia="仿宋" w:cs="Times New Roman"/>
          <w:kern w:val="2"/>
          <w:sz w:val="32"/>
          <w:szCs w:val="32"/>
          <w:lang w:val="en-US" w:eastAsia="zh-CN" w:bidi="ar-SA"/>
        </w:rPr>
        <w:t>、PM</w:t>
      </w:r>
      <w:r>
        <w:rPr>
          <w:rFonts w:hint="default" w:ascii="Times New Roman" w:hAnsi="Times New Roman" w:eastAsia="仿宋" w:cs="Times New Roman"/>
          <w:kern w:val="2"/>
          <w:sz w:val="32"/>
          <w:szCs w:val="32"/>
          <w:vertAlign w:val="subscript"/>
          <w:lang w:val="en-US" w:eastAsia="zh-CN" w:bidi="ar-SA"/>
        </w:rPr>
        <w:t>10</w:t>
      </w:r>
      <w:r>
        <w:rPr>
          <w:rFonts w:hint="default" w:ascii="Times New Roman" w:hAnsi="Times New Roman" w:eastAsia="仿宋" w:cs="Times New Roman"/>
          <w:kern w:val="2"/>
          <w:sz w:val="32"/>
          <w:szCs w:val="32"/>
          <w:lang w:val="en-US" w:eastAsia="zh-CN" w:bidi="ar-SA"/>
        </w:rPr>
        <w:t>因子，监测数据能稳定上传怀化市环境监测信息平台</w:t>
      </w:r>
      <w:r>
        <w:rPr>
          <w:rFonts w:hint="eastAsia" w:ascii="Times New Roman" w:hAnsi="Times New Roman" w:eastAsia="仿宋" w:cs="Times New Roman"/>
          <w:kern w:val="2"/>
          <w:sz w:val="32"/>
          <w:szCs w:val="32"/>
          <w:lang w:val="en-US" w:eastAsia="zh-CN" w:bidi="ar-SA"/>
        </w:rPr>
        <w:t>。</w:t>
      </w:r>
      <w:r>
        <w:rPr>
          <w:rFonts w:hint="eastAsia" w:ascii="Times New Roman" w:hAnsi="Times New Roman" w:eastAsia="仿宋" w:cs="Times New Roman"/>
          <w:color w:val="000000" w:themeColor="text1"/>
          <w:kern w:val="2"/>
          <w:sz w:val="32"/>
          <w:szCs w:val="32"/>
          <w:lang w:val="en-US" w:eastAsia="zh-CN" w:bidi="ar-SA"/>
          <w14:textFill>
            <w14:solidFill>
              <w14:schemeClr w14:val="tx1"/>
            </w14:solidFill>
          </w14:textFill>
        </w:rPr>
        <w:t>此外，园区2025年按照规划环评要求进行了两次环境空气质量监测，监测点位及因子见下表：</w:t>
      </w:r>
    </w:p>
    <w:p w14:paraId="7480262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表8 环境空气监测情况表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40"/>
        <w:gridCol w:w="2730"/>
        <w:gridCol w:w="1173"/>
        <w:gridCol w:w="1976"/>
      </w:tblGrid>
      <w:tr w14:paraId="349B6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640" w:type="dxa"/>
            <w:tcBorders>
              <w:tl2br w:val="nil"/>
              <w:tr2bl w:val="nil"/>
            </w:tcBorders>
            <w:noWrap w:val="0"/>
            <w:vAlign w:val="center"/>
          </w:tcPr>
          <w:p w14:paraId="1BE0637B">
            <w:pPr>
              <w:adjustRightInd w:val="0"/>
              <w:snapToGrid w:val="0"/>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监测点位</w:t>
            </w:r>
          </w:p>
        </w:tc>
        <w:tc>
          <w:tcPr>
            <w:tcW w:w="3903" w:type="dxa"/>
            <w:gridSpan w:val="2"/>
            <w:tcBorders>
              <w:tl2br w:val="nil"/>
              <w:tr2bl w:val="nil"/>
            </w:tcBorders>
            <w:noWrap w:val="0"/>
            <w:vAlign w:val="center"/>
          </w:tcPr>
          <w:p w14:paraId="120FE93A">
            <w:pPr>
              <w:adjustRightInd w:val="0"/>
              <w:snapToGrid w:val="0"/>
              <w:spacing w:line="240" w:lineRule="auto"/>
              <w:jc w:val="center"/>
              <w:rPr>
                <w:rFonts w:hint="default"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监测</w:t>
            </w:r>
            <w:r>
              <w:rPr>
                <w:rFonts w:hint="default" w:ascii="Times New Roman" w:hAnsi="Times New Roman" w:eastAsia="宋体" w:cs="Times New Roman"/>
                <w:b/>
                <w:bCs/>
                <w:sz w:val="21"/>
                <w:szCs w:val="21"/>
              </w:rPr>
              <w:t>项目</w:t>
            </w:r>
          </w:p>
        </w:tc>
        <w:tc>
          <w:tcPr>
            <w:tcW w:w="1976" w:type="dxa"/>
            <w:tcBorders>
              <w:tl2br w:val="nil"/>
              <w:tr2bl w:val="nil"/>
            </w:tcBorders>
            <w:noWrap w:val="0"/>
            <w:vAlign w:val="center"/>
          </w:tcPr>
          <w:p w14:paraId="3DF3142B">
            <w:pPr>
              <w:adjustRightInd w:val="0"/>
              <w:snapToGrid w:val="0"/>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监测频次</w:t>
            </w:r>
          </w:p>
        </w:tc>
      </w:tr>
      <w:tr w14:paraId="46DBC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640" w:type="dxa"/>
            <w:tcBorders>
              <w:tl2br w:val="nil"/>
              <w:tr2bl w:val="nil"/>
            </w:tcBorders>
            <w:noWrap w:val="0"/>
            <w:vAlign w:val="center"/>
          </w:tcPr>
          <w:p w14:paraId="57B53C75">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G</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鱼市前锋联合村钱家寨</w:t>
            </w:r>
          </w:p>
          <w:p w14:paraId="37429EE3">
            <w:pPr>
              <w:adjustRightInd w:val="0"/>
              <w:snapToGrid w:val="0"/>
              <w:spacing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G</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光辉村石板冲</w:t>
            </w:r>
          </w:p>
          <w:p w14:paraId="339CED2F">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auto"/>
                <w:sz w:val="21"/>
                <w:szCs w:val="21"/>
                <w:highlight w:val="none"/>
                <w:lang w:val="en-US" w:eastAsia="zh-CN"/>
              </w:rPr>
              <w:t>G</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鱼市镇卫生院</w:t>
            </w:r>
          </w:p>
        </w:tc>
        <w:tc>
          <w:tcPr>
            <w:tcW w:w="2730" w:type="dxa"/>
            <w:tcBorders>
              <w:tl2br w:val="nil"/>
              <w:tr2bl w:val="nil"/>
            </w:tcBorders>
            <w:noWrap w:val="0"/>
            <w:vAlign w:val="center"/>
          </w:tcPr>
          <w:p w14:paraId="43541A03">
            <w:pPr>
              <w:adjustRightInd w:val="0"/>
              <w:snapToGrid w:val="0"/>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10</w:t>
            </w:r>
            <w:r>
              <w:rPr>
                <w:rFonts w:hint="default" w:ascii="Times New Roman" w:hAnsi="Times New Roman" w:eastAsia="宋体" w:cs="Times New Roman"/>
                <w:sz w:val="21"/>
                <w:szCs w:val="21"/>
              </w:rPr>
              <w:t>、SO</w:t>
            </w:r>
            <w:r>
              <w:rPr>
                <w:rFonts w:hint="default" w:ascii="Times New Roman" w:hAnsi="Times New Roman" w:eastAsia="宋体" w:cs="Times New Roman"/>
                <w:sz w:val="21"/>
                <w:szCs w:val="21"/>
                <w:vertAlign w:val="subscript"/>
              </w:rPr>
              <w:t>2</w:t>
            </w:r>
            <w:r>
              <w:rPr>
                <w:rFonts w:hint="default" w:ascii="Times New Roman" w:hAnsi="Times New Roman" w:eastAsia="宋体" w:cs="Times New Roman"/>
                <w:sz w:val="21"/>
                <w:szCs w:val="21"/>
              </w:rPr>
              <w:t>、NO</w:t>
            </w:r>
            <w:r>
              <w:rPr>
                <w:rFonts w:hint="default" w:ascii="Times New Roman" w:hAnsi="Times New Roman" w:eastAsia="宋体" w:cs="Times New Roman"/>
                <w:sz w:val="21"/>
                <w:szCs w:val="21"/>
                <w:vertAlign w:val="subscript"/>
              </w:rPr>
              <w:t>2</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2.5</w:t>
            </w:r>
          </w:p>
        </w:tc>
        <w:tc>
          <w:tcPr>
            <w:tcW w:w="1173" w:type="dxa"/>
            <w:tcBorders>
              <w:tl2br w:val="nil"/>
              <w:tr2bl w:val="nil"/>
            </w:tcBorders>
            <w:noWrap w:val="0"/>
            <w:vAlign w:val="center"/>
          </w:tcPr>
          <w:p w14:paraId="54C5FFCE">
            <w:pPr>
              <w:adjustRightInd w:val="0"/>
              <w:snapToGrid w:val="0"/>
              <w:spacing w:line="240" w:lineRule="auto"/>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24h均值</w:t>
            </w:r>
          </w:p>
        </w:tc>
        <w:tc>
          <w:tcPr>
            <w:tcW w:w="1976" w:type="dxa"/>
            <w:tcBorders>
              <w:tl2br w:val="nil"/>
              <w:tr2bl w:val="nil"/>
            </w:tcBorders>
            <w:noWrap w:val="0"/>
            <w:vAlign w:val="center"/>
          </w:tcPr>
          <w:p w14:paraId="31856405">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每年冬季</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夏季各</w:t>
            </w:r>
            <w:r>
              <w:rPr>
                <w:rFonts w:hint="default" w:ascii="Times New Roman" w:hAnsi="Times New Roman" w:eastAsia="宋体" w:cs="Times New Roman"/>
                <w:sz w:val="21"/>
                <w:szCs w:val="21"/>
              </w:rPr>
              <w:t>监测一次，每次监测7天</w:t>
            </w:r>
          </w:p>
        </w:tc>
      </w:tr>
      <w:tr w14:paraId="4C789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640" w:type="dxa"/>
            <w:tcBorders>
              <w:tl2br w:val="nil"/>
              <w:tr2bl w:val="nil"/>
            </w:tcBorders>
            <w:noWrap w:val="0"/>
            <w:vAlign w:val="center"/>
          </w:tcPr>
          <w:p w14:paraId="2ECF1200">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G4柏树林村</w:t>
            </w:r>
          </w:p>
        </w:tc>
        <w:tc>
          <w:tcPr>
            <w:tcW w:w="2730" w:type="dxa"/>
            <w:tcBorders>
              <w:tl2br w:val="nil"/>
              <w:tr2bl w:val="nil"/>
            </w:tcBorders>
            <w:noWrap w:val="0"/>
            <w:vAlign w:val="center"/>
          </w:tcPr>
          <w:p w14:paraId="4CC8F582">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z w:val="21"/>
                <w:szCs w:val="21"/>
              </w:rPr>
              <w:t>PM</w:t>
            </w:r>
            <w:r>
              <w:rPr>
                <w:rFonts w:hint="default" w:ascii="Times New Roman" w:hAnsi="Times New Roman" w:eastAsia="宋体" w:cs="Times New Roman"/>
                <w:sz w:val="21"/>
                <w:szCs w:val="21"/>
                <w:vertAlign w:val="subscript"/>
              </w:rPr>
              <w:t>10</w:t>
            </w:r>
            <w:r>
              <w:rPr>
                <w:rFonts w:hint="default" w:ascii="Times New Roman" w:hAnsi="Times New Roman" w:eastAsia="宋体" w:cs="Times New Roman"/>
                <w:sz w:val="21"/>
                <w:szCs w:val="21"/>
              </w:rPr>
              <w:t>、SO</w:t>
            </w:r>
            <w:r>
              <w:rPr>
                <w:rFonts w:hint="default" w:ascii="Times New Roman" w:hAnsi="Times New Roman" w:eastAsia="宋体" w:cs="Times New Roman"/>
                <w:sz w:val="21"/>
                <w:szCs w:val="21"/>
                <w:vertAlign w:val="subscript"/>
              </w:rPr>
              <w:t>2</w:t>
            </w:r>
            <w:r>
              <w:rPr>
                <w:rFonts w:hint="default" w:ascii="Times New Roman" w:hAnsi="Times New Roman" w:eastAsia="宋体" w:cs="Times New Roman"/>
                <w:sz w:val="21"/>
                <w:szCs w:val="21"/>
              </w:rPr>
              <w:t>、NO</w:t>
            </w:r>
            <w:r>
              <w:rPr>
                <w:rFonts w:hint="default" w:ascii="Times New Roman" w:hAnsi="Times New Roman" w:eastAsia="宋体" w:cs="Times New Roman"/>
                <w:sz w:val="21"/>
                <w:szCs w:val="21"/>
                <w:vertAlign w:val="subscript"/>
              </w:rPr>
              <w:t>2</w:t>
            </w:r>
          </w:p>
        </w:tc>
        <w:tc>
          <w:tcPr>
            <w:tcW w:w="1173" w:type="dxa"/>
            <w:tcBorders>
              <w:tl2br w:val="nil"/>
              <w:tr2bl w:val="nil"/>
            </w:tcBorders>
            <w:noWrap w:val="0"/>
            <w:vAlign w:val="center"/>
          </w:tcPr>
          <w:p w14:paraId="11B11BDA">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sz w:val="21"/>
                <w:szCs w:val="21"/>
                <w:lang w:val="en-US" w:eastAsia="zh-CN"/>
              </w:rPr>
              <w:t>24h均值</w:t>
            </w:r>
          </w:p>
        </w:tc>
        <w:tc>
          <w:tcPr>
            <w:tcW w:w="1976" w:type="dxa"/>
            <w:tcBorders>
              <w:tl2br w:val="nil"/>
              <w:tr2bl w:val="nil"/>
            </w:tcBorders>
            <w:noWrap w:val="0"/>
            <w:vAlign w:val="center"/>
          </w:tcPr>
          <w:p w14:paraId="43F3AE5A">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z w:val="21"/>
                <w:szCs w:val="21"/>
              </w:rPr>
              <w:t>每年冬季</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夏季各</w:t>
            </w:r>
            <w:r>
              <w:rPr>
                <w:rFonts w:hint="default" w:ascii="Times New Roman" w:hAnsi="Times New Roman" w:eastAsia="宋体" w:cs="Times New Roman"/>
                <w:sz w:val="21"/>
                <w:szCs w:val="21"/>
              </w:rPr>
              <w:t>监测一次，每次监测7天</w:t>
            </w:r>
          </w:p>
        </w:tc>
      </w:tr>
    </w:tbl>
    <w:p w14:paraId="7AB70921">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各监测点位监测结果均满足《环境空气质量标准》（GB3095-2012）中二级标准要求。</w:t>
      </w:r>
    </w:p>
    <w:p w14:paraId="081AA6F8">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w:t>
      </w:r>
      <w:r>
        <w:rPr>
          <w:rFonts w:hint="default" w:ascii="Times New Roman" w:hAnsi="Times New Roman" w:eastAsia="仿宋" w:cs="Times New Roman"/>
          <w:kern w:val="2"/>
          <w:sz w:val="32"/>
          <w:szCs w:val="32"/>
          <w:lang w:val="en-US" w:eastAsia="zh-CN" w:bidi="ar-SA"/>
        </w:rPr>
        <w:t>土壤环境监测</w:t>
      </w:r>
    </w:p>
    <w:p w14:paraId="57EA9B36">
      <w:pPr>
        <w:pStyle w:val="16"/>
        <w:snapToGrid w:val="0"/>
        <w:spacing w:after="0" w:line="600" w:lineRule="exact"/>
        <w:ind w:left="0" w:leftChars="0" w:firstLine="643"/>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园区的土壤重点管理企业均按照要求自行委托第三方公司进行了土壤监测，并且园区于2025年根据规划环评要求进行了园区土壤环境监测，监测点位及因子见下表：</w:t>
      </w:r>
    </w:p>
    <w:p w14:paraId="73E0B3DF">
      <w:pPr>
        <w:pStyle w:val="16"/>
        <w:snapToGrid w:val="0"/>
        <w:spacing w:after="0" w:line="600" w:lineRule="exact"/>
        <w:ind w:left="0" w:leftChars="0" w:firstLine="0" w:firstLineChars="0"/>
        <w:jc w:val="center"/>
        <w:rPr>
          <w:rFonts w:hint="eastAsia" w:ascii="Times New Roman" w:hAnsi="Times New Roman" w:eastAsia="仿宋" w:cs="Times New Roman"/>
          <w:kern w:val="2"/>
          <w:sz w:val="32"/>
          <w:szCs w:val="32"/>
          <w:lang w:val="en-US" w:eastAsia="zh-CN" w:bidi="ar-SA"/>
        </w:rPr>
      </w:pPr>
      <w:r>
        <w:rPr>
          <w:rFonts w:hint="eastAsia" w:ascii="仿宋" w:hAnsi="仿宋" w:eastAsia="仿宋" w:cs="仿宋"/>
          <w:b/>
          <w:bCs w:val="0"/>
          <w:color w:val="auto"/>
          <w:sz w:val="21"/>
          <w:szCs w:val="21"/>
          <w:highlight w:val="none"/>
          <w:lang w:val="en-US" w:eastAsia="zh-CN"/>
        </w:rPr>
        <w:t>表9 土壤监测情况表</w:t>
      </w:r>
    </w:p>
    <w:tbl>
      <w:tblPr>
        <w:tblStyle w:val="17"/>
        <w:tblW w:w="85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72"/>
        <w:gridCol w:w="3900"/>
        <w:gridCol w:w="1762"/>
      </w:tblGrid>
      <w:tr w14:paraId="2200E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tblHeader/>
          <w:jc w:val="center"/>
        </w:trPr>
        <w:tc>
          <w:tcPr>
            <w:tcW w:w="2872" w:type="dxa"/>
            <w:tcBorders>
              <w:tl2br w:val="nil"/>
              <w:tr2bl w:val="nil"/>
            </w:tcBorders>
            <w:vAlign w:val="center"/>
          </w:tcPr>
          <w:p w14:paraId="5B0421E6">
            <w:pPr>
              <w:adjustRightInd w:val="0"/>
              <w:snapToGrid w:val="0"/>
              <w:spacing w:line="240" w:lineRule="auto"/>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监测点位</w:t>
            </w:r>
          </w:p>
        </w:tc>
        <w:tc>
          <w:tcPr>
            <w:tcW w:w="3900" w:type="dxa"/>
            <w:tcBorders>
              <w:tl2br w:val="nil"/>
              <w:tr2bl w:val="nil"/>
            </w:tcBorders>
            <w:vAlign w:val="center"/>
          </w:tcPr>
          <w:p w14:paraId="7B2ABF8D">
            <w:pPr>
              <w:adjustRightInd w:val="0"/>
              <w:snapToGrid w:val="0"/>
              <w:spacing w:line="240" w:lineRule="auto"/>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监测因子</w:t>
            </w:r>
          </w:p>
        </w:tc>
        <w:tc>
          <w:tcPr>
            <w:tcW w:w="1762" w:type="dxa"/>
            <w:tcBorders>
              <w:tl2br w:val="nil"/>
              <w:tr2bl w:val="nil"/>
            </w:tcBorders>
            <w:vAlign w:val="center"/>
          </w:tcPr>
          <w:p w14:paraId="47EF007F">
            <w:pPr>
              <w:adjustRightInd w:val="0"/>
              <w:snapToGrid w:val="0"/>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监测频次</w:t>
            </w:r>
          </w:p>
        </w:tc>
      </w:tr>
      <w:tr w14:paraId="616E17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2872" w:type="dxa"/>
            <w:tcBorders>
              <w:tl2br w:val="nil"/>
              <w:tr2bl w:val="nil"/>
            </w:tcBorders>
            <w:vAlign w:val="center"/>
          </w:tcPr>
          <w:p w14:paraId="062BF133">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T1</w:t>
            </w:r>
            <w:r>
              <w:rPr>
                <w:rFonts w:hint="eastAsia"/>
                <w:color w:val="auto"/>
                <w:sz w:val="21"/>
                <w:szCs w:val="21"/>
                <w:highlight w:val="none"/>
              </w:rPr>
              <w:t>工业园工业固废填埋场</w:t>
            </w:r>
          </w:p>
        </w:tc>
        <w:tc>
          <w:tcPr>
            <w:tcW w:w="3900" w:type="dxa"/>
            <w:vMerge w:val="restart"/>
            <w:tcBorders>
              <w:tl2br w:val="nil"/>
              <w:tr2bl w:val="nil"/>
            </w:tcBorders>
            <w:vAlign w:val="center"/>
          </w:tcPr>
          <w:p w14:paraId="0E07469F">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pH、镉、汞、砷、铅、铬、铜、镍、锌、钨、钴</w:t>
            </w:r>
          </w:p>
        </w:tc>
        <w:tc>
          <w:tcPr>
            <w:tcW w:w="1762" w:type="dxa"/>
            <w:vMerge w:val="restart"/>
            <w:tcBorders>
              <w:tl2br w:val="nil"/>
              <w:tr2bl w:val="nil"/>
            </w:tcBorders>
            <w:vAlign w:val="center"/>
          </w:tcPr>
          <w:p w14:paraId="2D0A1E15">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每半年1次</w:t>
            </w:r>
          </w:p>
        </w:tc>
      </w:tr>
      <w:tr w14:paraId="375E71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2872" w:type="dxa"/>
            <w:tcBorders>
              <w:tl2br w:val="nil"/>
              <w:tr2bl w:val="nil"/>
            </w:tcBorders>
            <w:vAlign w:val="center"/>
          </w:tcPr>
          <w:p w14:paraId="1A88B13A">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T2</w:t>
            </w:r>
            <w:r>
              <w:rPr>
                <w:rFonts w:hint="eastAsia"/>
                <w:color w:val="auto"/>
                <w:sz w:val="21"/>
                <w:szCs w:val="21"/>
                <w:highlight w:val="none"/>
              </w:rPr>
              <w:t>鱼市前锋联合村钱家寨</w:t>
            </w:r>
          </w:p>
        </w:tc>
        <w:tc>
          <w:tcPr>
            <w:tcW w:w="3900" w:type="dxa"/>
            <w:vMerge w:val="continue"/>
            <w:tcBorders>
              <w:tl2br w:val="nil"/>
              <w:tr2bl w:val="nil"/>
            </w:tcBorders>
            <w:vAlign w:val="center"/>
          </w:tcPr>
          <w:p w14:paraId="03516665">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p>
        </w:tc>
        <w:tc>
          <w:tcPr>
            <w:tcW w:w="1762" w:type="dxa"/>
            <w:vMerge w:val="continue"/>
            <w:tcBorders>
              <w:tl2br w:val="nil"/>
              <w:tr2bl w:val="nil"/>
            </w:tcBorders>
            <w:vAlign w:val="center"/>
          </w:tcPr>
          <w:p w14:paraId="30F7442B">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p>
        </w:tc>
      </w:tr>
      <w:tr w14:paraId="535B83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2872" w:type="dxa"/>
            <w:tcBorders>
              <w:tl2br w:val="nil"/>
              <w:tr2bl w:val="nil"/>
            </w:tcBorders>
            <w:vAlign w:val="center"/>
          </w:tcPr>
          <w:p w14:paraId="176186EB">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T3舞水临近工业园工业固体废物填埋场处（底泥）</w:t>
            </w:r>
          </w:p>
        </w:tc>
        <w:tc>
          <w:tcPr>
            <w:tcW w:w="3900" w:type="dxa"/>
            <w:vMerge w:val="continue"/>
            <w:tcBorders>
              <w:tl2br w:val="nil"/>
              <w:tr2bl w:val="nil"/>
            </w:tcBorders>
            <w:vAlign w:val="center"/>
          </w:tcPr>
          <w:p w14:paraId="30A901CD">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p>
        </w:tc>
        <w:tc>
          <w:tcPr>
            <w:tcW w:w="1762" w:type="dxa"/>
            <w:vMerge w:val="continue"/>
            <w:tcBorders>
              <w:tl2br w:val="nil"/>
              <w:tr2bl w:val="nil"/>
            </w:tcBorders>
            <w:vAlign w:val="center"/>
          </w:tcPr>
          <w:p w14:paraId="647F6750">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p>
        </w:tc>
      </w:tr>
      <w:tr w14:paraId="63990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2872" w:type="dxa"/>
            <w:tcBorders>
              <w:tl2br w:val="nil"/>
              <w:tr2bl w:val="nil"/>
            </w:tcBorders>
            <w:vAlign w:val="center"/>
          </w:tcPr>
          <w:p w14:paraId="2D60B67E">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T4前锋工业园污水处理厂排口处（底泥）</w:t>
            </w:r>
          </w:p>
        </w:tc>
        <w:tc>
          <w:tcPr>
            <w:tcW w:w="3900" w:type="dxa"/>
            <w:vMerge w:val="continue"/>
            <w:tcBorders>
              <w:tl2br w:val="nil"/>
              <w:tr2bl w:val="nil"/>
            </w:tcBorders>
            <w:vAlign w:val="center"/>
          </w:tcPr>
          <w:p w14:paraId="1E18FF00">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p>
        </w:tc>
        <w:tc>
          <w:tcPr>
            <w:tcW w:w="1762" w:type="dxa"/>
            <w:vMerge w:val="continue"/>
            <w:tcBorders>
              <w:tl2br w:val="nil"/>
              <w:tr2bl w:val="nil"/>
            </w:tcBorders>
            <w:vAlign w:val="center"/>
          </w:tcPr>
          <w:p w14:paraId="2666F2D7">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p>
        </w:tc>
      </w:tr>
    </w:tbl>
    <w:p w14:paraId="6B8F9516">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土壤监测结果均符合《</w:t>
      </w:r>
      <w:r>
        <w:rPr>
          <w:rFonts w:hint="eastAsia" w:ascii="Times New Roman" w:hAnsi="Times New Roman" w:eastAsia="仿宋" w:cs="Times New Roman"/>
          <w:kern w:val="2"/>
          <w:sz w:val="32"/>
          <w:szCs w:val="32"/>
          <w:lang w:val="en-US" w:eastAsia="zh-CN" w:bidi="ar-SA"/>
        </w:rPr>
        <w:fldChar w:fldCharType="begin"/>
      </w:r>
      <w:r>
        <w:rPr>
          <w:rFonts w:hint="eastAsia" w:ascii="Times New Roman" w:hAnsi="Times New Roman" w:eastAsia="仿宋" w:cs="Times New Roman"/>
          <w:kern w:val="2"/>
          <w:sz w:val="32"/>
          <w:szCs w:val="32"/>
          <w:lang w:val="en-US" w:eastAsia="zh-CN" w:bidi="ar-SA"/>
        </w:rPr>
        <w:instrText xml:space="preserve"> HYPERLINK "https://www.mee.gov.cn/ywgz/fgbz/bz/bzwb/trhj/201807/W020190626596188930731.pdf" </w:instrText>
      </w:r>
      <w:r>
        <w:rPr>
          <w:rFonts w:hint="eastAsia" w:ascii="Times New Roman" w:hAnsi="Times New Roman" w:eastAsia="仿宋" w:cs="Times New Roman"/>
          <w:kern w:val="2"/>
          <w:sz w:val="32"/>
          <w:szCs w:val="32"/>
          <w:lang w:val="en-US" w:eastAsia="zh-CN" w:bidi="ar-SA"/>
        </w:rPr>
        <w:fldChar w:fldCharType="separate"/>
      </w:r>
      <w:r>
        <w:rPr>
          <w:rFonts w:hint="eastAsia" w:ascii="Times New Roman" w:hAnsi="Times New Roman" w:eastAsia="仿宋" w:cs="Times New Roman"/>
          <w:kern w:val="2"/>
          <w:sz w:val="32"/>
          <w:szCs w:val="32"/>
          <w:lang w:val="en-US" w:eastAsia="zh-CN" w:bidi="ar-SA"/>
        </w:rPr>
        <w:t>土壤环境质量 建设用地土壤污染风险管控标准（试行）</w:t>
      </w:r>
      <w:r>
        <w:rPr>
          <w:rFonts w:hint="eastAsia" w:ascii="Times New Roman" w:hAnsi="Times New Roman" w:eastAsia="仿宋" w:cs="Times New Roman"/>
          <w:kern w:val="2"/>
          <w:sz w:val="32"/>
          <w:szCs w:val="32"/>
          <w:lang w:val="en-US" w:eastAsia="zh-CN" w:bidi="ar-SA"/>
        </w:rPr>
        <w:fldChar w:fldCharType="end"/>
      </w:r>
      <w:r>
        <w:rPr>
          <w:rFonts w:hint="eastAsia" w:ascii="Times New Roman" w:hAnsi="Times New Roman" w:eastAsia="仿宋" w:cs="Times New Roman"/>
          <w:kern w:val="2"/>
          <w:sz w:val="32"/>
          <w:szCs w:val="32"/>
          <w:lang w:val="en-US" w:eastAsia="zh-CN" w:bidi="ar-SA"/>
        </w:rPr>
        <w:t>》（GB 36600-2018）表1和表2风险筛选值，及《土壤环境质量 农用地土壤污染风险管控标准》（GB 15618-2018）表1中风险筛选值。</w:t>
      </w:r>
    </w:p>
    <w:p w14:paraId="0D4AF390">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3、水环境</w:t>
      </w:r>
      <w:r>
        <w:rPr>
          <w:rFonts w:hint="default" w:ascii="Times New Roman" w:hAnsi="Times New Roman" w:eastAsia="仿宋" w:cs="Times New Roman"/>
          <w:kern w:val="2"/>
          <w:sz w:val="32"/>
          <w:szCs w:val="32"/>
          <w:lang w:val="en-US" w:eastAsia="zh-CN" w:bidi="ar-SA"/>
        </w:rPr>
        <w:t>监测</w:t>
      </w:r>
    </w:p>
    <w:p w14:paraId="60CFBCCE">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园区</w:t>
      </w:r>
      <w:r>
        <w:rPr>
          <w:rFonts w:hint="eastAsia" w:ascii="Times New Roman" w:hAnsi="Times New Roman" w:eastAsia="仿宋" w:cs="Times New Roman"/>
          <w:kern w:val="2"/>
          <w:sz w:val="32"/>
          <w:szCs w:val="32"/>
          <w:lang w:val="en-US" w:eastAsia="zh-CN" w:bidi="ar-SA"/>
        </w:rPr>
        <w:t>2025年根据规划环评要求进行了地表水以及地下水环境的监测，</w:t>
      </w:r>
      <w:r>
        <w:rPr>
          <w:rFonts w:hint="default" w:ascii="Times New Roman" w:hAnsi="Times New Roman" w:eastAsia="仿宋" w:cs="Times New Roman"/>
          <w:kern w:val="2"/>
          <w:sz w:val="32"/>
          <w:szCs w:val="32"/>
          <w:lang w:val="en-US" w:eastAsia="zh-CN" w:bidi="ar-SA"/>
        </w:rPr>
        <w:t>监测</w:t>
      </w:r>
      <w:r>
        <w:rPr>
          <w:rFonts w:hint="eastAsia" w:ascii="Times New Roman" w:hAnsi="Times New Roman" w:eastAsia="仿宋" w:cs="Times New Roman"/>
          <w:kern w:val="2"/>
          <w:sz w:val="32"/>
          <w:szCs w:val="32"/>
          <w:lang w:val="en-US" w:eastAsia="zh-CN" w:bidi="ar-SA"/>
        </w:rPr>
        <w:t>情况</w:t>
      </w:r>
      <w:r>
        <w:rPr>
          <w:rFonts w:hint="default" w:ascii="Times New Roman" w:hAnsi="Times New Roman" w:eastAsia="仿宋" w:cs="Times New Roman"/>
          <w:kern w:val="2"/>
          <w:sz w:val="32"/>
          <w:szCs w:val="32"/>
          <w:lang w:val="en-US" w:eastAsia="zh-CN" w:bidi="ar-SA"/>
        </w:rPr>
        <w:t>见表</w:t>
      </w:r>
      <w:r>
        <w:rPr>
          <w:rFonts w:hint="eastAsia" w:ascii="Times New Roman" w:hAnsi="Times New Roman" w:eastAsia="仿宋" w:cs="Times New Roman"/>
          <w:kern w:val="2"/>
          <w:sz w:val="32"/>
          <w:szCs w:val="32"/>
          <w:lang w:val="en-US" w:eastAsia="zh-CN" w:bidi="ar-SA"/>
        </w:rPr>
        <w:t>10至表11</w:t>
      </w:r>
      <w:r>
        <w:rPr>
          <w:rFonts w:hint="default" w:ascii="Times New Roman" w:hAnsi="Times New Roman" w:eastAsia="仿宋" w:cs="Times New Roman"/>
          <w:kern w:val="2"/>
          <w:sz w:val="32"/>
          <w:szCs w:val="32"/>
          <w:lang w:val="en-US" w:eastAsia="zh-CN" w:bidi="ar-SA"/>
        </w:rPr>
        <w:t>。</w:t>
      </w:r>
    </w:p>
    <w:p w14:paraId="7036EE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1"/>
          <w:szCs w:val="21"/>
          <w:highlight w:val="none"/>
          <w:lang w:val="en-US" w:eastAsia="zh-CN"/>
        </w:rPr>
      </w:pPr>
      <w:r>
        <w:rPr>
          <w:rFonts w:hint="default" w:ascii="仿宋" w:hAnsi="仿宋" w:eastAsia="仿宋" w:cs="仿宋"/>
          <w:b/>
          <w:bCs w:val="0"/>
          <w:color w:val="auto"/>
          <w:sz w:val="21"/>
          <w:szCs w:val="21"/>
          <w:highlight w:val="none"/>
          <w:lang w:val="zh-CN" w:eastAsia="zh-CN"/>
        </w:rPr>
        <w:t>表</w:t>
      </w:r>
      <w:r>
        <w:rPr>
          <w:rFonts w:hint="eastAsia" w:ascii="仿宋" w:hAnsi="仿宋" w:eastAsia="仿宋" w:cs="仿宋"/>
          <w:b/>
          <w:bCs w:val="0"/>
          <w:color w:val="auto"/>
          <w:sz w:val="21"/>
          <w:szCs w:val="21"/>
          <w:highlight w:val="none"/>
          <w:lang w:val="en-US" w:eastAsia="zh-CN"/>
        </w:rPr>
        <w:t xml:space="preserve">10 </w:t>
      </w:r>
      <w:r>
        <w:rPr>
          <w:rFonts w:hint="default" w:ascii="仿宋" w:hAnsi="仿宋" w:eastAsia="仿宋" w:cs="仿宋"/>
          <w:b/>
          <w:bCs w:val="0"/>
          <w:color w:val="auto"/>
          <w:sz w:val="21"/>
          <w:szCs w:val="21"/>
          <w:highlight w:val="none"/>
          <w:lang w:val="zh-CN" w:eastAsia="zh-CN"/>
        </w:rPr>
        <w:t>地表水环境监测</w:t>
      </w:r>
      <w:r>
        <w:rPr>
          <w:rFonts w:hint="eastAsia" w:ascii="仿宋" w:hAnsi="仿宋" w:eastAsia="仿宋" w:cs="仿宋"/>
          <w:b/>
          <w:bCs w:val="0"/>
          <w:color w:val="auto"/>
          <w:sz w:val="21"/>
          <w:szCs w:val="21"/>
          <w:highlight w:val="none"/>
          <w:lang w:val="en-US" w:eastAsia="zh-CN"/>
        </w:rPr>
        <w:t>情况表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55"/>
        <w:gridCol w:w="3488"/>
        <w:gridCol w:w="1976"/>
      </w:tblGrid>
      <w:tr w14:paraId="33D10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055" w:type="dxa"/>
            <w:tcBorders>
              <w:tl2br w:val="nil"/>
              <w:tr2bl w:val="nil"/>
            </w:tcBorders>
            <w:noWrap w:val="0"/>
            <w:vAlign w:val="center"/>
          </w:tcPr>
          <w:p w14:paraId="51C03AAC">
            <w:pPr>
              <w:adjustRightInd w:val="0"/>
              <w:snapToGrid w:val="0"/>
              <w:spacing w:line="240" w:lineRule="auto"/>
              <w:jc w:val="center"/>
              <w:rPr>
                <w:rFonts w:hint="eastAsia"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rPr>
              <w:t>监测</w:t>
            </w:r>
            <w:r>
              <w:rPr>
                <w:rFonts w:hint="eastAsia" w:ascii="Times New Roman" w:hAnsi="Times New Roman" w:eastAsia="宋体" w:cs="Times New Roman"/>
                <w:b/>
                <w:bCs/>
                <w:sz w:val="21"/>
                <w:szCs w:val="21"/>
                <w:lang w:val="en-US" w:eastAsia="zh-CN"/>
              </w:rPr>
              <w:t>断面</w:t>
            </w:r>
          </w:p>
        </w:tc>
        <w:tc>
          <w:tcPr>
            <w:tcW w:w="3488" w:type="dxa"/>
            <w:tcBorders>
              <w:tl2br w:val="nil"/>
              <w:tr2bl w:val="nil"/>
            </w:tcBorders>
            <w:noWrap w:val="0"/>
            <w:vAlign w:val="center"/>
          </w:tcPr>
          <w:p w14:paraId="23F27FCB">
            <w:pPr>
              <w:adjustRightInd w:val="0"/>
              <w:snapToGrid w:val="0"/>
              <w:spacing w:line="240" w:lineRule="auto"/>
              <w:jc w:val="center"/>
              <w:rPr>
                <w:rFonts w:hint="default"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监测</w:t>
            </w:r>
            <w:r>
              <w:rPr>
                <w:rFonts w:hint="default" w:ascii="Times New Roman" w:hAnsi="Times New Roman" w:eastAsia="宋体" w:cs="Times New Roman"/>
                <w:b/>
                <w:bCs/>
                <w:sz w:val="21"/>
                <w:szCs w:val="21"/>
              </w:rPr>
              <w:t>项目</w:t>
            </w:r>
          </w:p>
        </w:tc>
        <w:tc>
          <w:tcPr>
            <w:tcW w:w="1976" w:type="dxa"/>
            <w:tcBorders>
              <w:tl2br w:val="nil"/>
              <w:tr2bl w:val="nil"/>
            </w:tcBorders>
            <w:noWrap w:val="0"/>
            <w:vAlign w:val="center"/>
          </w:tcPr>
          <w:p w14:paraId="7BBA4374">
            <w:pPr>
              <w:adjustRightInd w:val="0"/>
              <w:snapToGrid w:val="0"/>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监测频次</w:t>
            </w:r>
          </w:p>
        </w:tc>
      </w:tr>
      <w:tr w14:paraId="55430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3055" w:type="dxa"/>
            <w:tcBorders>
              <w:tl2br w:val="nil"/>
              <w:tr2bl w:val="nil"/>
            </w:tcBorders>
            <w:noWrap w:val="0"/>
            <w:vAlign w:val="center"/>
          </w:tcPr>
          <w:p w14:paraId="6FA24F7D">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S1前锋片区舞水上游边界处</w:t>
            </w:r>
          </w:p>
          <w:p w14:paraId="6DD23DE6">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S2园区污水处理厂排污口上游1500m</w:t>
            </w:r>
          </w:p>
          <w:p w14:paraId="153FC9D3">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S3前锋工业园污水处理厂排污口下游1500m</w:t>
            </w:r>
          </w:p>
          <w:p w14:paraId="47E3F7CF">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S4酒店塘污水处理站排口下游500m</w:t>
            </w:r>
          </w:p>
          <w:p w14:paraId="15E61B20">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S5安圣电池下游1500m</w:t>
            </w:r>
          </w:p>
          <w:p w14:paraId="31962DCE">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S6舞水备用取水口处</w:t>
            </w:r>
          </w:p>
          <w:p w14:paraId="07719C59">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S7舞水柏树林片区边界</w:t>
            </w:r>
          </w:p>
        </w:tc>
        <w:tc>
          <w:tcPr>
            <w:tcW w:w="3488" w:type="dxa"/>
            <w:tcBorders>
              <w:tl2br w:val="nil"/>
              <w:tr2bl w:val="nil"/>
            </w:tcBorders>
            <w:noWrap w:val="0"/>
            <w:vAlign w:val="center"/>
          </w:tcPr>
          <w:p w14:paraId="1A299367">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pH、SS、COD、氨氮、总氮、BOD</w:t>
            </w:r>
            <w:r>
              <w:rPr>
                <w:rFonts w:hint="default" w:ascii="Times New Roman" w:hAnsi="Times New Roman" w:eastAsia="宋体" w:cs="Times New Roman"/>
                <w:color w:val="auto"/>
                <w:sz w:val="21"/>
                <w:szCs w:val="21"/>
                <w:highlight w:val="none"/>
                <w:vertAlign w:val="subscript"/>
                <w:lang w:val="en-US" w:eastAsia="zh-CN"/>
              </w:rPr>
              <w:t>5</w:t>
            </w:r>
            <w:r>
              <w:rPr>
                <w:rFonts w:hint="default" w:ascii="Times New Roman" w:hAnsi="Times New Roman" w:eastAsia="宋体" w:cs="Times New Roman"/>
                <w:color w:val="auto"/>
                <w:sz w:val="21"/>
                <w:szCs w:val="21"/>
                <w:highlight w:val="none"/>
                <w:lang w:val="en-US" w:eastAsia="zh-CN"/>
              </w:rPr>
              <w:t>、总磷、氰化物、氟化物、硫化物、挥发酚、石油类、阴离子表面活性剂、粪大肠菌群、Cr</w:t>
            </w:r>
            <w:r>
              <w:rPr>
                <w:rFonts w:hint="default" w:ascii="Times New Roman" w:hAnsi="Times New Roman" w:eastAsia="宋体" w:cs="Times New Roman"/>
                <w:color w:val="auto"/>
                <w:sz w:val="21"/>
                <w:szCs w:val="21"/>
                <w:highlight w:val="none"/>
                <w:vertAlign w:val="superscript"/>
                <w:lang w:val="en-US" w:eastAsia="zh-CN"/>
              </w:rPr>
              <w:t>6+</w:t>
            </w:r>
            <w:r>
              <w:rPr>
                <w:rFonts w:hint="default" w:ascii="Times New Roman" w:hAnsi="Times New Roman" w:eastAsia="宋体" w:cs="Times New Roman"/>
                <w:color w:val="auto"/>
                <w:sz w:val="21"/>
                <w:szCs w:val="21"/>
                <w:highlight w:val="none"/>
                <w:lang w:val="en-US" w:eastAsia="zh-CN"/>
              </w:rPr>
              <w:t>、铜、铅、锌、镉、砷、锑、镍、汞、锰</w:t>
            </w:r>
          </w:p>
        </w:tc>
        <w:tc>
          <w:tcPr>
            <w:tcW w:w="1976" w:type="dxa"/>
            <w:tcBorders>
              <w:tl2br w:val="nil"/>
              <w:tr2bl w:val="nil"/>
            </w:tcBorders>
            <w:noWrap w:val="0"/>
            <w:vAlign w:val="center"/>
          </w:tcPr>
          <w:p w14:paraId="31C4E266">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每年平、枯水期各一次</w:t>
            </w:r>
          </w:p>
          <w:p w14:paraId="49A3ECC2">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1次/天*1天</w:t>
            </w:r>
          </w:p>
        </w:tc>
      </w:tr>
    </w:tbl>
    <w:p w14:paraId="700B2E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1"/>
          <w:szCs w:val="21"/>
          <w:highlight w:val="none"/>
          <w:lang w:val="zh-CN" w:eastAsia="zh-CN"/>
        </w:rPr>
      </w:pPr>
    </w:p>
    <w:p w14:paraId="20DCBA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b/>
          <w:bCs w:val="0"/>
          <w:color w:val="auto"/>
          <w:sz w:val="21"/>
          <w:szCs w:val="21"/>
          <w:highlight w:val="none"/>
          <w:lang w:val="en-US" w:eastAsia="zh-CN"/>
        </w:rPr>
      </w:pPr>
      <w:r>
        <w:rPr>
          <w:rFonts w:hint="default" w:ascii="仿宋" w:hAnsi="仿宋" w:eastAsia="仿宋" w:cs="仿宋"/>
          <w:b/>
          <w:bCs w:val="0"/>
          <w:color w:val="auto"/>
          <w:sz w:val="21"/>
          <w:szCs w:val="21"/>
          <w:highlight w:val="none"/>
          <w:lang w:val="zh-CN" w:eastAsia="zh-CN"/>
        </w:rPr>
        <w:t>表</w:t>
      </w:r>
      <w:r>
        <w:rPr>
          <w:rFonts w:hint="eastAsia" w:ascii="仿宋" w:hAnsi="仿宋" w:eastAsia="仿宋" w:cs="仿宋"/>
          <w:b/>
          <w:bCs w:val="0"/>
          <w:color w:val="auto"/>
          <w:sz w:val="21"/>
          <w:szCs w:val="21"/>
          <w:highlight w:val="none"/>
          <w:lang w:val="en-US" w:eastAsia="zh-CN"/>
        </w:rPr>
        <w:t xml:space="preserve">11 </w:t>
      </w:r>
      <w:r>
        <w:rPr>
          <w:rFonts w:hint="default" w:ascii="仿宋" w:hAnsi="仿宋" w:eastAsia="仿宋" w:cs="仿宋"/>
          <w:b/>
          <w:bCs w:val="0"/>
          <w:color w:val="auto"/>
          <w:sz w:val="21"/>
          <w:szCs w:val="21"/>
          <w:highlight w:val="none"/>
          <w:lang w:val="zh-CN" w:eastAsia="zh-CN"/>
        </w:rPr>
        <w:t>地</w:t>
      </w:r>
      <w:r>
        <w:rPr>
          <w:rFonts w:hint="eastAsia" w:ascii="仿宋" w:hAnsi="仿宋" w:eastAsia="仿宋" w:cs="仿宋"/>
          <w:b/>
          <w:bCs w:val="0"/>
          <w:color w:val="auto"/>
          <w:sz w:val="21"/>
          <w:szCs w:val="21"/>
          <w:highlight w:val="none"/>
          <w:lang w:val="en-US" w:eastAsia="zh-CN"/>
        </w:rPr>
        <w:t>下</w:t>
      </w:r>
      <w:r>
        <w:rPr>
          <w:rFonts w:hint="default" w:ascii="仿宋" w:hAnsi="仿宋" w:eastAsia="仿宋" w:cs="仿宋"/>
          <w:b/>
          <w:bCs w:val="0"/>
          <w:color w:val="auto"/>
          <w:sz w:val="21"/>
          <w:szCs w:val="21"/>
          <w:highlight w:val="none"/>
          <w:lang w:val="zh-CN" w:eastAsia="zh-CN"/>
        </w:rPr>
        <w:t>水环境监测</w:t>
      </w:r>
      <w:r>
        <w:rPr>
          <w:rFonts w:hint="eastAsia" w:ascii="仿宋" w:hAnsi="仿宋" w:eastAsia="仿宋" w:cs="仿宋"/>
          <w:b/>
          <w:bCs w:val="0"/>
          <w:color w:val="auto"/>
          <w:sz w:val="21"/>
          <w:szCs w:val="21"/>
          <w:highlight w:val="none"/>
          <w:lang w:val="en-US" w:eastAsia="zh-CN"/>
        </w:rPr>
        <w:t>情况表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40"/>
        <w:gridCol w:w="3903"/>
        <w:gridCol w:w="1976"/>
      </w:tblGrid>
      <w:tr w14:paraId="40191A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640" w:type="dxa"/>
            <w:tcBorders>
              <w:tl2br w:val="nil"/>
              <w:tr2bl w:val="nil"/>
            </w:tcBorders>
            <w:noWrap w:val="0"/>
            <w:vAlign w:val="center"/>
          </w:tcPr>
          <w:p w14:paraId="0B5CEA52">
            <w:pPr>
              <w:adjustRightInd w:val="0"/>
              <w:snapToGrid w:val="0"/>
              <w:spacing w:line="240" w:lineRule="auto"/>
              <w:jc w:val="center"/>
              <w:rPr>
                <w:rFonts w:hint="eastAsia"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rPr>
              <w:t>监测</w:t>
            </w:r>
            <w:r>
              <w:rPr>
                <w:rFonts w:hint="eastAsia" w:ascii="Times New Roman" w:hAnsi="Times New Roman" w:eastAsia="宋体" w:cs="Times New Roman"/>
                <w:b/>
                <w:bCs/>
                <w:sz w:val="21"/>
                <w:szCs w:val="21"/>
                <w:lang w:val="en-US" w:eastAsia="zh-CN"/>
              </w:rPr>
              <w:t>点位</w:t>
            </w:r>
          </w:p>
        </w:tc>
        <w:tc>
          <w:tcPr>
            <w:tcW w:w="3903" w:type="dxa"/>
            <w:tcBorders>
              <w:tl2br w:val="nil"/>
              <w:tr2bl w:val="nil"/>
            </w:tcBorders>
            <w:noWrap w:val="0"/>
            <w:vAlign w:val="center"/>
          </w:tcPr>
          <w:p w14:paraId="0F2B98C2">
            <w:pPr>
              <w:adjustRightInd w:val="0"/>
              <w:snapToGrid w:val="0"/>
              <w:spacing w:line="240" w:lineRule="auto"/>
              <w:jc w:val="center"/>
              <w:rPr>
                <w:rFonts w:hint="default" w:ascii="Times New Roman" w:hAnsi="Times New Roman" w:eastAsia="宋体" w:cs="Times New Roman"/>
                <w:b/>
                <w:bCs/>
                <w:sz w:val="21"/>
                <w:szCs w:val="21"/>
              </w:rPr>
            </w:pPr>
            <w:r>
              <w:rPr>
                <w:rFonts w:hint="eastAsia" w:ascii="Times New Roman" w:hAnsi="Times New Roman" w:eastAsia="宋体" w:cs="Times New Roman"/>
                <w:b/>
                <w:bCs/>
                <w:sz w:val="21"/>
                <w:szCs w:val="21"/>
                <w:lang w:val="en-US" w:eastAsia="zh-CN"/>
              </w:rPr>
              <w:t>监测</w:t>
            </w:r>
            <w:r>
              <w:rPr>
                <w:rFonts w:hint="default" w:ascii="Times New Roman" w:hAnsi="Times New Roman" w:eastAsia="宋体" w:cs="Times New Roman"/>
                <w:b/>
                <w:bCs/>
                <w:sz w:val="21"/>
                <w:szCs w:val="21"/>
              </w:rPr>
              <w:t>项目</w:t>
            </w:r>
          </w:p>
        </w:tc>
        <w:tc>
          <w:tcPr>
            <w:tcW w:w="1976" w:type="dxa"/>
            <w:tcBorders>
              <w:tl2br w:val="nil"/>
              <w:tr2bl w:val="nil"/>
            </w:tcBorders>
            <w:noWrap w:val="0"/>
            <w:vAlign w:val="center"/>
          </w:tcPr>
          <w:p w14:paraId="01CED23D">
            <w:pPr>
              <w:adjustRightInd w:val="0"/>
              <w:snapToGrid w:val="0"/>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监测频次</w:t>
            </w:r>
          </w:p>
        </w:tc>
      </w:tr>
      <w:tr w14:paraId="02BBC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2640" w:type="dxa"/>
            <w:tcBorders>
              <w:tl2br w:val="nil"/>
              <w:tr2bl w:val="nil"/>
            </w:tcBorders>
            <w:noWrap w:val="0"/>
            <w:vAlign w:val="center"/>
          </w:tcPr>
          <w:p w14:paraId="500E5C9B">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D1</w:t>
            </w:r>
            <w:r>
              <w:rPr>
                <w:color w:val="auto"/>
                <w:kern w:val="0"/>
                <w:sz w:val="21"/>
                <w:szCs w:val="21"/>
                <w:highlight w:val="none"/>
              </w:rPr>
              <w:t>鱼市前锋联合村</w:t>
            </w:r>
            <w:r>
              <w:rPr>
                <w:rFonts w:hint="eastAsia"/>
                <w:color w:val="auto"/>
                <w:kern w:val="0"/>
                <w:sz w:val="21"/>
                <w:szCs w:val="21"/>
                <w:highlight w:val="none"/>
              </w:rPr>
              <w:t>钱</w:t>
            </w:r>
            <w:r>
              <w:rPr>
                <w:color w:val="auto"/>
                <w:kern w:val="0"/>
                <w:sz w:val="21"/>
                <w:szCs w:val="21"/>
                <w:highlight w:val="none"/>
              </w:rPr>
              <w:t>家寨</w:t>
            </w:r>
          </w:p>
          <w:p w14:paraId="68F0BD01">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D2</w:t>
            </w:r>
            <w:r>
              <w:rPr>
                <w:color w:val="auto"/>
                <w:kern w:val="0"/>
                <w:sz w:val="21"/>
                <w:szCs w:val="21"/>
                <w:highlight w:val="none"/>
              </w:rPr>
              <w:t>光辉村石板冲</w:t>
            </w:r>
          </w:p>
          <w:p w14:paraId="236D5DD9">
            <w:pPr>
              <w:adjustRightInd w:val="0"/>
              <w:snapToGri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D3</w:t>
            </w:r>
            <w:r>
              <w:rPr>
                <w:rFonts w:hint="eastAsia"/>
                <w:color w:val="auto"/>
                <w:kern w:val="0"/>
                <w:sz w:val="21"/>
                <w:szCs w:val="21"/>
                <w:highlight w:val="none"/>
              </w:rPr>
              <w:t>柏树林村</w:t>
            </w:r>
          </w:p>
          <w:p w14:paraId="728622D1">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D4</w:t>
            </w:r>
            <w:r>
              <w:rPr>
                <w:rFonts w:hint="eastAsia"/>
                <w:color w:val="auto"/>
                <w:kern w:val="0"/>
                <w:sz w:val="21"/>
                <w:szCs w:val="21"/>
                <w:highlight w:val="none"/>
              </w:rPr>
              <w:t>工业园固废填埋场</w:t>
            </w:r>
          </w:p>
        </w:tc>
        <w:tc>
          <w:tcPr>
            <w:tcW w:w="3903" w:type="dxa"/>
            <w:tcBorders>
              <w:tl2br w:val="nil"/>
              <w:tr2bl w:val="nil"/>
            </w:tcBorders>
            <w:noWrap w:val="0"/>
            <w:vAlign w:val="center"/>
          </w:tcPr>
          <w:p w14:paraId="6DE0E840">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pH、总硬度、溶解性总固体、COD</w:t>
            </w:r>
            <w:r>
              <w:rPr>
                <w:rFonts w:hint="default" w:ascii="Times New Roman" w:hAnsi="Times New Roman" w:eastAsia="宋体" w:cs="Times New Roman"/>
                <w:color w:val="auto"/>
                <w:sz w:val="21"/>
                <w:szCs w:val="21"/>
                <w:highlight w:val="none"/>
                <w:vertAlign w:val="subscript"/>
                <w:lang w:val="en-US" w:eastAsia="zh-CN"/>
              </w:rPr>
              <w:t>Mn</w:t>
            </w:r>
            <w:r>
              <w:rPr>
                <w:rFonts w:hint="default" w:ascii="Times New Roman" w:hAnsi="Times New Roman" w:eastAsia="宋体" w:cs="Times New Roman"/>
                <w:color w:val="auto"/>
                <w:sz w:val="21"/>
                <w:szCs w:val="21"/>
                <w:highlight w:val="none"/>
                <w:lang w:val="en-US" w:eastAsia="zh-CN"/>
              </w:rPr>
              <w:t>、硫酸盐、氯化物、氰化物、挥发性酚类、氨氮、硝酸盐、亚硝酸盐、氟化物、镉、铅、铁、锰、锑、</w:t>
            </w:r>
            <w:r>
              <w:rPr>
                <w:rFonts w:hint="eastAsia" w:ascii="Times New Roman" w:hAnsi="Times New Roman" w:eastAsia="宋体" w:cs="Times New Roman"/>
                <w:color w:val="auto"/>
                <w:sz w:val="21"/>
                <w:szCs w:val="21"/>
                <w:highlight w:val="none"/>
                <w:lang w:val="en-US" w:eastAsia="zh-CN"/>
              </w:rPr>
              <w:t>汞</w:t>
            </w:r>
            <w:r>
              <w:rPr>
                <w:rFonts w:hint="default" w:ascii="Times New Roman" w:hAnsi="Times New Roman" w:eastAsia="宋体" w:cs="Times New Roman"/>
                <w:color w:val="auto"/>
                <w:sz w:val="21"/>
                <w:szCs w:val="21"/>
                <w:highlight w:val="none"/>
                <w:lang w:val="en-US" w:eastAsia="zh-CN"/>
              </w:rPr>
              <w:t>、Cr</w:t>
            </w:r>
            <w:r>
              <w:rPr>
                <w:rFonts w:hint="default" w:ascii="Times New Roman" w:hAnsi="Times New Roman" w:eastAsia="宋体" w:cs="Times New Roman"/>
                <w:color w:val="auto"/>
                <w:sz w:val="21"/>
                <w:szCs w:val="21"/>
                <w:highlight w:val="none"/>
                <w:vertAlign w:val="superscript"/>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砷</w:t>
            </w:r>
            <w:r>
              <w:rPr>
                <w:rFonts w:hint="default" w:ascii="Times New Roman" w:hAnsi="Times New Roman" w:eastAsia="宋体" w:cs="Times New Roman"/>
                <w:color w:val="auto"/>
                <w:sz w:val="21"/>
                <w:szCs w:val="21"/>
                <w:highlight w:val="none"/>
                <w:lang w:val="en-US" w:eastAsia="zh-CN"/>
              </w:rPr>
              <w:t>、总大肠菌群、硒、钡、铜、锌、镍</w:t>
            </w:r>
          </w:p>
        </w:tc>
        <w:tc>
          <w:tcPr>
            <w:tcW w:w="1976" w:type="dxa"/>
            <w:tcBorders>
              <w:tl2br w:val="nil"/>
              <w:tr2bl w:val="nil"/>
            </w:tcBorders>
            <w:noWrap w:val="0"/>
            <w:vAlign w:val="center"/>
          </w:tcPr>
          <w:p w14:paraId="6A5AB7BC">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每年平、枯水期各一次</w:t>
            </w:r>
          </w:p>
          <w:p w14:paraId="6E6A52FE">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1次/天*1天</w:t>
            </w:r>
          </w:p>
        </w:tc>
      </w:tr>
    </w:tbl>
    <w:p w14:paraId="1CA9B314">
      <w:pPr>
        <w:pStyle w:val="16"/>
        <w:snapToGrid w:val="0"/>
        <w:spacing w:after="0" w:line="600" w:lineRule="exact"/>
        <w:ind w:left="0" w:leftChars="0" w:firstLine="643"/>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地表水及地下水环境监测结果符合《地表水环境质量标准》（GB3838-2002）Ⅱ类（舞水备用取水口处）、Ⅲ类标准，及《地下水质量标准》（GB/T 14848-2017）中Ⅲ类标准。</w:t>
      </w:r>
    </w:p>
    <w:p w14:paraId="32C3E062">
      <w:pPr>
        <w:pStyle w:val="3"/>
        <w:keepNext/>
        <w:keepLines/>
        <w:pageBreakBefore w:val="0"/>
        <w:widowControl w:val="0"/>
        <w:kinsoku/>
        <w:wordWrap/>
        <w:overflowPunct/>
        <w:topLinePunct w:val="0"/>
        <w:autoSpaceDE/>
        <w:autoSpaceDN/>
        <w:bidi w:val="0"/>
        <w:adjustRightInd/>
        <w:snapToGrid/>
        <w:spacing w:before="227" w:beforeLines="50" w:after="0" w:line="240" w:lineRule="auto"/>
        <w:textAlignment w:val="auto"/>
        <w:rPr>
          <w:rFonts w:hint="default" w:ascii="Times New Roman" w:hAnsi="Times New Roman" w:cs="Times New Roman"/>
          <w:b/>
          <w:lang w:val="en-US" w:eastAsia="zh-CN"/>
        </w:rPr>
      </w:pPr>
      <w:bookmarkStart w:id="11" w:name="_Toc14038"/>
      <w:r>
        <w:rPr>
          <w:rFonts w:hint="default" w:ascii="Times New Roman" w:hAnsi="Times New Roman" w:cs="Times New Roman"/>
          <w:b/>
          <w:lang w:val="en-US" w:eastAsia="zh-CN"/>
        </w:rPr>
        <w:t>2.</w:t>
      </w:r>
      <w:r>
        <w:rPr>
          <w:rFonts w:hint="eastAsia" w:ascii="Times New Roman" w:hAnsi="Times New Roman" w:cs="Times New Roman"/>
          <w:b/>
          <w:lang w:val="en-US" w:eastAsia="zh-CN"/>
        </w:rPr>
        <w:t>4</w:t>
      </w:r>
      <w:r>
        <w:rPr>
          <w:rFonts w:hint="default" w:ascii="Times New Roman" w:hAnsi="Times New Roman" w:cs="Times New Roman"/>
          <w:b/>
          <w:lang w:val="en-US" w:eastAsia="zh-CN"/>
        </w:rPr>
        <w:t>水环境管理</w:t>
      </w:r>
      <w:bookmarkEnd w:id="11"/>
    </w:p>
    <w:p w14:paraId="34CF089D">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新晃</w:t>
      </w:r>
      <w:r>
        <w:rPr>
          <w:rFonts w:hint="eastAsia" w:ascii="Times New Roman" w:hAnsi="Times New Roman" w:eastAsia="仿宋" w:cs="Times New Roman"/>
          <w:kern w:val="2"/>
          <w:sz w:val="32"/>
          <w:szCs w:val="32"/>
          <w:lang w:val="en-US" w:eastAsia="zh-CN" w:bidi="ar-SA"/>
        </w:rPr>
        <w:t>产业开发区</w:t>
      </w:r>
      <w:r>
        <w:rPr>
          <w:rFonts w:hint="default" w:ascii="Times New Roman" w:hAnsi="Times New Roman" w:eastAsia="仿宋" w:cs="Times New Roman"/>
          <w:kern w:val="2"/>
          <w:sz w:val="32"/>
          <w:szCs w:val="32"/>
          <w:lang w:val="en-US" w:eastAsia="zh-CN" w:bidi="ar-SA"/>
        </w:rPr>
        <w:t>排水为雨污分流，目前，园区污水管网覆盖率为100%，雨水管覆盖率100%。</w:t>
      </w:r>
    </w:p>
    <w:p w14:paraId="1DCE072E">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（1）</w:t>
      </w:r>
      <w:r>
        <w:rPr>
          <w:rFonts w:hint="eastAsia" w:ascii="Times New Roman" w:hAnsi="Times New Roman" w:eastAsia="仿宋" w:cs="Times New Roman"/>
          <w:kern w:val="2"/>
          <w:sz w:val="32"/>
          <w:szCs w:val="32"/>
          <w:lang w:val="en-US" w:eastAsia="zh-CN" w:bidi="ar-SA"/>
        </w:rPr>
        <w:t>新晃产业开发区前锋工业园</w:t>
      </w:r>
    </w:p>
    <w:p w14:paraId="76994169">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前锋工业园现有一座工业污水处理厂，</w:t>
      </w:r>
      <w:r>
        <w:rPr>
          <w:rFonts w:hint="eastAsia" w:ascii="Times New Roman" w:hAnsi="Times New Roman" w:eastAsia="仿宋" w:cs="Times New Roman"/>
          <w:kern w:val="2"/>
          <w:sz w:val="32"/>
          <w:szCs w:val="32"/>
          <w:lang w:val="en-US" w:eastAsia="zh-CN" w:bidi="ar-SA"/>
        </w:rPr>
        <w:t>2025年污水处理厂提标扩容工程已完成建设，污水处理量从2500m3/d提升至4000m3/d，</w:t>
      </w:r>
      <w:r>
        <w:rPr>
          <w:rFonts w:hint="default" w:ascii="Times New Roman" w:hAnsi="Times New Roman" w:eastAsia="仿宋" w:cs="Times New Roman"/>
          <w:kern w:val="2"/>
          <w:sz w:val="32"/>
          <w:szCs w:val="32"/>
          <w:lang w:val="en-US" w:eastAsia="zh-CN" w:bidi="ar-SA"/>
        </w:rPr>
        <w:t>出水水质</w:t>
      </w:r>
      <w:r>
        <w:rPr>
          <w:rFonts w:hint="eastAsia" w:ascii="Times New Roman" w:hAnsi="Times New Roman" w:eastAsia="仿宋" w:cs="Times New Roman"/>
          <w:kern w:val="2"/>
          <w:sz w:val="32"/>
          <w:szCs w:val="32"/>
          <w:lang w:val="en-US" w:eastAsia="zh-CN" w:bidi="ar-SA"/>
        </w:rPr>
        <w:t>从</w:t>
      </w:r>
      <w:r>
        <w:rPr>
          <w:rFonts w:hint="default" w:ascii="Times New Roman" w:hAnsi="Times New Roman" w:eastAsia="仿宋" w:cs="Times New Roman"/>
          <w:kern w:val="2"/>
          <w:sz w:val="32"/>
          <w:szCs w:val="32"/>
          <w:lang w:val="en-US" w:eastAsia="zh-CN" w:bidi="ar-SA"/>
        </w:rPr>
        <w:t>《城镇污水处理厂污染物排放标准》（GB18918-2002）一级B标准</w:t>
      </w:r>
      <w:r>
        <w:rPr>
          <w:rFonts w:hint="eastAsia" w:ascii="Times New Roman" w:hAnsi="Times New Roman" w:eastAsia="仿宋" w:cs="Times New Roman"/>
          <w:kern w:val="2"/>
          <w:sz w:val="32"/>
          <w:szCs w:val="32"/>
          <w:lang w:val="en-US" w:eastAsia="zh-CN" w:bidi="ar-SA"/>
        </w:rPr>
        <w:t>提升至一级A标准</w:t>
      </w:r>
      <w:r>
        <w:rPr>
          <w:rFonts w:hint="default" w:ascii="Times New Roman" w:hAnsi="Times New Roman" w:eastAsia="仿宋" w:cs="Times New Roman"/>
          <w:kern w:val="2"/>
          <w:sz w:val="32"/>
          <w:szCs w:val="32"/>
          <w:lang w:val="en-US" w:eastAsia="zh-CN" w:bidi="ar-SA"/>
        </w:rPr>
        <w:t>。</w:t>
      </w:r>
    </w:p>
    <w:p w14:paraId="4C84B021">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Times New Roman"/>
          <w:color w:val="FF0000"/>
          <w:kern w:val="2"/>
          <w:sz w:val="32"/>
          <w:szCs w:val="32"/>
          <w:lang w:val="en-US" w:eastAsia="zh-CN" w:bidi="ar-SA"/>
        </w:rPr>
      </w:pPr>
      <w:r>
        <w:rPr>
          <w:rFonts w:hint="default" w:ascii="Times New Roman" w:hAnsi="Times New Roman" w:eastAsia="仿宋" w:cs="Times New Roman"/>
          <w:kern w:val="2"/>
          <w:sz w:val="32"/>
          <w:szCs w:val="32"/>
          <w:lang w:val="en-US" w:eastAsia="zh-CN" w:bidi="ar-SA"/>
        </w:rPr>
        <w:t>该污水处理厂于2015年4月取得环评批复（怀环审</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2015</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39号），2018年1月通过阶段性竣工环境保护验收，</w:t>
      </w:r>
      <w:r>
        <w:rPr>
          <w:rFonts w:hint="eastAsia" w:ascii="Times New Roman" w:hAnsi="Times New Roman" w:eastAsia="仿宋" w:cs="Times New Roman"/>
          <w:kern w:val="2"/>
          <w:sz w:val="32"/>
          <w:szCs w:val="32"/>
          <w:lang w:val="en-US" w:eastAsia="zh-CN" w:bidi="ar-SA"/>
        </w:rPr>
        <w:t>并已于2022年1月20日完成入河排污口论证</w:t>
      </w:r>
      <w:r>
        <w:rPr>
          <w:rFonts w:hint="default" w:ascii="Times New Roman" w:hAnsi="Times New Roman" w:eastAsia="仿宋" w:cs="Times New Roman"/>
          <w:kern w:val="2"/>
          <w:sz w:val="32"/>
          <w:szCs w:val="32"/>
          <w:lang w:val="en-US" w:eastAsia="zh-CN" w:bidi="ar-SA"/>
        </w:rPr>
        <w:t>。污水处理厂运行稳定</w:t>
      </w:r>
      <w:r>
        <w:rPr>
          <w:rFonts w:hint="eastAsia" w:ascii="Times New Roman" w:hAnsi="Times New Roman" w:eastAsia="仿宋" w:cs="Times New Roman"/>
          <w:kern w:val="2"/>
          <w:sz w:val="32"/>
          <w:szCs w:val="32"/>
          <w:lang w:val="en-US" w:eastAsia="zh-CN" w:bidi="ar-SA"/>
        </w:rPr>
        <w:t>，出水</w:t>
      </w:r>
      <w:r>
        <w:rPr>
          <w:rFonts w:hint="default" w:ascii="Times New Roman" w:hAnsi="Times New Roman" w:eastAsia="仿宋" w:cs="Times New Roman"/>
          <w:kern w:val="2"/>
          <w:sz w:val="32"/>
          <w:szCs w:val="32"/>
          <w:lang w:val="en-US" w:eastAsia="zh-CN" w:bidi="ar-SA"/>
        </w:rPr>
        <w:t>水质能够稳定达标。新晃县前锋工业园污水处理厂于2018年2月9日建成废水总排口（COD、氨氮、总氮、总磷、</w:t>
      </w:r>
      <w:r>
        <w:rPr>
          <w:rFonts w:hint="eastAsia" w:ascii="Times New Roman" w:hAnsi="Times New Roman" w:eastAsia="仿宋" w:cs="Times New Roman"/>
          <w:kern w:val="2"/>
          <w:sz w:val="32"/>
          <w:szCs w:val="32"/>
          <w:lang w:val="en-US" w:eastAsia="zh-CN" w:bidi="ar-SA"/>
        </w:rPr>
        <w:t>pH</w:t>
      </w:r>
      <w:r>
        <w:rPr>
          <w:rFonts w:hint="default" w:ascii="Times New Roman" w:hAnsi="Times New Roman" w:eastAsia="仿宋" w:cs="Times New Roman"/>
          <w:kern w:val="2"/>
          <w:sz w:val="32"/>
          <w:szCs w:val="32"/>
          <w:lang w:val="en-US" w:eastAsia="zh-CN" w:bidi="ar-SA"/>
        </w:rPr>
        <w:t>、流量）在线</w:t>
      </w:r>
      <w:r>
        <w:rPr>
          <w:rFonts w:hint="eastAsia" w:ascii="Times New Roman" w:hAnsi="Times New Roman" w:eastAsia="仿宋" w:cs="Times New Roman"/>
          <w:kern w:val="2"/>
          <w:sz w:val="32"/>
          <w:szCs w:val="32"/>
          <w:lang w:val="en-US" w:eastAsia="zh-CN" w:bidi="ar-SA"/>
        </w:rPr>
        <w:t>监控</w:t>
      </w:r>
      <w:r>
        <w:rPr>
          <w:rFonts w:hint="default" w:ascii="Times New Roman" w:hAnsi="Times New Roman" w:eastAsia="仿宋" w:cs="Times New Roman"/>
          <w:kern w:val="2"/>
          <w:sz w:val="32"/>
          <w:szCs w:val="32"/>
          <w:lang w:val="en-US" w:eastAsia="zh-CN" w:bidi="ar-SA"/>
        </w:rPr>
        <w:t>设施，</w:t>
      </w:r>
      <w:r>
        <w:rPr>
          <w:rFonts w:hint="eastAsia" w:ascii="Times New Roman" w:hAnsi="Times New Roman" w:eastAsia="仿宋" w:cs="Times New Roman"/>
          <w:kern w:val="2"/>
          <w:sz w:val="32"/>
          <w:szCs w:val="32"/>
          <w:lang w:val="en-US" w:eastAsia="zh-CN" w:bidi="ar-SA"/>
        </w:rPr>
        <w:t>2020年3月完成进水口</w:t>
      </w:r>
      <w:r>
        <w:rPr>
          <w:rFonts w:hint="default" w:ascii="Times New Roman" w:hAnsi="Times New Roman" w:eastAsia="仿宋" w:cs="Times New Roman"/>
          <w:kern w:val="2"/>
          <w:sz w:val="32"/>
          <w:szCs w:val="32"/>
          <w:lang w:val="en-US" w:eastAsia="zh-CN" w:bidi="ar-SA"/>
        </w:rPr>
        <w:t>（COD、氨氮）</w:t>
      </w:r>
      <w:r>
        <w:rPr>
          <w:rFonts w:hint="eastAsia" w:ascii="Times New Roman" w:hAnsi="Times New Roman" w:eastAsia="仿宋" w:cs="Times New Roman"/>
          <w:kern w:val="2"/>
          <w:sz w:val="32"/>
          <w:szCs w:val="32"/>
          <w:lang w:val="en-US" w:eastAsia="zh-CN" w:bidi="ar-SA"/>
        </w:rPr>
        <w:t>在线监控设施</w:t>
      </w:r>
      <w:r>
        <w:rPr>
          <w:rFonts w:hint="default" w:ascii="Times New Roman" w:hAnsi="Times New Roman" w:eastAsia="仿宋" w:cs="Times New Roman"/>
          <w:kern w:val="2"/>
          <w:sz w:val="32"/>
          <w:szCs w:val="32"/>
          <w:lang w:val="en-US" w:eastAsia="zh-CN" w:bidi="ar-SA"/>
        </w:rPr>
        <w:t>并</w:t>
      </w:r>
      <w:r>
        <w:rPr>
          <w:rFonts w:hint="eastAsia" w:ascii="Times New Roman" w:hAnsi="Times New Roman" w:eastAsia="仿宋" w:cs="Times New Roman"/>
          <w:kern w:val="2"/>
          <w:sz w:val="32"/>
          <w:szCs w:val="32"/>
          <w:lang w:val="en-US" w:eastAsia="zh-CN" w:bidi="ar-SA"/>
        </w:rPr>
        <w:t>全部</w:t>
      </w:r>
      <w:r>
        <w:rPr>
          <w:rFonts w:hint="default" w:ascii="Times New Roman" w:hAnsi="Times New Roman" w:eastAsia="仿宋" w:cs="Times New Roman"/>
          <w:kern w:val="2"/>
          <w:sz w:val="32"/>
          <w:szCs w:val="32"/>
          <w:lang w:val="en-US" w:eastAsia="zh-CN" w:bidi="ar-SA"/>
        </w:rPr>
        <w:t>与省在线监测平台联网。2022</w:t>
      </w:r>
      <w:r>
        <w:rPr>
          <w:rFonts w:hint="eastAsia" w:ascii="Times New Roman" w:hAnsi="Times New Roman" w:eastAsia="仿宋" w:cs="Times New Roman"/>
          <w:kern w:val="2"/>
          <w:sz w:val="32"/>
          <w:szCs w:val="32"/>
          <w:lang w:val="en-US" w:eastAsia="zh-CN" w:bidi="ar-SA"/>
        </w:rPr>
        <w:t>年取得怀化市生态环境局新晃分局关于新晃工业集中区污水处理厂入河排污口设置的批复。2024年取得怀化市生态环境局关于新晃产业开发区污水处理厂提标扩容建设项目环境影响报告书的批复</w:t>
      </w:r>
      <w:r>
        <w:rPr>
          <w:rFonts w:hint="default" w:ascii="Times New Roman" w:hAnsi="Times New Roman" w:eastAsia="仿宋" w:cs="Times New Roman"/>
          <w:kern w:val="2"/>
          <w:sz w:val="32"/>
          <w:szCs w:val="32"/>
          <w:lang w:val="en-US" w:eastAsia="zh-CN" w:bidi="ar-SA"/>
        </w:rPr>
        <w:t>（怀</w:t>
      </w:r>
      <w:r>
        <w:rPr>
          <w:rFonts w:hint="eastAsia" w:ascii="Times New Roman" w:hAnsi="Times New Roman" w:eastAsia="仿宋" w:cs="Times New Roman"/>
          <w:kern w:val="2"/>
          <w:sz w:val="32"/>
          <w:szCs w:val="32"/>
          <w:lang w:val="en-US" w:eastAsia="zh-CN" w:bidi="ar-SA"/>
        </w:rPr>
        <w:t>环评〔2024〕69</w:t>
      </w:r>
      <w:r>
        <w:rPr>
          <w:rFonts w:hint="default" w:ascii="Times New Roman" w:hAnsi="Times New Roman" w:eastAsia="仿宋" w:cs="Times New Roman"/>
          <w:kern w:val="2"/>
          <w:sz w:val="32"/>
          <w:szCs w:val="32"/>
          <w:lang w:val="en-US" w:eastAsia="zh-CN" w:bidi="ar-SA"/>
        </w:rPr>
        <w:t>号）</w:t>
      </w:r>
      <w:r>
        <w:rPr>
          <w:rFonts w:hint="eastAsia" w:ascii="Times New Roman" w:hAnsi="Times New Roman" w:eastAsia="仿宋" w:cs="Times New Roman"/>
          <w:kern w:val="2"/>
          <w:sz w:val="32"/>
          <w:szCs w:val="32"/>
          <w:lang w:val="en-US" w:eastAsia="zh-CN" w:bidi="ar-SA"/>
        </w:rPr>
        <w:t>。</w:t>
      </w:r>
    </w:p>
    <w:p w14:paraId="049AC416">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（2）柏树林园区</w:t>
      </w:r>
    </w:p>
    <w:p w14:paraId="29AF3D6F">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柏树林园区内现有老蔡</w:t>
      </w:r>
      <w:r>
        <w:rPr>
          <w:rFonts w:hint="eastAsia" w:ascii="Times New Roman" w:hAnsi="Times New Roman" w:eastAsia="仿宋" w:cs="Times New Roman"/>
          <w:kern w:val="2"/>
          <w:sz w:val="32"/>
          <w:szCs w:val="32"/>
          <w:lang w:val="en-US" w:eastAsia="zh-CN" w:bidi="ar-SA"/>
        </w:rPr>
        <w:t>食品、阳阳食品、统参酒业</w:t>
      </w:r>
      <w:r>
        <w:rPr>
          <w:rFonts w:hint="default" w:ascii="Times New Roman" w:hAnsi="Times New Roman" w:eastAsia="仿宋" w:cs="Times New Roman"/>
          <w:kern w:val="2"/>
          <w:sz w:val="32"/>
          <w:szCs w:val="32"/>
          <w:lang w:val="en-US" w:eastAsia="zh-CN" w:bidi="ar-SA"/>
        </w:rPr>
        <w:t>三家食品</w:t>
      </w:r>
      <w:r>
        <w:rPr>
          <w:rFonts w:hint="eastAsia" w:ascii="Times New Roman" w:hAnsi="Times New Roman" w:eastAsia="仿宋" w:cs="Times New Roman"/>
          <w:kern w:val="2"/>
          <w:sz w:val="32"/>
          <w:szCs w:val="32"/>
          <w:lang w:val="en-US" w:eastAsia="zh-CN" w:bidi="ar-SA"/>
        </w:rPr>
        <w:t>制造</w:t>
      </w:r>
      <w:r>
        <w:rPr>
          <w:rFonts w:hint="default" w:ascii="Times New Roman" w:hAnsi="Times New Roman" w:eastAsia="仿宋" w:cs="Times New Roman"/>
          <w:kern w:val="2"/>
          <w:sz w:val="32"/>
          <w:szCs w:val="32"/>
          <w:lang w:val="en-US" w:eastAsia="zh-CN" w:bidi="ar-SA"/>
        </w:rPr>
        <w:t>企业，园区</w:t>
      </w:r>
      <w:r>
        <w:rPr>
          <w:rFonts w:hint="eastAsia" w:ascii="Times New Roman" w:hAnsi="Times New Roman" w:eastAsia="仿宋" w:cs="Times New Roman"/>
          <w:kern w:val="2"/>
          <w:sz w:val="32"/>
          <w:szCs w:val="32"/>
          <w:lang w:val="en-US" w:eastAsia="zh-CN" w:bidi="ar-SA"/>
        </w:rPr>
        <w:t>内</w:t>
      </w:r>
      <w:r>
        <w:rPr>
          <w:rFonts w:hint="default" w:ascii="Times New Roman" w:hAnsi="Times New Roman" w:eastAsia="仿宋" w:cs="Times New Roman"/>
          <w:kern w:val="2"/>
          <w:sz w:val="32"/>
          <w:szCs w:val="32"/>
          <w:lang w:val="en-US" w:eastAsia="zh-CN" w:bidi="ar-SA"/>
        </w:rPr>
        <w:t>企业污水经企业污水处理设施预处理后，进入新晃县城市污水处理厂，县城污水处理厂采用A2/O工艺，设计处理规模为2万m</w:t>
      </w:r>
      <w:r>
        <w:rPr>
          <w:rFonts w:hint="default" w:ascii="Times New Roman" w:hAnsi="Times New Roman" w:eastAsia="仿宋" w:cs="Times New Roman"/>
          <w:kern w:val="2"/>
          <w:sz w:val="32"/>
          <w:szCs w:val="32"/>
          <w:vertAlign w:val="superscript"/>
          <w:lang w:val="en-US" w:eastAsia="zh-CN" w:bidi="ar-SA"/>
        </w:rPr>
        <w:t>3</w:t>
      </w:r>
      <w:r>
        <w:rPr>
          <w:rFonts w:hint="default" w:ascii="Times New Roman" w:hAnsi="Times New Roman" w:eastAsia="仿宋" w:cs="Times New Roman"/>
          <w:kern w:val="2"/>
          <w:sz w:val="32"/>
          <w:szCs w:val="32"/>
          <w:lang w:val="en-US" w:eastAsia="zh-CN" w:bidi="ar-SA"/>
        </w:rPr>
        <w:t>/d，分二期建设，已全部投入运营，出水水质达《城镇污水处理厂污染物排放标准》（GB/T18918-2002）中一级A标准后外排舞水。</w:t>
      </w:r>
    </w:p>
    <w:p w14:paraId="6D17CA0A">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新晃县城市污水处理厂提质改造工程已于2015年取得怀化市环保局批复（怀环审</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2015</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53号）。</w:t>
      </w:r>
    </w:p>
    <w:p w14:paraId="429E255A">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排污口下游最近的地表水水质管控断面名称鱼市断面、蒋家溪断面，水功能区划II类，监测达标率100%，无超标因子，最大超标倍数0倍，园区内无黑臭水体。</w:t>
      </w:r>
    </w:p>
    <w:p w14:paraId="207EE7ED">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color w:val="auto"/>
          <w:lang w:val="en-US" w:eastAsia="zh-CN"/>
        </w:rPr>
      </w:pPr>
      <w:bookmarkStart w:id="12" w:name="_Toc18957"/>
      <w:r>
        <w:rPr>
          <w:rFonts w:hint="default" w:ascii="Times New Roman" w:hAnsi="Times New Roman" w:cs="Times New Roman"/>
          <w:b/>
          <w:color w:val="auto"/>
          <w:lang w:val="en-US" w:eastAsia="zh-CN"/>
        </w:rPr>
        <w:t>2.</w:t>
      </w:r>
      <w:r>
        <w:rPr>
          <w:rFonts w:hint="eastAsia" w:ascii="Times New Roman" w:hAnsi="Times New Roman" w:cs="Times New Roman"/>
          <w:b/>
          <w:color w:val="auto"/>
          <w:lang w:val="en-US" w:eastAsia="zh-CN"/>
        </w:rPr>
        <w:t>5</w:t>
      </w:r>
      <w:r>
        <w:rPr>
          <w:rFonts w:hint="default" w:ascii="Times New Roman" w:hAnsi="Times New Roman" w:cs="Times New Roman"/>
          <w:b/>
          <w:color w:val="auto"/>
          <w:lang w:val="en-US" w:eastAsia="zh-CN"/>
        </w:rPr>
        <w:t>大气环境管理</w:t>
      </w:r>
      <w:bookmarkEnd w:id="12"/>
    </w:p>
    <w:p w14:paraId="3FA6DF99">
      <w:pPr>
        <w:pStyle w:val="16"/>
        <w:spacing w:after="0" w:line="600" w:lineRule="exact"/>
        <w:ind w:left="0" w:leftChars="0" w:firstLine="640" w:firstLineChars="200"/>
        <w:rPr>
          <w:rFonts w:hint="default" w:ascii="Times New Roman" w:hAnsi="Times New Roman" w:eastAsia="仿宋" w:cs="Times New Roman"/>
          <w:color w:val="FF0000"/>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园区内涉及工业废气</w:t>
      </w:r>
      <w:r>
        <w:rPr>
          <w:rFonts w:hint="eastAsia" w:ascii="Times New Roman" w:hAnsi="Times New Roman" w:eastAsia="仿宋" w:cs="Times New Roman"/>
          <w:color w:val="auto"/>
          <w:kern w:val="2"/>
          <w:sz w:val="32"/>
          <w:szCs w:val="32"/>
          <w:highlight w:val="none"/>
          <w:lang w:val="en-US" w:eastAsia="zh-CN" w:bidi="ar-SA"/>
        </w:rPr>
        <w:t>有组织</w:t>
      </w:r>
      <w:r>
        <w:rPr>
          <w:rFonts w:hint="default" w:ascii="Times New Roman" w:hAnsi="Times New Roman" w:eastAsia="仿宋" w:cs="Times New Roman"/>
          <w:color w:val="auto"/>
          <w:kern w:val="2"/>
          <w:sz w:val="32"/>
          <w:szCs w:val="32"/>
          <w:highlight w:val="none"/>
          <w:lang w:val="en-US" w:eastAsia="zh-CN" w:bidi="ar-SA"/>
        </w:rPr>
        <w:t>外排企业数量</w:t>
      </w:r>
      <w:r>
        <w:rPr>
          <w:rFonts w:hint="eastAsia" w:ascii="Times New Roman" w:hAnsi="Times New Roman" w:eastAsia="仿宋" w:cs="Times New Roman"/>
          <w:color w:val="auto"/>
          <w:kern w:val="2"/>
          <w:sz w:val="32"/>
          <w:szCs w:val="32"/>
          <w:highlight w:val="none"/>
          <w:lang w:val="en-US" w:eastAsia="zh-CN" w:bidi="ar-SA"/>
        </w:rPr>
        <w:t>16</w:t>
      </w:r>
      <w:r>
        <w:rPr>
          <w:rFonts w:hint="default" w:ascii="Times New Roman" w:hAnsi="Times New Roman" w:eastAsia="仿宋" w:cs="Times New Roman"/>
          <w:color w:val="auto"/>
          <w:kern w:val="2"/>
          <w:sz w:val="32"/>
          <w:szCs w:val="32"/>
          <w:highlight w:val="none"/>
          <w:lang w:val="en-US" w:eastAsia="zh-CN" w:bidi="ar-SA"/>
        </w:rPr>
        <w:t>个，大气质量监测达标率100%，超标因子无。大气污染物总排放量：二氧化硫</w:t>
      </w:r>
      <w:r>
        <w:rPr>
          <w:rFonts w:hint="eastAsia" w:ascii="Times New Roman" w:hAnsi="Times New Roman" w:eastAsia="仿宋" w:cs="Times New Roman"/>
          <w:color w:val="auto"/>
          <w:kern w:val="2"/>
          <w:sz w:val="32"/>
          <w:szCs w:val="32"/>
          <w:highlight w:val="none"/>
          <w:lang w:val="en-US" w:eastAsia="zh-CN" w:bidi="ar-SA"/>
        </w:rPr>
        <w:t>136.69</w:t>
      </w:r>
      <w:r>
        <w:rPr>
          <w:rFonts w:hint="default" w:ascii="Times New Roman" w:hAnsi="Times New Roman" w:eastAsia="仿宋" w:cs="Times New Roman"/>
          <w:color w:val="auto"/>
          <w:kern w:val="2"/>
          <w:sz w:val="32"/>
          <w:szCs w:val="32"/>
          <w:highlight w:val="none"/>
          <w:lang w:val="en-US" w:eastAsia="zh-CN" w:bidi="ar-SA"/>
        </w:rPr>
        <w:t xml:space="preserve"> t/a，氮氧化物</w:t>
      </w:r>
      <w:r>
        <w:rPr>
          <w:rFonts w:hint="eastAsia" w:ascii="Times New Roman" w:hAnsi="Times New Roman" w:eastAsia="仿宋" w:cs="Times New Roman"/>
          <w:color w:val="auto"/>
          <w:kern w:val="2"/>
          <w:sz w:val="32"/>
          <w:szCs w:val="32"/>
          <w:highlight w:val="none"/>
          <w:lang w:val="en-US" w:eastAsia="zh-CN" w:bidi="ar-SA"/>
        </w:rPr>
        <w:t>64.84</w:t>
      </w:r>
      <w:r>
        <w:rPr>
          <w:rFonts w:hint="default" w:ascii="Times New Roman" w:hAnsi="Times New Roman" w:eastAsia="仿宋" w:cs="Times New Roman"/>
          <w:color w:val="auto"/>
          <w:kern w:val="2"/>
          <w:sz w:val="32"/>
          <w:szCs w:val="32"/>
          <w:highlight w:val="none"/>
          <w:lang w:val="en-US" w:eastAsia="zh-CN" w:bidi="ar-SA"/>
        </w:rPr>
        <w:t xml:space="preserve"> t/a。</w:t>
      </w:r>
    </w:p>
    <w:p w14:paraId="3DE360AD">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lang w:val="en-US" w:eastAsia="zh-CN"/>
        </w:rPr>
      </w:pPr>
      <w:bookmarkStart w:id="13" w:name="_Toc25566"/>
      <w:r>
        <w:rPr>
          <w:rFonts w:hint="default" w:ascii="Times New Roman" w:hAnsi="Times New Roman" w:cs="Times New Roman"/>
          <w:b/>
          <w:lang w:val="en-US" w:eastAsia="zh-CN"/>
        </w:rPr>
        <w:t>2.</w:t>
      </w:r>
      <w:r>
        <w:rPr>
          <w:rFonts w:hint="eastAsia" w:ascii="Times New Roman" w:hAnsi="Times New Roman" w:cs="Times New Roman"/>
          <w:b/>
          <w:lang w:val="en-US" w:eastAsia="zh-CN"/>
        </w:rPr>
        <w:t>6</w:t>
      </w:r>
      <w:r>
        <w:rPr>
          <w:rFonts w:hint="default" w:ascii="Times New Roman" w:hAnsi="Times New Roman" w:cs="Times New Roman"/>
          <w:b/>
          <w:lang w:val="en-US" w:eastAsia="zh-CN"/>
        </w:rPr>
        <w:t>土壤环境管理</w:t>
      </w:r>
      <w:bookmarkEnd w:id="13"/>
    </w:p>
    <w:p w14:paraId="5F9BD55D">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2025年进行了</w:t>
      </w:r>
      <w:r>
        <w:rPr>
          <w:rFonts w:hint="default" w:ascii="Times New Roman" w:hAnsi="Times New Roman" w:eastAsia="仿宋" w:cs="Times New Roman"/>
          <w:kern w:val="2"/>
          <w:sz w:val="32"/>
          <w:szCs w:val="32"/>
          <w:lang w:val="en-US" w:eastAsia="zh-CN" w:bidi="ar-SA"/>
        </w:rPr>
        <w:t>土壤环境质量监测</w:t>
      </w:r>
      <w:r>
        <w:rPr>
          <w:rFonts w:hint="eastAsia" w:ascii="Times New Roman" w:hAnsi="Times New Roman" w:eastAsia="仿宋" w:cs="Times New Roman"/>
          <w:kern w:val="2"/>
          <w:sz w:val="32"/>
          <w:szCs w:val="32"/>
          <w:lang w:val="en-US" w:eastAsia="zh-CN" w:bidi="ar-SA"/>
        </w:rPr>
        <w:t>二</w:t>
      </w:r>
      <w:r>
        <w:rPr>
          <w:rFonts w:hint="default" w:ascii="Times New Roman" w:hAnsi="Times New Roman" w:eastAsia="仿宋" w:cs="Times New Roman"/>
          <w:kern w:val="2"/>
          <w:sz w:val="32"/>
          <w:szCs w:val="32"/>
          <w:lang w:val="en-US" w:eastAsia="zh-CN" w:bidi="ar-SA"/>
        </w:rPr>
        <w:t>次，达标率100%，超标因子无，最大超标倍数</w:t>
      </w:r>
      <w:r>
        <w:rPr>
          <w:rFonts w:hint="eastAsia" w:ascii="Times New Roman" w:hAnsi="Times New Roman" w:eastAsia="仿宋" w:cs="Times New Roman"/>
          <w:kern w:val="2"/>
          <w:sz w:val="32"/>
          <w:szCs w:val="32"/>
          <w:lang w:val="en-US" w:eastAsia="zh-CN" w:bidi="ar-SA"/>
        </w:rPr>
        <w:t>0</w:t>
      </w:r>
      <w:r>
        <w:rPr>
          <w:rFonts w:hint="default" w:ascii="Times New Roman" w:hAnsi="Times New Roman" w:eastAsia="仿宋" w:cs="Times New Roman"/>
          <w:kern w:val="2"/>
          <w:sz w:val="32"/>
          <w:szCs w:val="32"/>
          <w:lang w:val="en-US" w:eastAsia="zh-CN" w:bidi="ar-SA"/>
        </w:rPr>
        <w:t>倍，园区内无涉及污染地块。</w:t>
      </w:r>
    </w:p>
    <w:p w14:paraId="0B0649A9">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lang w:val="en-US" w:eastAsia="zh-CN"/>
        </w:rPr>
      </w:pPr>
      <w:bookmarkStart w:id="14" w:name="_Toc2940"/>
      <w:r>
        <w:rPr>
          <w:rFonts w:hint="default" w:ascii="Times New Roman" w:hAnsi="Times New Roman" w:cs="Times New Roman"/>
          <w:b/>
          <w:lang w:val="en-US" w:eastAsia="zh-CN"/>
        </w:rPr>
        <w:t>2.</w:t>
      </w:r>
      <w:r>
        <w:rPr>
          <w:rFonts w:hint="eastAsia" w:ascii="Times New Roman" w:hAnsi="Times New Roman" w:cs="Times New Roman"/>
          <w:b/>
          <w:lang w:val="en-US" w:eastAsia="zh-CN"/>
        </w:rPr>
        <w:t>7</w:t>
      </w:r>
      <w:r>
        <w:rPr>
          <w:rFonts w:hint="default" w:ascii="Times New Roman" w:hAnsi="Times New Roman" w:cs="Times New Roman"/>
          <w:b/>
          <w:lang w:val="en-US" w:eastAsia="zh-CN"/>
        </w:rPr>
        <w:t>固体废物管理</w:t>
      </w:r>
      <w:bookmarkEnd w:id="14"/>
    </w:p>
    <w:p w14:paraId="475AD70A">
      <w:pPr>
        <w:pStyle w:val="16"/>
        <w:spacing w:after="0" w:line="600" w:lineRule="exact"/>
        <w:ind w:left="0" w:leftChars="0" w:firstLine="640" w:firstLineChars="200"/>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园区一般工业固体废物产生量</w:t>
      </w:r>
      <w:r>
        <w:rPr>
          <w:rFonts w:hint="eastAsia" w:ascii="Times New Roman" w:hAnsi="Times New Roman" w:eastAsia="仿宋" w:cs="Times New Roman"/>
          <w:color w:val="auto"/>
          <w:kern w:val="2"/>
          <w:sz w:val="32"/>
          <w:szCs w:val="32"/>
          <w:highlight w:val="none"/>
          <w:lang w:val="en-US" w:eastAsia="zh-CN" w:bidi="ar-SA"/>
        </w:rPr>
        <w:t>191195.66</w:t>
      </w:r>
      <w:r>
        <w:rPr>
          <w:rFonts w:hint="default" w:ascii="Times New Roman" w:hAnsi="Times New Roman" w:eastAsia="仿宋" w:cs="Times New Roman"/>
          <w:color w:val="auto"/>
          <w:kern w:val="2"/>
          <w:sz w:val="32"/>
          <w:szCs w:val="32"/>
          <w:highlight w:val="none"/>
          <w:lang w:val="en-US" w:eastAsia="zh-CN" w:bidi="ar-SA"/>
        </w:rPr>
        <w:t>t/a，其中，自行综合利用及处置</w:t>
      </w:r>
      <w:r>
        <w:rPr>
          <w:rFonts w:hint="eastAsia" w:ascii="Times New Roman" w:hAnsi="Times New Roman" w:eastAsia="仿宋" w:cs="Times New Roman"/>
          <w:color w:val="auto"/>
          <w:kern w:val="2"/>
          <w:sz w:val="32"/>
          <w:szCs w:val="32"/>
          <w:highlight w:val="none"/>
          <w:lang w:val="en-US" w:eastAsia="zh-CN" w:bidi="ar-SA"/>
        </w:rPr>
        <w:t>、委托处理合计191195.66</w:t>
      </w:r>
      <w:r>
        <w:rPr>
          <w:rFonts w:hint="default" w:ascii="Times New Roman" w:hAnsi="Times New Roman" w:eastAsia="仿宋" w:cs="Times New Roman"/>
          <w:color w:val="auto"/>
          <w:kern w:val="2"/>
          <w:sz w:val="32"/>
          <w:szCs w:val="32"/>
          <w:highlight w:val="none"/>
          <w:lang w:val="en-US" w:eastAsia="zh-CN" w:bidi="ar-SA"/>
        </w:rPr>
        <w:t>t/a</w:t>
      </w:r>
      <w:r>
        <w:rPr>
          <w:rFonts w:hint="eastAsia" w:ascii="Times New Roman" w:hAnsi="Times New Roman" w:eastAsia="仿宋" w:cs="Times New Roman"/>
          <w:color w:val="auto"/>
          <w:kern w:val="2"/>
          <w:sz w:val="32"/>
          <w:szCs w:val="32"/>
          <w:highlight w:val="none"/>
          <w:lang w:val="en-US" w:eastAsia="zh-CN" w:bidi="ar-SA"/>
        </w:rPr>
        <w:t>，固体废物综合处置率100%</w:t>
      </w:r>
      <w:r>
        <w:rPr>
          <w:rFonts w:hint="default" w:ascii="Times New Roman" w:hAnsi="Times New Roman" w:eastAsia="仿宋" w:cs="Times New Roman"/>
          <w:color w:val="auto"/>
          <w:kern w:val="2"/>
          <w:sz w:val="32"/>
          <w:szCs w:val="32"/>
          <w:highlight w:val="none"/>
          <w:lang w:val="en-US" w:eastAsia="zh-CN" w:bidi="ar-SA"/>
        </w:rPr>
        <w:t>。危险废物产生企业数量</w:t>
      </w:r>
      <w:r>
        <w:rPr>
          <w:rFonts w:hint="eastAsia" w:ascii="Times New Roman" w:hAnsi="Times New Roman" w:eastAsia="仿宋" w:cs="Times New Roman"/>
          <w:color w:val="auto"/>
          <w:kern w:val="2"/>
          <w:sz w:val="32"/>
          <w:szCs w:val="32"/>
          <w:highlight w:val="none"/>
          <w:lang w:val="en-US" w:eastAsia="zh-CN" w:bidi="ar-SA"/>
        </w:rPr>
        <w:t>7</w:t>
      </w:r>
      <w:r>
        <w:rPr>
          <w:rFonts w:hint="default" w:ascii="Times New Roman" w:hAnsi="Times New Roman" w:eastAsia="仿宋" w:cs="Times New Roman"/>
          <w:color w:val="auto"/>
          <w:kern w:val="2"/>
          <w:sz w:val="32"/>
          <w:szCs w:val="32"/>
          <w:highlight w:val="none"/>
          <w:lang w:val="en-US" w:eastAsia="zh-CN" w:bidi="ar-SA"/>
        </w:rPr>
        <w:t>个，产生量</w:t>
      </w:r>
      <w:r>
        <w:rPr>
          <w:rFonts w:hint="eastAsia" w:ascii="Times New Roman" w:hAnsi="Times New Roman" w:eastAsia="仿宋" w:cs="Times New Roman"/>
          <w:color w:val="auto"/>
          <w:kern w:val="2"/>
          <w:sz w:val="32"/>
          <w:szCs w:val="32"/>
          <w:highlight w:val="none"/>
          <w:lang w:val="en-US" w:eastAsia="zh-CN" w:bidi="ar-SA"/>
        </w:rPr>
        <w:t>12.5583</w:t>
      </w:r>
      <w:r>
        <w:rPr>
          <w:rFonts w:hint="default" w:ascii="Times New Roman" w:hAnsi="Times New Roman" w:eastAsia="仿宋" w:cs="Times New Roman"/>
          <w:color w:val="auto"/>
          <w:kern w:val="2"/>
          <w:sz w:val="32"/>
          <w:szCs w:val="32"/>
          <w:highlight w:val="none"/>
          <w:lang w:val="en-US" w:eastAsia="zh-CN" w:bidi="ar-SA"/>
        </w:rPr>
        <w:t>t/a，自行综合利用</w:t>
      </w:r>
      <w:r>
        <w:rPr>
          <w:rFonts w:hint="eastAsia" w:ascii="Times New Roman" w:hAnsi="Times New Roman" w:eastAsia="仿宋" w:cs="Times New Roman"/>
          <w:color w:val="auto"/>
          <w:kern w:val="2"/>
          <w:sz w:val="32"/>
          <w:szCs w:val="32"/>
          <w:highlight w:val="none"/>
          <w:lang w:val="en-US" w:eastAsia="zh-CN" w:bidi="ar-SA"/>
        </w:rPr>
        <w:t>、</w:t>
      </w:r>
      <w:r>
        <w:rPr>
          <w:rFonts w:hint="default" w:ascii="Times New Roman" w:hAnsi="Times New Roman" w:eastAsia="仿宋" w:cs="Times New Roman"/>
          <w:color w:val="auto"/>
          <w:kern w:val="2"/>
          <w:sz w:val="32"/>
          <w:szCs w:val="32"/>
          <w:highlight w:val="none"/>
          <w:lang w:val="en-US" w:eastAsia="zh-CN" w:bidi="ar-SA"/>
        </w:rPr>
        <w:t>委托处理</w:t>
      </w:r>
      <w:r>
        <w:rPr>
          <w:rFonts w:hint="eastAsia" w:ascii="Times New Roman" w:hAnsi="Times New Roman" w:eastAsia="仿宋" w:cs="Times New Roman"/>
          <w:color w:val="auto"/>
          <w:kern w:val="2"/>
          <w:sz w:val="32"/>
          <w:szCs w:val="32"/>
          <w:highlight w:val="none"/>
          <w:lang w:val="en-US" w:eastAsia="zh-CN" w:bidi="ar-SA"/>
        </w:rPr>
        <w:t>合计12.5583</w:t>
      </w:r>
      <w:r>
        <w:rPr>
          <w:rFonts w:hint="default" w:ascii="Times New Roman" w:hAnsi="Times New Roman" w:eastAsia="仿宋" w:cs="Times New Roman"/>
          <w:color w:val="auto"/>
          <w:kern w:val="2"/>
          <w:sz w:val="32"/>
          <w:szCs w:val="32"/>
          <w:highlight w:val="none"/>
          <w:lang w:val="en-US" w:eastAsia="zh-CN" w:bidi="ar-SA"/>
        </w:rPr>
        <w:t>t/a。</w:t>
      </w:r>
    </w:p>
    <w:p w14:paraId="1DE6A1E1">
      <w:pPr>
        <w:pStyle w:val="16"/>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Chars="0" w:firstLine="640" w:firstLineChars="200"/>
        <w:textAlignment w:val="auto"/>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园区集中的工业固废处理设施情况：园区配套含重金属固废堆渣场一座，总库容</w:t>
      </w:r>
      <w:r>
        <w:rPr>
          <w:rFonts w:hint="eastAsia" w:ascii="Times New Roman" w:hAnsi="Times New Roman" w:eastAsia="仿宋" w:cs="Times New Roman"/>
          <w:color w:val="auto"/>
          <w:kern w:val="2"/>
          <w:sz w:val="32"/>
          <w:szCs w:val="32"/>
          <w:highlight w:val="none"/>
          <w:lang w:val="en-US" w:eastAsia="zh-CN" w:bidi="ar-SA"/>
        </w:rPr>
        <w:t>34</w:t>
      </w:r>
      <w:r>
        <w:rPr>
          <w:rFonts w:hint="default" w:ascii="Times New Roman" w:hAnsi="Times New Roman" w:eastAsia="仿宋" w:cs="Times New Roman"/>
          <w:color w:val="auto"/>
          <w:kern w:val="2"/>
          <w:sz w:val="32"/>
          <w:szCs w:val="32"/>
          <w:highlight w:val="none"/>
          <w:lang w:val="en-US" w:eastAsia="zh-CN" w:bidi="ar-SA"/>
        </w:rPr>
        <w:t>万m³，处置方式为填埋。</w:t>
      </w:r>
    </w:p>
    <w:p w14:paraId="1D40BC32">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lang w:val="en-US" w:eastAsia="zh-CN"/>
        </w:rPr>
      </w:pPr>
      <w:bookmarkStart w:id="15" w:name="_Toc10016"/>
      <w:r>
        <w:rPr>
          <w:rFonts w:hint="default" w:ascii="Times New Roman" w:hAnsi="Times New Roman" w:cs="Times New Roman"/>
          <w:b/>
          <w:lang w:val="en-US" w:eastAsia="zh-CN"/>
        </w:rPr>
        <w:t>2.</w:t>
      </w:r>
      <w:r>
        <w:rPr>
          <w:rFonts w:hint="eastAsia" w:ascii="Times New Roman" w:hAnsi="Times New Roman" w:cs="Times New Roman"/>
          <w:b/>
          <w:lang w:val="en-US" w:eastAsia="zh-CN"/>
        </w:rPr>
        <w:t>8</w:t>
      </w:r>
      <w:r>
        <w:rPr>
          <w:rFonts w:hint="default" w:ascii="Times New Roman" w:hAnsi="Times New Roman" w:cs="Times New Roman"/>
          <w:b/>
          <w:lang w:val="en-US" w:eastAsia="zh-CN"/>
        </w:rPr>
        <w:t>投诉管理</w:t>
      </w:r>
      <w:bookmarkEnd w:id="15"/>
    </w:p>
    <w:p w14:paraId="10FC6451">
      <w:pPr>
        <w:pStyle w:val="16"/>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2025年度园区共受理各类（含各级督查、各级环保投诉等）投诉0件，环保督察交办问题0件</w:t>
      </w:r>
      <w:r>
        <w:rPr>
          <w:rFonts w:hint="eastAsia" w:ascii="Times New Roman" w:hAnsi="Times New Roman" w:eastAsia="仿宋" w:cs="Times New Roman"/>
          <w:kern w:val="2"/>
          <w:sz w:val="32"/>
          <w:szCs w:val="32"/>
          <w:lang w:val="en-US" w:eastAsia="zh-CN" w:bidi="ar-SA"/>
        </w:rPr>
        <w:t>。</w:t>
      </w:r>
    </w:p>
    <w:p w14:paraId="0B802102">
      <w:pPr>
        <w:pStyle w:val="3"/>
        <w:keepNext/>
        <w:keepLines/>
        <w:pageBreakBefore w:val="0"/>
        <w:widowControl w:val="0"/>
        <w:kinsoku/>
        <w:wordWrap/>
        <w:overflowPunct/>
        <w:topLinePunct w:val="0"/>
        <w:autoSpaceDE/>
        <w:autoSpaceDN/>
        <w:bidi w:val="0"/>
        <w:adjustRightInd/>
        <w:snapToGrid/>
        <w:spacing w:before="0" w:after="0" w:line="600" w:lineRule="exact"/>
        <w:textAlignment w:val="auto"/>
        <w:rPr>
          <w:rFonts w:hint="default" w:ascii="Times New Roman" w:hAnsi="Times New Roman" w:cs="Times New Roman"/>
          <w:b/>
          <w:lang w:val="en-US" w:eastAsia="zh-CN"/>
        </w:rPr>
      </w:pPr>
      <w:bookmarkStart w:id="16" w:name="_Toc1963"/>
      <w:r>
        <w:rPr>
          <w:rFonts w:hint="default" w:ascii="Times New Roman" w:hAnsi="Times New Roman" w:cs="Times New Roman"/>
          <w:b/>
          <w:lang w:val="en-US" w:eastAsia="zh-CN"/>
        </w:rPr>
        <w:t>2.</w:t>
      </w:r>
      <w:r>
        <w:rPr>
          <w:rFonts w:hint="eastAsia" w:ascii="Times New Roman" w:hAnsi="Times New Roman" w:cs="Times New Roman"/>
          <w:b/>
          <w:lang w:val="en-US" w:eastAsia="zh-CN"/>
        </w:rPr>
        <w:t>9</w:t>
      </w:r>
      <w:r>
        <w:rPr>
          <w:rFonts w:hint="default" w:ascii="Times New Roman" w:hAnsi="Times New Roman" w:cs="Times New Roman"/>
          <w:b/>
          <w:lang w:val="en-US" w:eastAsia="zh-CN"/>
        </w:rPr>
        <w:t>园区信用评价</w:t>
      </w:r>
      <w:bookmarkEnd w:id="16"/>
    </w:p>
    <w:p w14:paraId="19F3236E">
      <w:pPr>
        <w:pStyle w:val="16"/>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根据湖南省生态环境厅202</w:t>
      </w:r>
      <w:r>
        <w:rPr>
          <w:rFonts w:hint="eastAsia" w:ascii="Times New Roman" w:hAnsi="Times New Roman" w:eastAsia="仿宋" w:cs="Times New Roman"/>
          <w:kern w:val="2"/>
          <w:sz w:val="32"/>
          <w:szCs w:val="32"/>
          <w:lang w:val="en-US" w:eastAsia="zh-CN" w:bidi="ar-SA"/>
        </w:rPr>
        <w:t>3</w:t>
      </w:r>
      <w:r>
        <w:rPr>
          <w:rFonts w:hint="default" w:ascii="Times New Roman" w:hAnsi="Times New Roman" w:eastAsia="仿宋" w:cs="Times New Roman"/>
          <w:kern w:val="2"/>
          <w:sz w:val="32"/>
          <w:szCs w:val="32"/>
          <w:lang w:val="en-US" w:eastAsia="zh-CN" w:bidi="ar-SA"/>
        </w:rPr>
        <w:t>年</w:t>
      </w:r>
      <w:r>
        <w:rPr>
          <w:rFonts w:hint="eastAsia" w:ascii="Times New Roman" w:hAnsi="Times New Roman" w:eastAsia="仿宋" w:cs="Times New Roman"/>
          <w:kern w:val="2"/>
          <w:sz w:val="32"/>
          <w:szCs w:val="32"/>
          <w:lang w:val="en-US" w:eastAsia="zh-CN" w:bidi="ar-SA"/>
        </w:rPr>
        <w:t>12</w:t>
      </w:r>
      <w:r>
        <w:rPr>
          <w:rFonts w:hint="default" w:ascii="Times New Roman" w:hAnsi="Times New Roman" w:eastAsia="仿宋" w:cs="Times New Roman"/>
          <w:kern w:val="2"/>
          <w:sz w:val="32"/>
          <w:szCs w:val="32"/>
          <w:lang w:val="en-US" w:eastAsia="zh-CN" w:bidi="ar-SA"/>
        </w:rPr>
        <w:t>月发布的《湖南省产业园区环保信用评价管理办法》，环保信用评价等级由核算分值确定，各产业园区的初始环保信用分值为9分。产业园区环保信用等级根据环保信用分值高低分为环保诚信园区、环保合格园区、环保风险园区三个等级。</w:t>
      </w:r>
    </w:p>
    <w:p w14:paraId="60D5351E">
      <w:pPr>
        <w:pStyle w:val="16"/>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环保诚信园区:环保信用分值10分及以上</w:t>
      </w:r>
      <w:r>
        <w:rPr>
          <w:rFonts w:hint="eastAsia" w:ascii="Times New Roman" w:hAnsi="Times New Roman" w:eastAsia="仿宋" w:cs="Times New Roman"/>
          <w:kern w:val="2"/>
          <w:sz w:val="32"/>
          <w:szCs w:val="32"/>
          <w:lang w:val="en-US" w:eastAsia="zh-CN" w:bidi="ar-SA"/>
        </w:rPr>
        <w:t>；</w:t>
      </w:r>
    </w:p>
    <w:p w14:paraId="337681BB">
      <w:pPr>
        <w:pStyle w:val="16"/>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环保合格园区:环保信用分值5分以上,10分以下</w:t>
      </w:r>
      <w:r>
        <w:rPr>
          <w:rFonts w:hint="eastAsia" w:ascii="Times New Roman" w:hAnsi="Times New Roman" w:eastAsia="仿宋" w:cs="Times New Roman"/>
          <w:kern w:val="2"/>
          <w:sz w:val="32"/>
          <w:szCs w:val="32"/>
          <w:lang w:val="en-US" w:eastAsia="zh-CN" w:bidi="ar-SA"/>
        </w:rPr>
        <w:t>；</w:t>
      </w:r>
    </w:p>
    <w:p w14:paraId="1002C82F">
      <w:pPr>
        <w:pStyle w:val="16"/>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环保风险园区:环保信用分值5分及以下。</w:t>
      </w:r>
    </w:p>
    <w:p w14:paraId="14DA16A6">
      <w:pPr>
        <w:pStyle w:val="16"/>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sectPr>
          <w:footerReference r:id="rId5" w:type="default"/>
          <w:pgSz w:w="11906" w:h="16838"/>
          <w:pgMar w:top="1083" w:right="1440" w:bottom="1083" w:left="1440" w:header="851" w:footer="992" w:gutter="0"/>
          <w:pgBorders>
            <w:top w:val="none" w:sz="0" w:space="0"/>
            <w:left w:val="none" w:sz="0" w:space="0"/>
            <w:bottom w:val="none" w:sz="0" w:space="0"/>
            <w:right w:val="none" w:sz="0" w:space="0"/>
          </w:pgBorders>
          <w:pgNumType w:fmt="numberInDash"/>
          <w:cols w:space="720" w:num="1"/>
          <w:rtlGutter w:val="0"/>
          <w:docGrid w:type="lines" w:linePitch="451" w:charSpace="0"/>
        </w:sectPr>
      </w:pPr>
      <w:bookmarkStart w:id="17" w:name="_Hlk67148531"/>
      <w:r>
        <w:rPr>
          <w:rFonts w:hint="default" w:ascii="Times New Roman" w:hAnsi="Times New Roman" w:eastAsia="仿宋" w:cs="Times New Roman"/>
          <w:kern w:val="2"/>
          <w:sz w:val="32"/>
          <w:szCs w:val="32"/>
          <w:lang w:val="en-US" w:eastAsia="zh-CN" w:bidi="ar-SA"/>
        </w:rPr>
        <w:t>园区按照《湖南省产业园区环保信用评价管理办法》</w:t>
      </w:r>
      <w:bookmarkEnd w:id="17"/>
      <w:r>
        <w:rPr>
          <w:rFonts w:hint="default" w:ascii="Times New Roman" w:hAnsi="Times New Roman" w:eastAsia="仿宋" w:cs="Times New Roman"/>
          <w:kern w:val="2"/>
          <w:sz w:val="32"/>
          <w:szCs w:val="32"/>
          <w:lang w:val="en-US" w:eastAsia="zh-CN" w:bidi="ar-SA"/>
        </w:rPr>
        <w:t>的要求，结合环境准入、环境</w:t>
      </w:r>
      <w:r>
        <w:rPr>
          <w:rFonts w:hint="eastAsia" w:ascii="Times New Roman" w:hAnsi="Times New Roman" w:eastAsia="仿宋" w:cs="Times New Roman"/>
          <w:kern w:val="2"/>
          <w:sz w:val="32"/>
          <w:szCs w:val="32"/>
          <w:lang w:val="en-US" w:eastAsia="zh-CN" w:bidi="ar-SA"/>
        </w:rPr>
        <w:t>监管</w:t>
      </w:r>
      <w:r>
        <w:rPr>
          <w:rFonts w:hint="default" w:ascii="Times New Roman" w:hAnsi="Times New Roman" w:eastAsia="仿宋" w:cs="Times New Roman"/>
          <w:kern w:val="2"/>
          <w:sz w:val="32"/>
          <w:szCs w:val="32"/>
          <w:lang w:val="en-US" w:eastAsia="zh-CN" w:bidi="ar-SA"/>
        </w:rPr>
        <w:t>、风险防控、</w:t>
      </w:r>
      <w:r>
        <w:rPr>
          <w:rFonts w:hint="eastAsia" w:ascii="Times New Roman" w:hAnsi="Times New Roman" w:eastAsia="仿宋" w:cs="Times New Roman"/>
          <w:kern w:val="2"/>
          <w:sz w:val="32"/>
          <w:szCs w:val="32"/>
          <w:lang w:val="en-US" w:eastAsia="zh-CN" w:bidi="ar-SA"/>
        </w:rPr>
        <w:t>绿色发展、公众参与及其他</w:t>
      </w:r>
      <w:r>
        <w:rPr>
          <w:rFonts w:hint="default" w:ascii="Times New Roman" w:hAnsi="Times New Roman" w:eastAsia="仿宋" w:cs="Times New Roman"/>
          <w:kern w:val="2"/>
          <w:sz w:val="32"/>
          <w:szCs w:val="32"/>
          <w:lang w:val="en-US" w:eastAsia="zh-CN" w:bidi="ar-SA"/>
        </w:rPr>
        <w:t>个</w:t>
      </w:r>
      <w:r>
        <w:rPr>
          <w:rFonts w:hint="eastAsia" w:ascii="Times New Roman" w:hAnsi="Times New Roman" w:eastAsia="仿宋" w:cs="Times New Roman"/>
          <w:kern w:val="2"/>
          <w:sz w:val="32"/>
          <w:szCs w:val="32"/>
          <w:lang w:val="en-US" w:eastAsia="zh-CN" w:bidi="ar-SA"/>
        </w:rPr>
        <w:t>六</w:t>
      </w:r>
      <w:r>
        <w:rPr>
          <w:rFonts w:hint="default" w:ascii="Times New Roman" w:hAnsi="Times New Roman" w:eastAsia="仿宋" w:cs="Times New Roman"/>
          <w:kern w:val="2"/>
          <w:sz w:val="32"/>
          <w:szCs w:val="32"/>
          <w:lang w:val="en-US" w:eastAsia="zh-CN" w:bidi="ar-SA"/>
        </w:rPr>
        <w:t>方面发展建设实际情况，进行环保信用系统化评价，评价结果如下。</w:t>
      </w:r>
    </w:p>
    <w:p w14:paraId="489B123D">
      <w:pPr>
        <w:bidi w:val="0"/>
        <w:ind w:left="0" w:leftChars="0" w:firstLine="0" w:firstLineChars="0"/>
        <w:jc w:val="center"/>
        <w:rPr>
          <w:rFonts w:hint="default"/>
          <w:color w:val="auto"/>
          <w:vertAlign w:val="baseline"/>
          <w:lang w:val="en-US" w:eastAsia="zh-CN"/>
        </w:rPr>
      </w:pPr>
      <w:r>
        <w:rPr>
          <w:rFonts w:hint="default" w:ascii="Times New Roman" w:hAnsi="Times New Roman" w:eastAsia="仿宋" w:cs="Times New Roman"/>
          <w:b w:val="0"/>
          <w:bCs/>
          <w:color w:val="333333"/>
          <w:kern w:val="0"/>
          <w:sz w:val="28"/>
          <w:szCs w:val="40"/>
          <w:shd w:val="clear" w:color="auto" w:fill="FFFFFF"/>
          <w:lang w:val="en-US" w:eastAsia="zh-CN" w:bidi="ar-SA"/>
        </w:rPr>
        <w:t>表</w:t>
      </w:r>
      <w:r>
        <w:rPr>
          <w:rFonts w:hint="eastAsia" w:ascii="Times New Roman" w:hAnsi="Times New Roman" w:eastAsia="仿宋" w:cs="Times New Roman"/>
          <w:b w:val="0"/>
          <w:bCs/>
          <w:color w:val="333333"/>
          <w:kern w:val="0"/>
          <w:sz w:val="28"/>
          <w:szCs w:val="40"/>
          <w:shd w:val="clear" w:color="auto" w:fill="FFFFFF"/>
          <w:lang w:val="en-US" w:eastAsia="zh-CN" w:bidi="ar-SA"/>
        </w:rPr>
        <w:t>8</w:t>
      </w:r>
      <w:r>
        <w:rPr>
          <w:rFonts w:hint="default" w:ascii="Times New Roman" w:hAnsi="Times New Roman" w:eastAsia="仿宋" w:cs="Times New Roman"/>
          <w:b w:val="0"/>
          <w:bCs/>
          <w:color w:val="333333"/>
          <w:kern w:val="0"/>
          <w:sz w:val="28"/>
          <w:szCs w:val="40"/>
          <w:shd w:val="clear" w:color="auto" w:fill="FFFFFF"/>
          <w:lang w:val="en-US" w:eastAsia="zh-CN" w:bidi="ar-SA"/>
        </w:rPr>
        <w:t xml:space="preserve">  </w:t>
      </w:r>
      <w:r>
        <w:rPr>
          <w:rFonts w:hint="eastAsia" w:ascii="Times New Roman" w:hAnsi="Times New Roman" w:eastAsia="仿宋" w:cs="Times New Roman"/>
          <w:b w:val="0"/>
          <w:bCs/>
          <w:color w:val="333333"/>
          <w:kern w:val="0"/>
          <w:sz w:val="28"/>
          <w:szCs w:val="40"/>
          <w:shd w:val="clear" w:color="auto" w:fill="FFFFFF"/>
          <w:lang w:val="en-US" w:eastAsia="zh-CN" w:bidi="ar-SA"/>
        </w:rPr>
        <w:t>湖南省产业园区环保信用自评表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2383"/>
        <w:gridCol w:w="1007"/>
        <w:gridCol w:w="5985"/>
        <w:gridCol w:w="3255"/>
        <w:gridCol w:w="831"/>
      </w:tblGrid>
      <w:tr w14:paraId="5E68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51819E94">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序号</w:t>
            </w:r>
          </w:p>
        </w:tc>
        <w:tc>
          <w:tcPr>
            <w:tcW w:w="2383" w:type="dxa"/>
            <w:noWrap w:val="0"/>
            <w:vAlign w:val="center"/>
          </w:tcPr>
          <w:p w14:paraId="24822803">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评价标准</w:t>
            </w:r>
          </w:p>
        </w:tc>
        <w:tc>
          <w:tcPr>
            <w:tcW w:w="1007" w:type="dxa"/>
            <w:noWrap w:val="0"/>
            <w:vAlign w:val="center"/>
          </w:tcPr>
          <w:p w14:paraId="461D9249">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分值（分）</w:t>
            </w:r>
          </w:p>
        </w:tc>
        <w:tc>
          <w:tcPr>
            <w:tcW w:w="5985" w:type="dxa"/>
            <w:noWrap w:val="0"/>
            <w:vAlign w:val="center"/>
          </w:tcPr>
          <w:p w14:paraId="0CBC020B">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评分标准</w:t>
            </w:r>
          </w:p>
        </w:tc>
        <w:tc>
          <w:tcPr>
            <w:tcW w:w="3255" w:type="dxa"/>
            <w:noWrap w:val="0"/>
            <w:vAlign w:val="center"/>
          </w:tcPr>
          <w:p w14:paraId="53C1982C">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自评价情况</w:t>
            </w:r>
          </w:p>
        </w:tc>
        <w:tc>
          <w:tcPr>
            <w:tcW w:w="831" w:type="dxa"/>
            <w:noWrap w:val="0"/>
            <w:vAlign w:val="center"/>
          </w:tcPr>
          <w:p w14:paraId="0B4E2DFE">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得分</w:t>
            </w:r>
          </w:p>
        </w:tc>
      </w:tr>
      <w:tr w14:paraId="4555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01393A1E">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w:t>
            </w:r>
          </w:p>
        </w:tc>
        <w:tc>
          <w:tcPr>
            <w:tcW w:w="2383" w:type="dxa"/>
            <w:noWrap w:val="0"/>
            <w:vAlign w:val="center"/>
          </w:tcPr>
          <w:p w14:paraId="3E30FA96">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产业园区未按要求开展规划环评或环境影响跟踪评价</w:t>
            </w:r>
          </w:p>
        </w:tc>
        <w:tc>
          <w:tcPr>
            <w:tcW w:w="1007" w:type="dxa"/>
            <w:noWrap w:val="0"/>
            <w:vAlign w:val="center"/>
          </w:tcPr>
          <w:p w14:paraId="49036480">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74C710A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（1）园区规划发生重大调整或修订，依法重新或补充开展了规划环境影响评价工作；及时开展了规划环境影响跟踪评价。不扣分。</w:t>
            </w:r>
          </w:p>
          <w:p w14:paraId="147FDCB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（2）园区按要求正在组织开展规划环境影响评价或规划环境影响跟踪评价工作，已召开专家审查会，暂未取得审查意见。扣 0.5 分。</w:t>
            </w:r>
          </w:p>
          <w:p w14:paraId="4F154B5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（3）园区未按要求及时开展规划环境影响跟踪评价、规划发生重大调整或修订未按要求开展规划环境影响评价。扣 1 分</w:t>
            </w:r>
            <w:r>
              <w:rPr>
                <w:rFonts w:hint="eastAsia" w:eastAsia="仿宋" w:cs="仿宋"/>
                <w:color w:val="auto"/>
                <w:sz w:val="24"/>
                <w:szCs w:val="24"/>
                <w:vertAlign w:val="baseline"/>
                <w:lang w:val="en-US" w:eastAsia="zh-CN"/>
              </w:rPr>
              <w:t>。</w:t>
            </w:r>
          </w:p>
        </w:tc>
        <w:tc>
          <w:tcPr>
            <w:tcW w:w="3255" w:type="dxa"/>
            <w:noWrap w:val="0"/>
            <w:vAlign w:val="center"/>
          </w:tcPr>
          <w:p w14:paraId="64DCE0F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2021年委托湖南省环境保护科学研究院编制了《湖南新晃侗族自治县产业开发区调扩区规划环境影响报告书》，并于2021年10月取得《关于湖南新晃侗族自治县产业开发区调扩区规划环境影响报告书审查意见的函》（湘环评函</w:t>
            </w:r>
            <w:r>
              <w:rPr>
                <w:rFonts w:hint="eastAsia" w:eastAsia="仿宋" w:cs="仿宋"/>
                <w:color w:val="auto"/>
                <w:sz w:val="24"/>
                <w:szCs w:val="24"/>
                <w:vertAlign w:val="baseline"/>
                <w:lang w:val="en-US" w:eastAsia="zh-CN"/>
              </w:rPr>
              <w:t>〔</w:t>
            </w:r>
            <w:r>
              <w:rPr>
                <w:rFonts w:hint="eastAsia" w:ascii="仿宋" w:hAnsi="仿宋" w:eastAsia="仿宋" w:cs="仿宋"/>
                <w:color w:val="auto"/>
                <w:sz w:val="24"/>
                <w:szCs w:val="24"/>
                <w:vertAlign w:val="baseline"/>
                <w:lang w:val="en-US" w:eastAsia="zh-CN"/>
              </w:rPr>
              <w:t>2021</w:t>
            </w:r>
            <w:r>
              <w:rPr>
                <w:rFonts w:hint="eastAsia" w:eastAsia="仿宋" w:cs="仿宋"/>
                <w:color w:val="auto"/>
                <w:sz w:val="24"/>
                <w:szCs w:val="24"/>
                <w:vertAlign w:val="baseline"/>
                <w:lang w:val="en-US" w:eastAsia="zh-CN"/>
              </w:rPr>
              <w:t>〕</w:t>
            </w:r>
            <w:r>
              <w:rPr>
                <w:rFonts w:hint="eastAsia" w:ascii="仿宋" w:hAnsi="仿宋" w:eastAsia="仿宋" w:cs="仿宋"/>
                <w:color w:val="auto"/>
                <w:sz w:val="24"/>
                <w:szCs w:val="24"/>
                <w:vertAlign w:val="baseline"/>
                <w:lang w:val="en-US" w:eastAsia="zh-CN"/>
              </w:rPr>
              <w:t>32号）</w:t>
            </w:r>
          </w:p>
        </w:tc>
        <w:tc>
          <w:tcPr>
            <w:tcW w:w="831" w:type="dxa"/>
            <w:noWrap w:val="0"/>
            <w:vAlign w:val="center"/>
          </w:tcPr>
          <w:p w14:paraId="1E2AE564">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5D1A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noWrap w:val="0"/>
            <w:vAlign w:val="center"/>
          </w:tcPr>
          <w:p w14:paraId="140C160D">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2</w:t>
            </w:r>
          </w:p>
        </w:tc>
        <w:tc>
          <w:tcPr>
            <w:tcW w:w="2383" w:type="dxa"/>
            <w:noWrap w:val="0"/>
            <w:vAlign w:val="center"/>
          </w:tcPr>
          <w:p w14:paraId="73AF51D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产业园区未落实“三线一单”生态环境分区管控等要求。</w:t>
            </w:r>
          </w:p>
        </w:tc>
        <w:tc>
          <w:tcPr>
            <w:tcW w:w="1007" w:type="dxa"/>
            <w:noWrap w:val="0"/>
            <w:vAlign w:val="center"/>
          </w:tcPr>
          <w:p w14:paraId="0937178F">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656BC54C">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（1）园区落实了“三线一单”生态环境分区管控等要求。不扣分。</w:t>
            </w:r>
          </w:p>
          <w:p w14:paraId="645FB37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（2）园区存在未落实“三线一单”生态环境分区管控等要求。扣 1 分。</w:t>
            </w:r>
          </w:p>
        </w:tc>
        <w:tc>
          <w:tcPr>
            <w:tcW w:w="3255" w:type="dxa"/>
            <w:noWrap w:val="0"/>
            <w:vAlign w:val="center"/>
          </w:tcPr>
          <w:p w14:paraId="4AC6A08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园区落实了“三线一单”生态环境分区管控等要求</w:t>
            </w:r>
            <w:r>
              <w:rPr>
                <w:rFonts w:hint="eastAsia" w:eastAsia="仿宋" w:cs="仿宋"/>
                <w:color w:val="auto"/>
                <w:sz w:val="24"/>
                <w:szCs w:val="24"/>
                <w:vertAlign w:val="baseline"/>
                <w:lang w:val="en-US" w:eastAsia="zh-CN"/>
              </w:rPr>
              <w:t>。</w:t>
            </w:r>
          </w:p>
        </w:tc>
        <w:tc>
          <w:tcPr>
            <w:tcW w:w="831" w:type="dxa"/>
            <w:noWrap w:val="0"/>
            <w:vAlign w:val="center"/>
          </w:tcPr>
          <w:p w14:paraId="04630C7F">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76FD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5C3B7965">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2383" w:type="dxa"/>
            <w:noWrap w:val="0"/>
            <w:vAlign w:val="center"/>
          </w:tcPr>
          <w:p w14:paraId="09943CF1">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化工园区认定后因生态环境保护工作不达标导致复核不合格或被摘牌。</w:t>
            </w:r>
          </w:p>
        </w:tc>
        <w:tc>
          <w:tcPr>
            <w:tcW w:w="1007" w:type="dxa"/>
            <w:noWrap w:val="0"/>
            <w:vAlign w:val="center"/>
          </w:tcPr>
          <w:p w14:paraId="5B34229F">
            <w:pPr>
              <w:pStyle w:val="32"/>
              <w:bidi w:val="0"/>
              <w:jc w:val="center"/>
              <w:rPr>
                <w:rFonts w:hint="eastAsia"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27CDE10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（1）化工园区认定后未因生态环境保护工作不达标导致复核不合格或被摘牌。不扣分。</w:t>
            </w:r>
          </w:p>
          <w:p w14:paraId="6FE4B8B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（2）化工园区因生态环境保护工作不达标导致复核不合格，被要求限期整改。扣 0.5 分。</w:t>
            </w:r>
          </w:p>
          <w:p w14:paraId="049D6AE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（3）化工园区因生态环境保护工作不达标导致复核被摘牌。扣 1 分。</w:t>
            </w:r>
          </w:p>
        </w:tc>
        <w:tc>
          <w:tcPr>
            <w:tcW w:w="3255" w:type="dxa"/>
            <w:noWrap w:val="0"/>
            <w:vAlign w:val="center"/>
          </w:tcPr>
          <w:p w14:paraId="572EED4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于2023年9月11日取得《关于认定新晃产业开发区新晃化工片区)为化工园区的通知》（湘发改园区</w:t>
            </w:r>
            <w:r>
              <w:rPr>
                <w:rFonts w:hint="eastAsia" w:eastAsia="仿宋" w:cs="仿宋"/>
                <w:color w:val="auto"/>
                <w:sz w:val="24"/>
                <w:szCs w:val="24"/>
                <w:vertAlign w:val="baseline"/>
                <w:lang w:val="en-US" w:eastAsia="zh-CN"/>
              </w:rPr>
              <w:t>〔</w:t>
            </w:r>
            <w:r>
              <w:rPr>
                <w:rFonts w:hint="eastAsia" w:ascii="仿宋" w:hAnsi="仿宋" w:eastAsia="仿宋" w:cs="仿宋"/>
                <w:color w:val="auto"/>
                <w:sz w:val="24"/>
                <w:szCs w:val="24"/>
                <w:vertAlign w:val="baseline"/>
                <w:lang w:val="en-US" w:eastAsia="zh-CN"/>
              </w:rPr>
              <w:t>2023</w:t>
            </w:r>
            <w:r>
              <w:rPr>
                <w:rFonts w:hint="eastAsia" w:eastAsia="仿宋" w:cs="仿宋"/>
                <w:color w:val="auto"/>
                <w:sz w:val="24"/>
                <w:szCs w:val="24"/>
                <w:vertAlign w:val="baseline"/>
                <w:lang w:val="en-US" w:eastAsia="zh-CN"/>
              </w:rPr>
              <w:t>〕</w:t>
            </w:r>
            <w:r>
              <w:rPr>
                <w:rFonts w:hint="eastAsia" w:ascii="仿宋" w:hAnsi="仿宋" w:eastAsia="仿宋" w:cs="仿宋"/>
                <w:color w:val="auto"/>
                <w:sz w:val="24"/>
                <w:szCs w:val="24"/>
                <w:vertAlign w:val="baseline"/>
                <w:lang w:val="en-US" w:eastAsia="zh-CN"/>
              </w:rPr>
              <w:t>604号），</w:t>
            </w:r>
            <w:r>
              <w:rPr>
                <w:rFonts w:hint="eastAsia" w:eastAsia="仿宋" w:cs="仿宋"/>
                <w:color w:val="auto"/>
                <w:sz w:val="24"/>
                <w:szCs w:val="24"/>
                <w:vertAlign w:val="baseline"/>
                <w:lang w:val="en-US" w:eastAsia="zh-CN"/>
              </w:rPr>
              <w:t>2025年化工园区复核合格。</w:t>
            </w:r>
          </w:p>
        </w:tc>
        <w:tc>
          <w:tcPr>
            <w:tcW w:w="831" w:type="dxa"/>
            <w:noWrap w:val="0"/>
            <w:vAlign w:val="center"/>
          </w:tcPr>
          <w:p w14:paraId="490C72DD">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2924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noWrap w:val="0"/>
            <w:vAlign w:val="center"/>
          </w:tcPr>
          <w:p w14:paraId="5A6A6219">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2383" w:type="dxa"/>
            <w:noWrap w:val="0"/>
            <w:vAlign w:val="center"/>
          </w:tcPr>
          <w:p w14:paraId="3863AAA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产业园区内存在企事业单位未依法开展环境影响评价或未按要求申领排污许可证和辐射安全许可证。</w:t>
            </w:r>
          </w:p>
        </w:tc>
        <w:tc>
          <w:tcPr>
            <w:tcW w:w="1007" w:type="dxa"/>
            <w:noWrap w:val="0"/>
            <w:vAlign w:val="center"/>
          </w:tcPr>
          <w:p w14:paraId="593D589B">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035BC966">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（1）园区内企事业单位均已依法开展环境影响评价，并按要求申领排污许可证和辐射安全许可证。不扣分。</w:t>
            </w:r>
          </w:p>
          <w:p w14:paraId="4E96CB35">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（2）园区内存在企事业单位未依法开展环境影响评价、未及时申领排污许可证、未及时申领辐射安全许可证。扣 1 分。</w:t>
            </w:r>
          </w:p>
        </w:tc>
        <w:tc>
          <w:tcPr>
            <w:tcW w:w="3255" w:type="dxa"/>
            <w:noWrap w:val="0"/>
            <w:vAlign w:val="center"/>
          </w:tcPr>
          <w:p w14:paraId="65873469">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区内企事业单位均已依法开展环境影响评价，并按要求申领排污许可证</w:t>
            </w:r>
            <w:r>
              <w:rPr>
                <w:rFonts w:hint="eastAsia" w:eastAsia="仿宋" w:cs="仿宋"/>
                <w:color w:val="auto"/>
                <w:sz w:val="24"/>
                <w:szCs w:val="24"/>
                <w:vertAlign w:val="baseline"/>
                <w:lang w:val="en-US" w:eastAsia="zh-CN"/>
              </w:rPr>
              <w:t>。</w:t>
            </w:r>
          </w:p>
        </w:tc>
        <w:tc>
          <w:tcPr>
            <w:tcW w:w="831" w:type="dxa"/>
            <w:noWrap w:val="0"/>
            <w:vAlign w:val="center"/>
          </w:tcPr>
          <w:p w14:paraId="0AC8F651">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0E1E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0E128BBC">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2383" w:type="dxa"/>
            <w:noWrap w:val="0"/>
            <w:vAlign w:val="center"/>
          </w:tcPr>
          <w:p w14:paraId="33697349">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产业园区未按要求进行废水收集处理或未达标排放。</w:t>
            </w:r>
          </w:p>
        </w:tc>
        <w:tc>
          <w:tcPr>
            <w:tcW w:w="1007" w:type="dxa"/>
            <w:noWrap w:val="0"/>
            <w:vAlign w:val="center"/>
          </w:tcPr>
          <w:p w14:paraId="4A584C15">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-2</w:t>
            </w:r>
          </w:p>
        </w:tc>
        <w:tc>
          <w:tcPr>
            <w:tcW w:w="5985" w:type="dxa"/>
            <w:noWrap w:val="0"/>
            <w:vAlign w:val="center"/>
          </w:tcPr>
          <w:p w14:paraId="1DE92EB1">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（1）园区按要求进行了废水收集处理，且达标排放。不扣分。</w:t>
            </w:r>
          </w:p>
          <w:p w14:paraId="7A9217A9">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（2）有涉重金属企业的园区未建设集中式重金属污水处理设施。扣 1 分。</w:t>
            </w:r>
          </w:p>
          <w:p w14:paraId="18CADEF5">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（3）园区内存在企业废水未纳管。扣 1 分。</w:t>
            </w:r>
          </w:p>
          <w:p w14:paraId="10325F1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（4）园区污水处理厂废水存在真实超标情况。扣 1 分。</w:t>
            </w:r>
          </w:p>
          <w:p w14:paraId="45AC1C1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（5）园区污水处理厂进水口或出水口未安装自动监控设施或未联网。扣 1 分。</w:t>
            </w:r>
          </w:p>
          <w:p w14:paraId="5D79B20E">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（6）园区内存在通过雨污混排、清污混排等方式偷排废水行为、暗设管道偷排行为。扣 1分。</w:t>
            </w:r>
          </w:p>
          <w:p w14:paraId="4F47C2A7">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（7）园区存在不能依托城镇污水处理厂而依托了的情况。扣 1分。</w:t>
            </w:r>
          </w:p>
          <w:p w14:paraId="3F7EC80E">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（8）园区内存在工业污水未按规定进行预处理的情况。扣 1分。</w:t>
            </w:r>
          </w:p>
          <w:p w14:paraId="02CD846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（9）园区污水处理厂未办理入河排污口审批。扣 1 分。</w:t>
            </w:r>
          </w:p>
          <w:p w14:paraId="5522E0B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第（2）至（9）项累计最高扣 2分。</w:t>
            </w:r>
          </w:p>
        </w:tc>
        <w:tc>
          <w:tcPr>
            <w:tcW w:w="3255" w:type="dxa"/>
            <w:noWrap w:val="0"/>
            <w:vAlign w:val="center"/>
          </w:tcPr>
          <w:p w14:paraId="49C4DAF8">
            <w:pPr>
              <w:pStyle w:val="32"/>
              <w:bidi w:val="0"/>
              <w:jc w:val="left"/>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w:t>
            </w:r>
            <w:r>
              <w:rPr>
                <w:rFonts w:hint="eastAsia" w:eastAsia="仿宋" w:cs="仿宋"/>
                <w:color w:val="auto"/>
                <w:sz w:val="24"/>
                <w:szCs w:val="24"/>
                <w:vertAlign w:val="baseline"/>
                <w:lang w:val="en-US" w:eastAsia="zh-CN"/>
              </w:rPr>
              <w:t>按照规划环评要求进行了废水收集处理，建设了集中式污水处理厂，所有企业废水均纳入园区污水管网，污水处理厂进水口及排放口均安装了自动监控设施并已联网，排放口已办理入河排污口审批。园区内不存在雨污混排、暗管偷排等行为，</w:t>
            </w:r>
            <w:r>
              <w:rPr>
                <w:rFonts w:hint="eastAsia" w:ascii="仿宋" w:hAnsi="仿宋" w:eastAsia="仿宋" w:cs="仿宋"/>
                <w:color w:val="auto"/>
                <w:sz w:val="24"/>
                <w:szCs w:val="24"/>
                <w:vertAlign w:val="baseline"/>
                <w:lang w:val="en-US" w:eastAsia="zh-CN"/>
              </w:rPr>
              <w:t>园区污水处理厂废水存在超标情况</w:t>
            </w:r>
            <w:r>
              <w:rPr>
                <w:rFonts w:hint="eastAsia" w:eastAsia="仿宋" w:cs="仿宋"/>
                <w:color w:val="auto"/>
                <w:sz w:val="24"/>
                <w:szCs w:val="24"/>
                <w:vertAlign w:val="baseline"/>
                <w:lang w:val="en-US" w:eastAsia="zh-CN"/>
              </w:rPr>
              <w:t>。</w:t>
            </w:r>
          </w:p>
        </w:tc>
        <w:tc>
          <w:tcPr>
            <w:tcW w:w="831" w:type="dxa"/>
            <w:noWrap w:val="0"/>
            <w:vAlign w:val="center"/>
          </w:tcPr>
          <w:p w14:paraId="2D1E1FA8">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r>
      <w:tr w14:paraId="1EA3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noWrap w:val="0"/>
            <w:vAlign w:val="center"/>
          </w:tcPr>
          <w:p w14:paraId="0EAB2CB1">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6</w:t>
            </w:r>
          </w:p>
        </w:tc>
        <w:tc>
          <w:tcPr>
            <w:tcW w:w="2383" w:type="dxa"/>
            <w:noWrap w:val="0"/>
            <w:vAlign w:val="center"/>
          </w:tcPr>
          <w:p w14:paraId="43E4103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园区内存在工业炉窑、锅炉或涉 VOCs 重点行业企事业单位未按规定建设、运行有效收集处理设施并达标排放。</w:t>
            </w:r>
          </w:p>
        </w:tc>
        <w:tc>
          <w:tcPr>
            <w:tcW w:w="1007" w:type="dxa"/>
            <w:noWrap w:val="0"/>
            <w:vAlign w:val="center"/>
          </w:tcPr>
          <w:p w14:paraId="2815E255">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18CBB985">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（1）园区内工业炉窑、锅炉或涉 VOCs 重点行业企事业单位按规定建设、运行有效收集处理设施并达标排放。不扣分。</w:t>
            </w:r>
          </w:p>
          <w:p w14:paraId="7EA8B7B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（2）园区涉 VOCs 重点行业企事业单位未按国家、省相关要求开展挥发性有机物治理突出问题排查、整治并建立相关台账的，每发现 1 家企业扣 0.5分。</w:t>
            </w:r>
          </w:p>
          <w:p w14:paraId="260F60E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（3）园区内存在工业炉窑或涉VOCs 重点行业企事业单位未按规定建设、运行有效收集处理设施并达标排放。扣 1 分。</w:t>
            </w:r>
          </w:p>
          <w:p w14:paraId="108577B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第（2）、（3）项累计最高扣 1分。</w:t>
            </w:r>
          </w:p>
        </w:tc>
        <w:tc>
          <w:tcPr>
            <w:tcW w:w="3255" w:type="dxa"/>
            <w:noWrap w:val="0"/>
            <w:vAlign w:val="center"/>
          </w:tcPr>
          <w:p w14:paraId="63D35E61">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园区内工业炉窑、锅炉企事业单位按规定建设、运行有效收集处理设施并达标排放</w:t>
            </w:r>
            <w:r>
              <w:rPr>
                <w:rFonts w:hint="eastAsia" w:eastAsia="仿宋" w:cs="仿宋"/>
                <w:color w:val="auto"/>
                <w:sz w:val="24"/>
                <w:szCs w:val="24"/>
                <w:vertAlign w:val="baseline"/>
                <w:lang w:val="en-US" w:eastAsia="zh-CN"/>
              </w:rPr>
              <w:t>，园区无</w:t>
            </w:r>
            <w:r>
              <w:rPr>
                <w:rFonts w:hint="eastAsia" w:ascii="仿宋" w:hAnsi="仿宋" w:eastAsia="仿宋" w:cs="仿宋"/>
                <w:color w:val="auto"/>
                <w:sz w:val="24"/>
                <w:szCs w:val="24"/>
                <w:vertAlign w:val="baseline"/>
                <w:lang w:val="en-US" w:eastAsia="zh-CN"/>
              </w:rPr>
              <w:t>涉 VOCs 重点行业</w:t>
            </w:r>
            <w:r>
              <w:rPr>
                <w:rFonts w:hint="eastAsia" w:eastAsia="仿宋" w:cs="仿宋"/>
                <w:color w:val="auto"/>
                <w:sz w:val="24"/>
                <w:szCs w:val="24"/>
                <w:vertAlign w:val="baseline"/>
                <w:lang w:val="en-US" w:eastAsia="zh-CN"/>
              </w:rPr>
              <w:t>。</w:t>
            </w:r>
          </w:p>
        </w:tc>
        <w:tc>
          <w:tcPr>
            <w:tcW w:w="831" w:type="dxa"/>
            <w:noWrap w:val="0"/>
            <w:vAlign w:val="center"/>
          </w:tcPr>
          <w:p w14:paraId="6BF652E5">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0FFA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5C084E8E">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7</w:t>
            </w:r>
          </w:p>
        </w:tc>
        <w:tc>
          <w:tcPr>
            <w:tcW w:w="2383" w:type="dxa"/>
            <w:noWrap w:val="0"/>
            <w:vAlign w:val="center"/>
          </w:tcPr>
          <w:p w14:paraId="66BA12B7">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产业园区内存在涉危险废物环境违法行为或连续 2 年规范化管理评估不达标企事业单位。</w:t>
            </w:r>
          </w:p>
        </w:tc>
        <w:tc>
          <w:tcPr>
            <w:tcW w:w="1007" w:type="dxa"/>
            <w:noWrap w:val="0"/>
            <w:vAlign w:val="center"/>
          </w:tcPr>
          <w:p w14:paraId="58B063F1">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0EB233FF">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（1）产业园区内不存在企事业单位发生危险废物违法行为或连续 2 年危险废物规范化管理评估不达标。不扣分。</w:t>
            </w:r>
          </w:p>
          <w:p w14:paraId="5290A77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（2）园区存在连续 2 年危险废物规范化管理评估不达标企业。扣 1 分。</w:t>
            </w:r>
          </w:p>
        </w:tc>
        <w:tc>
          <w:tcPr>
            <w:tcW w:w="3255" w:type="dxa"/>
            <w:noWrap w:val="0"/>
            <w:vAlign w:val="center"/>
          </w:tcPr>
          <w:p w14:paraId="5C8635B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产业园区内不存在企事业单位发生危险废物违法行为或连续2年危险废物规范化管理评估不达标</w:t>
            </w:r>
            <w:r>
              <w:rPr>
                <w:rFonts w:hint="eastAsia" w:eastAsia="仿宋" w:cs="仿宋"/>
                <w:color w:val="auto"/>
                <w:sz w:val="24"/>
                <w:szCs w:val="24"/>
                <w:vertAlign w:val="baseline"/>
                <w:lang w:val="en-US" w:eastAsia="zh-CN"/>
              </w:rPr>
              <w:t>。</w:t>
            </w:r>
          </w:p>
        </w:tc>
        <w:tc>
          <w:tcPr>
            <w:tcW w:w="831" w:type="dxa"/>
            <w:noWrap w:val="0"/>
            <w:vAlign w:val="center"/>
          </w:tcPr>
          <w:p w14:paraId="106741DE">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7EB8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20E0D687">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2383" w:type="dxa"/>
            <w:noWrap w:val="0"/>
            <w:vAlign w:val="center"/>
          </w:tcPr>
          <w:p w14:paraId="55DEF0DF">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产业园区内存在土壤污染重点监管单位未按要求开展自行监测和隐患排查。</w:t>
            </w:r>
          </w:p>
        </w:tc>
        <w:tc>
          <w:tcPr>
            <w:tcW w:w="1007" w:type="dxa"/>
            <w:noWrap w:val="0"/>
            <w:vAlign w:val="center"/>
          </w:tcPr>
          <w:p w14:paraId="10E24BFE">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7FAE783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（1）园区内土壤污染重点监管单位按要求开展自行监测和隐患排查。不扣分。</w:t>
            </w:r>
          </w:p>
          <w:p w14:paraId="29F05479">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（2）园区内存在土壤污染重点监管单位未按要求开展自行监测或隐患排查。扣 0.5 分。</w:t>
            </w:r>
          </w:p>
          <w:p w14:paraId="390E57F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（3）园区内土壤污染重点监管单位未按要求开展自行监测和隐患排查。扣 1 分。</w:t>
            </w:r>
          </w:p>
        </w:tc>
        <w:tc>
          <w:tcPr>
            <w:tcW w:w="3255" w:type="dxa"/>
            <w:noWrap w:val="0"/>
            <w:vAlign w:val="center"/>
          </w:tcPr>
          <w:p w14:paraId="6BCB5BA1">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园区内土壤污染重点监管单位按要求开展自行监测和隐患排查</w:t>
            </w:r>
            <w:r>
              <w:rPr>
                <w:rFonts w:hint="eastAsia" w:eastAsia="仿宋" w:cs="仿宋"/>
                <w:color w:val="auto"/>
                <w:sz w:val="24"/>
                <w:szCs w:val="24"/>
                <w:vertAlign w:val="baseline"/>
                <w:lang w:val="en-US" w:eastAsia="zh-CN"/>
              </w:rPr>
              <w:t>。</w:t>
            </w:r>
          </w:p>
        </w:tc>
        <w:tc>
          <w:tcPr>
            <w:tcW w:w="831" w:type="dxa"/>
            <w:noWrap w:val="0"/>
            <w:vAlign w:val="center"/>
          </w:tcPr>
          <w:p w14:paraId="659901E3">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301C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4C082C58">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9</w:t>
            </w:r>
          </w:p>
        </w:tc>
        <w:tc>
          <w:tcPr>
            <w:tcW w:w="2383" w:type="dxa"/>
            <w:noWrap w:val="0"/>
            <w:vAlign w:val="center"/>
          </w:tcPr>
          <w:p w14:paraId="5EF92AD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产业园区未按规定开展自行监测或自行监测数据弄虚作假。</w:t>
            </w:r>
          </w:p>
        </w:tc>
        <w:tc>
          <w:tcPr>
            <w:tcW w:w="1007" w:type="dxa"/>
            <w:noWrap w:val="0"/>
            <w:vAlign w:val="center"/>
          </w:tcPr>
          <w:p w14:paraId="5ED00BEF">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-2</w:t>
            </w:r>
          </w:p>
        </w:tc>
        <w:tc>
          <w:tcPr>
            <w:tcW w:w="5985" w:type="dxa"/>
            <w:noWrap w:val="0"/>
            <w:vAlign w:val="center"/>
          </w:tcPr>
          <w:p w14:paraId="575D7FF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（1）园区按规定开展了环境质量自行监测。不扣分。</w:t>
            </w:r>
          </w:p>
          <w:p w14:paraId="393EAD1F">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（2）园区开展了环境质量自行监测，但监测频次、监测因子或监测点位不符合要求。扣 1分。</w:t>
            </w:r>
          </w:p>
          <w:p w14:paraId="37C8C4A1">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（3）园区未开展环境质量自行监测或自行监测数据弄虚作假。扣 2 分。</w:t>
            </w:r>
          </w:p>
        </w:tc>
        <w:tc>
          <w:tcPr>
            <w:tcW w:w="3255" w:type="dxa"/>
            <w:noWrap w:val="0"/>
            <w:vAlign w:val="center"/>
          </w:tcPr>
          <w:p w14:paraId="5E894662">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园区按规定开展了环境质量自行监测</w:t>
            </w:r>
            <w:r>
              <w:rPr>
                <w:rFonts w:hint="eastAsia" w:eastAsia="仿宋" w:cs="仿宋"/>
                <w:color w:val="auto"/>
                <w:sz w:val="24"/>
                <w:szCs w:val="24"/>
                <w:vertAlign w:val="baseline"/>
                <w:lang w:val="en-US" w:eastAsia="zh-CN"/>
              </w:rPr>
              <w:t>。</w:t>
            </w:r>
          </w:p>
        </w:tc>
        <w:tc>
          <w:tcPr>
            <w:tcW w:w="831" w:type="dxa"/>
            <w:noWrap w:val="0"/>
            <w:vAlign w:val="center"/>
          </w:tcPr>
          <w:p w14:paraId="2C1D0715">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782F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1114DD30">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10</w:t>
            </w:r>
          </w:p>
        </w:tc>
        <w:tc>
          <w:tcPr>
            <w:tcW w:w="2383" w:type="dxa"/>
            <w:noWrap w:val="0"/>
            <w:vAlign w:val="center"/>
          </w:tcPr>
          <w:p w14:paraId="47FB9EA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产业园区未按要求开展环境污染第三方治理。</w:t>
            </w:r>
          </w:p>
        </w:tc>
        <w:tc>
          <w:tcPr>
            <w:tcW w:w="1007" w:type="dxa"/>
            <w:noWrap w:val="0"/>
            <w:vAlign w:val="center"/>
          </w:tcPr>
          <w:p w14:paraId="24905765">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647DE14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（1）园区按要求开展了环境污染第三方治理。不扣分。</w:t>
            </w:r>
          </w:p>
          <w:p w14:paraId="481B4C1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（2）园区未按合同约定事项及实施方案开展环境污染第三方治理工作。扣 1 分。</w:t>
            </w:r>
          </w:p>
        </w:tc>
        <w:tc>
          <w:tcPr>
            <w:tcW w:w="3255" w:type="dxa"/>
            <w:noWrap w:val="0"/>
            <w:vAlign w:val="center"/>
          </w:tcPr>
          <w:p w14:paraId="52E4633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园区按要求开展了环境污染第三方治理</w:t>
            </w:r>
            <w:r>
              <w:rPr>
                <w:rFonts w:hint="eastAsia" w:eastAsia="仿宋" w:cs="仿宋"/>
                <w:color w:val="auto"/>
                <w:sz w:val="24"/>
                <w:szCs w:val="24"/>
                <w:vertAlign w:val="baseline"/>
                <w:lang w:val="en-US" w:eastAsia="zh-CN"/>
              </w:rPr>
              <w:t>。</w:t>
            </w:r>
          </w:p>
        </w:tc>
        <w:tc>
          <w:tcPr>
            <w:tcW w:w="831" w:type="dxa"/>
            <w:noWrap w:val="0"/>
            <w:vAlign w:val="center"/>
          </w:tcPr>
          <w:p w14:paraId="3418F42F">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3327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noWrap w:val="0"/>
            <w:vAlign w:val="center"/>
          </w:tcPr>
          <w:p w14:paraId="570711C2">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11</w:t>
            </w:r>
          </w:p>
        </w:tc>
        <w:tc>
          <w:tcPr>
            <w:tcW w:w="2383" w:type="dxa"/>
            <w:noWrap w:val="0"/>
            <w:vAlign w:val="center"/>
          </w:tcPr>
          <w:p w14:paraId="033F2A6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产业园区污染物排放超过总量控制要求或由于产业园区原因造成环境质量超标、环境质量恶化的情况。</w:t>
            </w:r>
          </w:p>
        </w:tc>
        <w:tc>
          <w:tcPr>
            <w:tcW w:w="1007" w:type="dxa"/>
            <w:noWrap w:val="0"/>
            <w:vAlign w:val="center"/>
          </w:tcPr>
          <w:p w14:paraId="02625748">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4CF477A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（1）园区污染物排放符合总量控制要求。园区环境质量未超标、未出现环境质量恶化情况，不扣分。</w:t>
            </w:r>
          </w:p>
          <w:p w14:paraId="33B22ED1">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（2）园区污染物排放超过总量控制要求，或者由于园区原因造成环境质量超标、环境质量恶化的情况，扣 1 分。</w:t>
            </w:r>
          </w:p>
        </w:tc>
        <w:tc>
          <w:tcPr>
            <w:tcW w:w="3255" w:type="dxa"/>
            <w:noWrap w:val="0"/>
            <w:vAlign w:val="center"/>
          </w:tcPr>
          <w:p w14:paraId="4623389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园区污染物排放符合总量控制要求。园区环境质量未超标、未出现环境质量恶化情况</w:t>
            </w:r>
            <w:r>
              <w:rPr>
                <w:rFonts w:hint="eastAsia" w:eastAsia="仿宋" w:cs="仿宋"/>
                <w:color w:val="auto"/>
                <w:sz w:val="24"/>
                <w:szCs w:val="24"/>
                <w:vertAlign w:val="baseline"/>
                <w:lang w:val="en-US" w:eastAsia="zh-CN"/>
              </w:rPr>
              <w:t>。</w:t>
            </w:r>
          </w:p>
        </w:tc>
        <w:tc>
          <w:tcPr>
            <w:tcW w:w="831" w:type="dxa"/>
            <w:noWrap w:val="0"/>
            <w:vAlign w:val="center"/>
          </w:tcPr>
          <w:p w14:paraId="686689B4">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68C7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0A8FD12F">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2383" w:type="dxa"/>
            <w:noWrap w:val="0"/>
            <w:vAlign w:val="center"/>
          </w:tcPr>
          <w:p w14:paraId="34202A39">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产业园区建成较完善环境监测体系，并按要求将数据与省监管平台联网。</w:t>
            </w:r>
          </w:p>
        </w:tc>
        <w:tc>
          <w:tcPr>
            <w:tcW w:w="1007" w:type="dxa"/>
            <w:noWrap w:val="0"/>
            <w:vAlign w:val="center"/>
          </w:tcPr>
          <w:p w14:paraId="4A3A4466">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02A2186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（1）园区主要片区上、下风向至少各布设 1 个空气质量自动监测站点，同时根据园区实际情况布设一定数量的空气小微站。园区废水主排口所在水体上、下游至少各布设 1 个水质自动监测站点。并按要求将数据与省监管平台联网，能传输有效数据。加 1 分。</w:t>
            </w:r>
          </w:p>
          <w:p w14:paraId="1214288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（2）园区主要片区上、下风向至少各布设 1 个空气质量自动监测站点，同时根据园区实际情况布设一定数量的空气小微站。园区废水主排口所在水体上、下游至少各布设 1 个水质自动监测站点。加 0.5 分</w:t>
            </w:r>
          </w:p>
        </w:tc>
        <w:tc>
          <w:tcPr>
            <w:tcW w:w="3255" w:type="dxa"/>
            <w:noWrap w:val="0"/>
            <w:vAlign w:val="center"/>
          </w:tcPr>
          <w:p w14:paraId="7B49B2AA">
            <w:pPr>
              <w:pStyle w:val="32"/>
              <w:bidi w:val="0"/>
              <w:jc w:val="left"/>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园区主要片区上、下风向各布</w:t>
            </w:r>
            <w:r>
              <w:rPr>
                <w:rFonts w:hint="eastAsia" w:eastAsia="仿宋" w:cs="仿宋"/>
                <w:color w:val="auto"/>
                <w:sz w:val="24"/>
                <w:szCs w:val="24"/>
                <w:vertAlign w:val="baseline"/>
                <w:lang w:val="en-US" w:eastAsia="zh-CN"/>
              </w:rPr>
              <w:t>了</w:t>
            </w:r>
            <w:r>
              <w:rPr>
                <w:rFonts w:hint="eastAsia" w:ascii="仿宋" w:hAnsi="仿宋" w:eastAsia="仿宋" w:cs="仿宋"/>
                <w:color w:val="auto"/>
                <w:sz w:val="24"/>
                <w:szCs w:val="24"/>
                <w:vertAlign w:val="baseline"/>
                <w:lang w:val="en-US" w:eastAsia="zh-CN"/>
              </w:rPr>
              <w:t>设 1 个</w:t>
            </w:r>
            <w:r>
              <w:rPr>
                <w:rFonts w:hint="eastAsia" w:eastAsia="仿宋" w:cs="仿宋"/>
                <w:color w:val="auto"/>
                <w:sz w:val="24"/>
                <w:szCs w:val="24"/>
                <w:vertAlign w:val="baseline"/>
                <w:lang w:val="en-US" w:eastAsia="zh-CN"/>
              </w:rPr>
              <w:t>环境</w:t>
            </w:r>
            <w:r>
              <w:rPr>
                <w:rFonts w:hint="eastAsia" w:ascii="仿宋" w:hAnsi="仿宋" w:eastAsia="仿宋" w:cs="仿宋"/>
                <w:color w:val="auto"/>
                <w:sz w:val="24"/>
                <w:szCs w:val="24"/>
                <w:vertAlign w:val="baseline"/>
                <w:lang w:val="en-US" w:eastAsia="zh-CN"/>
              </w:rPr>
              <w:t>空气质量自动监测站点，园区废水主排口所在水体</w:t>
            </w:r>
            <w:r>
              <w:rPr>
                <w:rFonts w:hint="eastAsia" w:eastAsia="仿宋" w:cs="仿宋"/>
                <w:color w:val="auto"/>
                <w:sz w:val="24"/>
                <w:szCs w:val="24"/>
                <w:vertAlign w:val="baseline"/>
                <w:lang w:val="en-US" w:eastAsia="zh-CN"/>
              </w:rPr>
              <w:t>上</w:t>
            </w:r>
            <w:r>
              <w:rPr>
                <w:rFonts w:hint="eastAsia" w:ascii="仿宋" w:hAnsi="仿宋" w:eastAsia="仿宋" w:cs="仿宋"/>
                <w:color w:val="auto"/>
                <w:sz w:val="24"/>
                <w:szCs w:val="24"/>
                <w:vertAlign w:val="baseline"/>
                <w:lang w:val="en-US" w:eastAsia="zh-CN"/>
              </w:rPr>
              <w:t>下游布设</w:t>
            </w:r>
            <w:r>
              <w:rPr>
                <w:rFonts w:hint="eastAsia" w:eastAsia="仿宋" w:cs="仿宋"/>
                <w:color w:val="auto"/>
                <w:sz w:val="24"/>
                <w:szCs w:val="24"/>
                <w:vertAlign w:val="baseline"/>
                <w:lang w:val="en-US" w:eastAsia="zh-CN"/>
              </w:rPr>
              <w:t>了</w:t>
            </w:r>
            <w:r>
              <w:rPr>
                <w:rFonts w:hint="eastAsia" w:ascii="仿宋" w:hAnsi="仿宋" w:eastAsia="仿宋" w:cs="仿宋"/>
                <w:color w:val="auto"/>
                <w:sz w:val="24"/>
                <w:szCs w:val="24"/>
                <w:vertAlign w:val="baseline"/>
                <w:lang w:val="en-US" w:eastAsia="zh-CN"/>
              </w:rPr>
              <w:t>水质自动监测站点</w:t>
            </w:r>
            <w:r>
              <w:rPr>
                <w:rFonts w:hint="eastAsia" w:eastAsia="仿宋" w:cs="仿宋"/>
                <w:color w:val="auto"/>
                <w:sz w:val="24"/>
                <w:szCs w:val="24"/>
                <w:vertAlign w:val="baseline"/>
                <w:lang w:val="en-US" w:eastAsia="zh-CN"/>
              </w:rPr>
              <w:t>，监测数据暂未与省监管平台联网。</w:t>
            </w:r>
          </w:p>
        </w:tc>
        <w:tc>
          <w:tcPr>
            <w:tcW w:w="831" w:type="dxa"/>
            <w:noWrap w:val="0"/>
            <w:vAlign w:val="center"/>
          </w:tcPr>
          <w:p w14:paraId="332AA514">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0.5</w:t>
            </w:r>
          </w:p>
        </w:tc>
      </w:tr>
      <w:tr w14:paraId="06CC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noWrap w:val="0"/>
            <w:vAlign w:val="center"/>
          </w:tcPr>
          <w:p w14:paraId="1DEE23B4">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13</w:t>
            </w:r>
          </w:p>
        </w:tc>
        <w:tc>
          <w:tcPr>
            <w:tcW w:w="2383" w:type="dxa"/>
            <w:noWrap w:val="0"/>
            <w:vAlign w:val="center"/>
          </w:tcPr>
          <w:p w14:paraId="4F0A789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产业园区内存在被评为环保黑名单的企事业单位。</w:t>
            </w:r>
          </w:p>
        </w:tc>
        <w:tc>
          <w:tcPr>
            <w:tcW w:w="1007" w:type="dxa"/>
            <w:noWrap w:val="0"/>
            <w:vAlign w:val="center"/>
          </w:tcPr>
          <w:p w14:paraId="389D7E5E">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028CF3A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（1）园区不存在环保黑名单企事业单位。不扣分。</w:t>
            </w:r>
          </w:p>
          <w:p w14:paraId="47EE74A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（2）园区存在环保黑名单企事业单位。扣 1 分。</w:t>
            </w:r>
          </w:p>
        </w:tc>
        <w:tc>
          <w:tcPr>
            <w:tcW w:w="3255" w:type="dxa"/>
            <w:noWrap w:val="0"/>
            <w:vAlign w:val="center"/>
          </w:tcPr>
          <w:p w14:paraId="62AB219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园区不存在环保黑名单企事业单位</w:t>
            </w:r>
            <w:r>
              <w:rPr>
                <w:rFonts w:hint="eastAsia" w:eastAsia="仿宋" w:cs="仿宋"/>
                <w:color w:val="auto"/>
                <w:sz w:val="24"/>
                <w:szCs w:val="24"/>
                <w:vertAlign w:val="baseline"/>
                <w:lang w:val="en-US" w:eastAsia="zh-CN"/>
              </w:rPr>
              <w:t>。</w:t>
            </w:r>
          </w:p>
        </w:tc>
        <w:tc>
          <w:tcPr>
            <w:tcW w:w="831" w:type="dxa"/>
            <w:noWrap w:val="0"/>
            <w:vAlign w:val="center"/>
          </w:tcPr>
          <w:p w14:paraId="36AEBF3D">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631B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680961C9">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14</w:t>
            </w:r>
          </w:p>
        </w:tc>
        <w:tc>
          <w:tcPr>
            <w:tcW w:w="2383" w:type="dxa"/>
            <w:noWrap w:val="0"/>
            <w:vAlign w:val="center"/>
          </w:tcPr>
          <w:p w14:paraId="04EDA2A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产业园区未按要求制定或修编园区突发环境事件应急预案、未定期组织开展应急演练、环境应急设施和救援物资配</w:t>
            </w:r>
          </w:p>
          <w:p w14:paraId="642B20F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备不符合规定、环境风险防范措施不到位、未建设突发环境事件应急指挥平台。</w:t>
            </w:r>
          </w:p>
        </w:tc>
        <w:tc>
          <w:tcPr>
            <w:tcW w:w="1007" w:type="dxa"/>
            <w:noWrap w:val="0"/>
            <w:vAlign w:val="center"/>
          </w:tcPr>
          <w:p w14:paraId="6842C45D">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-2</w:t>
            </w:r>
          </w:p>
        </w:tc>
        <w:tc>
          <w:tcPr>
            <w:tcW w:w="5985" w:type="dxa"/>
            <w:noWrap w:val="0"/>
            <w:vAlign w:val="center"/>
          </w:tcPr>
          <w:p w14:paraId="2C9EB57C">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按要求制定并及时修编突发环境事件应急预案，并完成备案。园区定期组织开展应急演练，环境应急设施、救援物资配备和环境风险防范措施符合应急预案要求，并建设了突发环境事件应急指挥平台，不扣分。</w:t>
            </w:r>
          </w:p>
          <w:p w14:paraId="19A3DDC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（2）园区未按要求制定或未及时修编突发环境事件应急预案。扣 1 分。已召开专家评审会，但未备案。扣 0.5 分。</w:t>
            </w:r>
          </w:p>
          <w:p w14:paraId="2D09718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（3）园区未定期组织开展应急演练。扣 1 分。</w:t>
            </w:r>
          </w:p>
          <w:p w14:paraId="1A05979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（4）园区环境应急设施、救援物资配备不符合规定。扣 0.5</w:t>
            </w:r>
          </w:p>
          <w:p w14:paraId="3B9F2A55">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分。园区环境风险防范措施不到位。扣 0.5 分。</w:t>
            </w:r>
          </w:p>
          <w:p w14:paraId="360322EC">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（5）未建设突发环境事件应急指挥平台，扣 0.5 分。</w:t>
            </w:r>
          </w:p>
          <w:p w14:paraId="012CCEE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第（2）、（3）、（4）、（5）项累</w:t>
            </w:r>
          </w:p>
          <w:p w14:paraId="7B1531AF">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计最高扣 2 分。</w:t>
            </w:r>
          </w:p>
        </w:tc>
        <w:tc>
          <w:tcPr>
            <w:tcW w:w="3255" w:type="dxa"/>
            <w:noWrap w:val="0"/>
            <w:vAlign w:val="center"/>
          </w:tcPr>
          <w:p w14:paraId="4F30FA5A">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园区按要求制定并及时修编突发环境事件应急预案，并完成备案。园区定期组织开展应急演练，环境应急设施、救援物资配备和环境风险防范措施符合应急预案要求，并建设了突发环境事件应急指挥平台</w:t>
            </w:r>
            <w:r>
              <w:rPr>
                <w:rFonts w:hint="eastAsia" w:eastAsia="仿宋" w:cs="仿宋"/>
                <w:color w:val="auto"/>
                <w:sz w:val="24"/>
                <w:szCs w:val="24"/>
                <w:vertAlign w:val="baseline"/>
                <w:lang w:val="en-US" w:eastAsia="zh-CN"/>
              </w:rPr>
              <w:t>。</w:t>
            </w:r>
          </w:p>
        </w:tc>
        <w:tc>
          <w:tcPr>
            <w:tcW w:w="831" w:type="dxa"/>
            <w:noWrap w:val="0"/>
            <w:vAlign w:val="center"/>
          </w:tcPr>
          <w:p w14:paraId="48613EFD">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7C31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77CA36EB">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15</w:t>
            </w:r>
          </w:p>
        </w:tc>
        <w:tc>
          <w:tcPr>
            <w:tcW w:w="2383" w:type="dxa"/>
            <w:noWrap w:val="0"/>
            <w:vAlign w:val="center"/>
          </w:tcPr>
          <w:p w14:paraId="69C8E848">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产业园区发生一般、较大突发环境事件或生态破坏事件。</w:t>
            </w:r>
          </w:p>
        </w:tc>
        <w:tc>
          <w:tcPr>
            <w:tcW w:w="1007" w:type="dxa"/>
            <w:noWrap w:val="0"/>
            <w:vAlign w:val="center"/>
          </w:tcPr>
          <w:p w14:paraId="40028DB2">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-2</w:t>
            </w:r>
          </w:p>
        </w:tc>
        <w:tc>
          <w:tcPr>
            <w:tcW w:w="5985" w:type="dxa"/>
            <w:noWrap w:val="0"/>
            <w:vAlign w:val="center"/>
          </w:tcPr>
          <w:p w14:paraId="6F8DD6BC">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（1）园区未发生一般、较大突发环境事件或生态破坏事件。不扣分。</w:t>
            </w:r>
          </w:p>
          <w:p w14:paraId="363AC50C">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（2）园区因企业非法排污或者管理不到位引发的一般突发环境事件或生态破坏事件，扣1分；较大突发环境事件或生态破坏事件，扣 2 分。</w:t>
            </w:r>
          </w:p>
        </w:tc>
        <w:tc>
          <w:tcPr>
            <w:tcW w:w="3255" w:type="dxa"/>
            <w:noWrap w:val="0"/>
            <w:vAlign w:val="center"/>
          </w:tcPr>
          <w:p w14:paraId="20A85B3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园区未发生一般、较大突发环境事件或生态破坏事件</w:t>
            </w:r>
            <w:r>
              <w:rPr>
                <w:rFonts w:hint="eastAsia" w:eastAsia="仿宋" w:cs="仿宋"/>
                <w:color w:val="auto"/>
                <w:sz w:val="24"/>
                <w:szCs w:val="24"/>
                <w:vertAlign w:val="baseline"/>
                <w:lang w:val="en-US" w:eastAsia="zh-CN"/>
              </w:rPr>
              <w:t>。</w:t>
            </w:r>
          </w:p>
        </w:tc>
        <w:tc>
          <w:tcPr>
            <w:tcW w:w="831" w:type="dxa"/>
            <w:noWrap w:val="0"/>
            <w:vAlign w:val="center"/>
          </w:tcPr>
          <w:p w14:paraId="6A7E96E7">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4387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7F23A21C">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16</w:t>
            </w:r>
          </w:p>
        </w:tc>
        <w:tc>
          <w:tcPr>
            <w:tcW w:w="2383" w:type="dxa"/>
            <w:noWrap w:val="0"/>
            <w:vAlign w:val="center"/>
          </w:tcPr>
          <w:p w14:paraId="69C06AB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产业园区存在被中央或省级环保督察、生态环境警示片等反馈问题，或出现被省级及以上主管部门挂牌督办或被省级主管部门约谈、典型案例曝光、区域限批、移交问责等情况。</w:t>
            </w:r>
          </w:p>
        </w:tc>
        <w:tc>
          <w:tcPr>
            <w:tcW w:w="1007" w:type="dxa"/>
            <w:noWrap w:val="0"/>
            <w:vAlign w:val="center"/>
          </w:tcPr>
          <w:p w14:paraId="4BDB2E15">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-4</w:t>
            </w:r>
          </w:p>
        </w:tc>
        <w:tc>
          <w:tcPr>
            <w:tcW w:w="5985" w:type="dxa"/>
            <w:noWrap w:val="0"/>
            <w:vAlign w:val="center"/>
          </w:tcPr>
          <w:p w14:paraId="3428401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（1）产业园区不存在被中央或省级环保督察、生态环境警示片等反馈问题，未出现被省级以上主管部门挂牌督办或被省级主管部门约谈、典型案例曝光、区域限批、移交问责等情况。不扣分。</w:t>
            </w:r>
          </w:p>
          <w:p w14:paraId="43C66A0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（2）园区存在被中央或省级环保督察、生态环境警示片等反馈问题。每存在 1 项扣 1 分，整改不力扣 2 分。</w:t>
            </w:r>
          </w:p>
          <w:p w14:paraId="067D6702">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（3）园区出现被省级及以上主管部门挂牌督办或被省级主管部门约谈、典型案例曝光、区域限批、移交问责等情况。每存在 1 项扣 2 分。</w:t>
            </w:r>
          </w:p>
          <w:p w14:paraId="184EFCCD">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第（2）、（3）项累计最高扣 4分。</w:t>
            </w:r>
          </w:p>
        </w:tc>
        <w:tc>
          <w:tcPr>
            <w:tcW w:w="3255" w:type="dxa"/>
            <w:noWrap w:val="0"/>
            <w:vAlign w:val="center"/>
          </w:tcPr>
          <w:p w14:paraId="38DA8CE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产业园区不存在被中央或省级环保督察、生态环境警示片等反馈问题，未出现被省级以上主管部门挂牌督办或被省级主管部门约谈、典型案例曝光、区域限批、移交问责等情况</w:t>
            </w:r>
            <w:r>
              <w:rPr>
                <w:rFonts w:hint="eastAsia" w:eastAsia="仿宋" w:cs="仿宋"/>
                <w:color w:val="auto"/>
                <w:sz w:val="24"/>
                <w:szCs w:val="24"/>
                <w:vertAlign w:val="baseline"/>
                <w:lang w:val="en-US" w:eastAsia="zh-CN"/>
              </w:rPr>
              <w:t>。</w:t>
            </w:r>
          </w:p>
        </w:tc>
        <w:tc>
          <w:tcPr>
            <w:tcW w:w="831" w:type="dxa"/>
            <w:noWrap w:val="0"/>
            <w:vAlign w:val="center"/>
          </w:tcPr>
          <w:p w14:paraId="3D83B3E5">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2318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7F8355F2">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17</w:t>
            </w:r>
          </w:p>
        </w:tc>
        <w:tc>
          <w:tcPr>
            <w:tcW w:w="2383" w:type="dxa"/>
            <w:noWrap w:val="0"/>
            <w:vAlign w:val="center"/>
          </w:tcPr>
          <w:p w14:paraId="57E3DB55">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因发生突出生态环境问题被中央层面约谈、典型案例曝光、区域限批、移交问责等情况或发生重、特大突发环境事件或生态破坏事件。产业园区存在出台“土政策”或以其他方式干扰执法，妨碍生态环境部门依法查处环境违法问题的行为，且情节严重或者造成严重后果的。</w:t>
            </w:r>
          </w:p>
        </w:tc>
        <w:tc>
          <w:tcPr>
            <w:tcW w:w="1007" w:type="dxa"/>
            <w:noWrap w:val="0"/>
            <w:vAlign w:val="center"/>
          </w:tcPr>
          <w:p w14:paraId="3973AC99">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直接评</w:t>
            </w:r>
          </w:p>
          <w:p w14:paraId="60297EAA">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为环保</w:t>
            </w:r>
          </w:p>
          <w:p w14:paraId="5331EA77">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风险园</w:t>
            </w:r>
          </w:p>
          <w:p w14:paraId="75894142">
            <w:pPr>
              <w:pStyle w:val="32"/>
              <w:bidi w:val="0"/>
              <w:jc w:val="center"/>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区</w:t>
            </w:r>
          </w:p>
        </w:tc>
        <w:tc>
          <w:tcPr>
            <w:tcW w:w="5985" w:type="dxa"/>
            <w:noWrap w:val="0"/>
            <w:vAlign w:val="center"/>
          </w:tcPr>
          <w:p w14:paraId="6B647A9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（1）园区存在因发生突出生态环境问题被中央层面约谈、典型案例曝光、移交问责的情况或发生重、特大突发环境事件或生态破坏事件。直接评为环保风险园区。</w:t>
            </w:r>
          </w:p>
          <w:p w14:paraId="165912C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对于产业园区出台“土政策”，或者以其他方式干扰执法，妨碍生态环境部门依法查处环境违法行为，情节严重或者造成严重后果的（污染严重、百勿反映强烈、违法排污造成污染事故、引发严重舆情事件、企业暴力抗法等严重后果），直接评为风险园区。</w:t>
            </w:r>
          </w:p>
        </w:tc>
        <w:tc>
          <w:tcPr>
            <w:tcW w:w="3255" w:type="dxa"/>
            <w:noWrap w:val="0"/>
            <w:vAlign w:val="center"/>
          </w:tcPr>
          <w:p w14:paraId="5CFBFBC2">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w:t>
            </w:r>
            <w:r>
              <w:rPr>
                <w:rFonts w:hint="eastAsia" w:eastAsia="仿宋" w:cs="仿宋"/>
                <w:color w:val="auto"/>
                <w:sz w:val="24"/>
                <w:szCs w:val="24"/>
                <w:vertAlign w:val="baseline"/>
                <w:lang w:val="en-US" w:eastAsia="zh-CN"/>
              </w:rPr>
              <w:t>不</w:t>
            </w:r>
            <w:r>
              <w:rPr>
                <w:rFonts w:hint="eastAsia" w:ascii="仿宋" w:hAnsi="仿宋" w:eastAsia="仿宋" w:cs="仿宋"/>
                <w:color w:val="auto"/>
                <w:sz w:val="24"/>
                <w:szCs w:val="24"/>
                <w:vertAlign w:val="baseline"/>
                <w:lang w:val="en-US" w:eastAsia="zh-CN"/>
              </w:rPr>
              <w:t>存在因发生突出生态环境问题被中央层面约谈、典型案例曝光、移交问责的情况或发生重、特大突发环境事件或生态破坏事件。不存在出台“土政策”，或者其他方式干扰执法，妨碍生态环境部门依法查处环境违法行为</w:t>
            </w:r>
          </w:p>
        </w:tc>
        <w:tc>
          <w:tcPr>
            <w:tcW w:w="831" w:type="dxa"/>
            <w:noWrap w:val="0"/>
            <w:vAlign w:val="center"/>
          </w:tcPr>
          <w:p w14:paraId="0DD9AD4D">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073C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39FA1C78">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18</w:t>
            </w:r>
          </w:p>
        </w:tc>
        <w:tc>
          <w:tcPr>
            <w:tcW w:w="2383" w:type="dxa"/>
            <w:noWrap w:val="0"/>
            <w:vAlign w:val="center"/>
          </w:tcPr>
          <w:p w14:paraId="24D3436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产业园区单位 GDP 主要污染物排放量排名前10%。</w:t>
            </w:r>
          </w:p>
        </w:tc>
        <w:tc>
          <w:tcPr>
            <w:tcW w:w="1007" w:type="dxa"/>
            <w:noWrap w:val="0"/>
            <w:vAlign w:val="center"/>
          </w:tcPr>
          <w:p w14:paraId="317A5EA8">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0F12474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产业园区单位 GDP 主要污染物排放量排名前10%的。加 1 分。</w:t>
            </w:r>
          </w:p>
        </w:tc>
        <w:tc>
          <w:tcPr>
            <w:tcW w:w="3255" w:type="dxa"/>
            <w:noWrap w:val="0"/>
            <w:vAlign w:val="center"/>
          </w:tcPr>
          <w:p w14:paraId="02F4A33B">
            <w:pPr>
              <w:pStyle w:val="32"/>
              <w:bidi w:val="0"/>
              <w:jc w:val="left"/>
              <w:rPr>
                <w:rFonts w:hint="eastAsia"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新晃产业开发区</w:t>
            </w:r>
            <w:r>
              <w:rPr>
                <w:rFonts w:hint="eastAsia" w:ascii="仿宋" w:hAnsi="仿宋" w:eastAsia="仿宋" w:cs="仿宋"/>
                <w:color w:val="auto"/>
                <w:sz w:val="24"/>
                <w:szCs w:val="24"/>
                <w:vertAlign w:val="baseline"/>
                <w:lang w:val="en-US" w:eastAsia="zh-CN"/>
              </w:rPr>
              <w:t>GDP主要污染物排放量排名</w:t>
            </w:r>
            <w:r>
              <w:rPr>
                <w:rFonts w:hint="eastAsia" w:eastAsia="仿宋" w:cs="仿宋"/>
                <w:color w:val="auto"/>
                <w:sz w:val="24"/>
                <w:szCs w:val="24"/>
                <w:vertAlign w:val="baseline"/>
                <w:lang w:val="en-US" w:eastAsia="zh-CN"/>
              </w:rPr>
              <w:t>不属于</w:t>
            </w:r>
            <w:r>
              <w:rPr>
                <w:rFonts w:hint="eastAsia" w:ascii="仿宋" w:hAnsi="仿宋" w:eastAsia="仿宋" w:cs="仿宋"/>
                <w:color w:val="auto"/>
                <w:sz w:val="24"/>
                <w:szCs w:val="24"/>
                <w:vertAlign w:val="baseline"/>
                <w:lang w:val="en-US" w:eastAsia="zh-CN"/>
              </w:rPr>
              <w:t>前10%。</w:t>
            </w:r>
          </w:p>
        </w:tc>
        <w:tc>
          <w:tcPr>
            <w:tcW w:w="831" w:type="dxa"/>
            <w:noWrap w:val="0"/>
            <w:vAlign w:val="center"/>
          </w:tcPr>
          <w:p w14:paraId="661236D1">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21B8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6DE1FB23">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auto"/>
                <w:kern w:val="0"/>
                <w:sz w:val="24"/>
                <w:szCs w:val="24"/>
                <w:u w:val="none"/>
                <w:lang w:val="en-US" w:eastAsia="zh-CN" w:bidi="ar"/>
              </w:rPr>
              <w:t>19</w:t>
            </w:r>
          </w:p>
        </w:tc>
        <w:tc>
          <w:tcPr>
            <w:tcW w:w="2383" w:type="dxa"/>
            <w:noWrap w:val="0"/>
            <w:vAlign w:val="center"/>
          </w:tcPr>
          <w:p w14:paraId="04D53226">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产业园区在生态环境保护和绿色发展领域获得省部级及以上表彰、推荐推广。</w:t>
            </w:r>
          </w:p>
        </w:tc>
        <w:tc>
          <w:tcPr>
            <w:tcW w:w="1007" w:type="dxa"/>
            <w:noWrap w:val="0"/>
            <w:vAlign w:val="center"/>
          </w:tcPr>
          <w:p w14:paraId="70D47949">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+2</w:t>
            </w:r>
          </w:p>
        </w:tc>
        <w:tc>
          <w:tcPr>
            <w:tcW w:w="5985" w:type="dxa"/>
            <w:noWrap w:val="0"/>
            <w:vAlign w:val="center"/>
          </w:tcPr>
          <w:p w14:paraId="504E20E1">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（1）园区获得“国家生态工业示范园区”“国家绿色园区”“节能环保示范园区”等称号，加1分。获得“省级绿色园区”“省级工业固废资源综合利用示范</w:t>
            </w:r>
          </w:p>
          <w:p w14:paraId="6358C470">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基地”称号，加 0.5 分。</w:t>
            </w:r>
          </w:p>
          <w:p w14:paraId="6A94D6D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（2）产业园区在生态环境保护和绿色发展领域获得其他国家级表彰、推荐推广，加 1 分。获得省部级表彰、推荐推广，加 0.5 分。</w:t>
            </w:r>
          </w:p>
          <w:p w14:paraId="7108FB2E">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第（1）、（2）项每项最多加 1分，累计最高加 2 分。</w:t>
            </w:r>
          </w:p>
        </w:tc>
        <w:tc>
          <w:tcPr>
            <w:tcW w:w="3255" w:type="dxa"/>
            <w:noWrap w:val="0"/>
            <w:vAlign w:val="center"/>
          </w:tcPr>
          <w:p w14:paraId="7335CDC8">
            <w:pPr>
              <w:pStyle w:val="32"/>
              <w:bidi w:val="0"/>
              <w:jc w:val="left"/>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园区2025年获得湖南省级绿色园区称号。</w:t>
            </w:r>
          </w:p>
        </w:tc>
        <w:tc>
          <w:tcPr>
            <w:tcW w:w="831" w:type="dxa"/>
            <w:noWrap w:val="0"/>
            <w:vAlign w:val="center"/>
          </w:tcPr>
          <w:p w14:paraId="1C49DA60">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0.5</w:t>
            </w:r>
          </w:p>
        </w:tc>
      </w:tr>
      <w:tr w14:paraId="3994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1AD8284C">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2383" w:type="dxa"/>
            <w:noWrap w:val="0"/>
            <w:vAlign w:val="center"/>
          </w:tcPr>
          <w:p w14:paraId="091BC14E">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产业园区因环境问题引发集中或长时间信访、投诉、上访，引发负面舆情。</w:t>
            </w:r>
          </w:p>
        </w:tc>
        <w:tc>
          <w:tcPr>
            <w:tcW w:w="1007" w:type="dxa"/>
            <w:noWrap w:val="0"/>
            <w:vAlign w:val="center"/>
          </w:tcPr>
          <w:p w14:paraId="419BC9E9">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0372608F">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园区因环境问题引发集中或长时间信访、投诉、上访，引发负面舆情等情况。扣 1 分。</w:t>
            </w:r>
          </w:p>
        </w:tc>
        <w:tc>
          <w:tcPr>
            <w:tcW w:w="3255" w:type="dxa"/>
            <w:noWrap w:val="0"/>
            <w:vAlign w:val="center"/>
          </w:tcPr>
          <w:p w14:paraId="02EA2014">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w:t>
            </w:r>
            <w:r>
              <w:rPr>
                <w:rFonts w:hint="eastAsia" w:eastAsia="仿宋" w:cs="仿宋"/>
                <w:color w:val="auto"/>
                <w:sz w:val="24"/>
                <w:szCs w:val="24"/>
                <w:vertAlign w:val="baseline"/>
                <w:lang w:val="en-US" w:eastAsia="zh-CN"/>
              </w:rPr>
              <w:t>不存在</w:t>
            </w:r>
            <w:r>
              <w:rPr>
                <w:rFonts w:hint="eastAsia" w:ascii="仿宋" w:hAnsi="仿宋" w:eastAsia="仿宋" w:cs="仿宋"/>
                <w:color w:val="auto"/>
                <w:sz w:val="24"/>
                <w:szCs w:val="24"/>
                <w:vertAlign w:val="baseline"/>
                <w:lang w:val="en-US" w:eastAsia="zh-CN"/>
              </w:rPr>
              <w:t>因环境问题引发集中或长时间信访、投诉、上访，引发负面舆情等情况</w:t>
            </w:r>
          </w:p>
        </w:tc>
        <w:tc>
          <w:tcPr>
            <w:tcW w:w="831" w:type="dxa"/>
            <w:noWrap w:val="0"/>
            <w:vAlign w:val="center"/>
          </w:tcPr>
          <w:p w14:paraId="6D40308E">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7371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4E2FB3DE">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21</w:t>
            </w:r>
          </w:p>
        </w:tc>
        <w:tc>
          <w:tcPr>
            <w:tcW w:w="2383" w:type="dxa"/>
            <w:noWrap w:val="0"/>
            <w:vAlign w:val="center"/>
          </w:tcPr>
          <w:p w14:paraId="441B19CE">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产业园区未按要求完成省生态环境厅其他年度任务。</w:t>
            </w:r>
          </w:p>
        </w:tc>
        <w:tc>
          <w:tcPr>
            <w:tcW w:w="1007" w:type="dxa"/>
            <w:noWrap w:val="0"/>
            <w:vAlign w:val="center"/>
          </w:tcPr>
          <w:p w14:paraId="0DCEF3F6">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3F7F9C39">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（1）园区内纳入</w:t>
            </w:r>
            <w:bookmarkStart w:id="18" w:name="OLE_LINK2"/>
            <w:r>
              <w:rPr>
                <w:rFonts w:hint="eastAsia" w:ascii="仿宋" w:hAnsi="仿宋" w:eastAsia="仿宋" w:cs="仿宋"/>
                <w:color w:val="auto"/>
                <w:sz w:val="24"/>
                <w:szCs w:val="24"/>
                <w:vertAlign w:val="baseline"/>
                <w:lang w:val="en-US" w:eastAsia="zh-CN"/>
              </w:rPr>
              <w:t>环境污染强制责任保险</w:t>
            </w:r>
            <w:bookmarkEnd w:id="18"/>
            <w:r>
              <w:rPr>
                <w:rFonts w:hint="eastAsia" w:ascii="仿宋" w:hAnsi="仿宋" w:eastAsia="仿宋" w:cs="仿宋"/>
                <w:color w:val="auto"/>
                <w:sz w:val="24"/>
                <w:szCs w:val="24"/>
                <w:vertAlign w:val="baseline"/>
                <w:lang w:val="en-US" w:eastAsia="zh-CN"/>
              </w:rPr>
              <w:t>投保范围的企事业单位均按规定完成投保。不扣分。</w:t>
            </w:r>
          </w:p>
          <w:p w14:paraId="5B13DAAF">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（2）园区内存在已纳入环境污染强制责任保险投保范围的企事业单位未按规定完成投保。每存在一家，扣 0.5 分，累计最高扣 1 分。</w:t>
            </w:r>
          </w:p>
        </w:tc>
        <w:tc>
          <w:tcPr>
            <w:tcW w:w="3255" w:type="dxa"/>
            <w:noWrap w:val="0"/>
            <w:vAlign w:val="center"/>
          </w:tcPr>
          <w:p w14:paraId="4B652821">
            <w:pPr>
              <w:pStyle w:val="32"/>
              <w:bidi w:val="0"/>
              <w:jc w:val="left"/>
              <w:rPr>
                <w:rFonts w:hint="eastAsia"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园区已纳入环境污染强制责任保险投保范围的企事业单位均按规定完成投保情况</w:t>
            </w:r>
          </w:p>
        </w:tc>
        <w:tc>
          <w:tcPr>
            <w:tcW w:w="831" w:type="dxa"/>
            <w:noWrap w:val="0"/>
            <w:vAlign w:val="center"/>
          </w:tcPr>
          <w:p w14:paraId="422980A1">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6FBE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noWrap w:val="0"/>
            <w:vAlign w:val="center"/>
          </w:tcPr>
          <w:p w14:paraId="1DF59593">
            <w:pPr>
              <w:keepNext w:val="0"/>
              <w:keepLines w:val="0"/>
              <w:widowControl/>
              <w:suppressLineNumbers w:val="0"/>
              <w:jc w:val="center"/>
              <w:textAlignment w:val="center"/>
              <w:rPr>
                <w:rFonts w:hint="eastAsia" w:ascii="仿宋" w:hAnsi="仿宋" w:eastAsia="仿宋" w:cs="仿宋"/>
                <w:color w:val="auto"/>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22</w:t>
            </w:r>
          </w:p>
        </w:tc>
        <w:tc>
          <w:tcPr>
            <w:tcW w:w="2383" w:type="dxa"/>
            <w:noWrap w:val="0"/>
            <w:vAlign w:val="center"/>
          </w:tcPr>
          <w:p w14:paraId="6BB10FCF">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产业园区存在出台“土政策”或以其他方式干扰执法，妨碍生态环境部门依法查处环境违法问题的行为。</w:t>
            </w:r>
          </w:p>
        </w:tc>
        <w:tc>
          <w:tcPr>
            <w:tcW w:w="1007" w:type="dxa"/>
            <w:noWrap w:val="0"/>
            <w:vAlign w:val="center"/>
          </w:tcPr>
          <w:p w14:paraId="57425912">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1976DC87">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对于园区出台“土政策”，或者其他方式干扰执法，妨碍生态环境部门依法查处环境违法行为的，每发现一起，扣 1 分。</w:t>
            </w:r>
          </w:p>
        </w:tc>
        <w:tc>
          <w:tcPr>
            <w:tcW w:w="3255" w:type="dxa"/>
            <w:noWrap w:val="0"/>
            <w:vAlign w:val="center"/>
          </w:tcPr>
          <w:p w14:paraId="31168155">
            <w:pPr>
              <w:pStyle w:val="32"/>
              <w:bidi w:val="0"/>
              <w:jc w:val="left"/>
              <w:rPr>
                <w:rFonts w:hint="eastAsia" w:ascii="仿宋" w:hAnsi="仿宋" w:eastAsia="仿宋" w:cs="仿宋"/>
                <w:color w:val="auto"/>
                <w:kern w:val="2"/>
                <w:sz w:val="24"/>
                <w:szCs w:val="24"/>
                <w:vertAlign w:val="baseline"/>
                <w:lang w:val="en-US" w:eastAsia="zh-CN" w:bidi="ar-SA"/>
              </w:rPr>
            </w:pPr>
            <w:r>
              <w:rPr>
                <w:rFonts w:hint="eastAsia" w:eastAsia="仿宋" w:cs="仿宋"/>
                <w:color w:val="auto"/>
                <w:sz w:val="24"/>
                <w:szCs w:val="24"/>
                <w:vertAlign w:val="baseline"/>
                <w:lang w:val="en-US" w:eastAsia="zh-CN"/>
              </w:rPr>
              <w:t>不</w:t>
            </w:r>
            <w:r>
              <w:rPr>
                <w:rFonts w:hint="eastAsia" w:ascii="仿宋" w:hAnsi="仿宋" w:eastAsia="仿宋" w:cs="仿宋"/>
                <w:color w:val="auto"/>
                <w:sz w:val="24"/>
                <w:szCs w:val="24"/>
                <w:vertAlign w:val="baseline"/>
                <w:lang w:val="en-US" w:eastAsia="zh-CN"/>
              </w:rPr>
              <w:t>存在出台“土政策”或以其他方式干扰执法，妨碍生态环境部门依法查处环境违法问题的行为。</w:t>
            </w:r>
          </w:p>
        </w:tc>
        <w:tc>
          <w:tcPr>
            <w:tcW w:w="831" w:type="dxa"/>
            <w:noWrap w:val="0"/>
            <w:vAlign w:val="center"/>
          </w:tcPr>
          <w:p w14:paraId="35524B10">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r w14:paraId="46AD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noWrap w:val="0"/>
            <w:vAlign w:val="center"/>
          </w:tcPr>
          <w:p w14:paraId="6F7D6A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2383" w:type="dxa"/>
            <w:noWrap w:val="0"/>
            <w:vAlign w:val="center"/>
          </w:tcPr>
          <w:p w14:paraId="781D12A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产业园区连续两年被评为环保诚信园区</w:t>
            </w:r>
          </w:p>
        </w:tc>
        <w:tc>
          <w:tcPr>
            <w:tcW w:w="1007" w:type="dxa"/>
            <w:noWrap w:val="0"/>
            <w:vAlign w:val="center"/>
          </w:tcPr>
          <w:p w14:paraId="74A63B90">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+1</w:t>
            </w:r>
          </w:p>
        </w:tc>
        <w:tc>
          <w:tcPr>
            <w:tcW w:w="5985" w:type="dxa"/>
            <w:noWrap w:val="0"/>
            <w:vAlign w:val="center"/>
          </w:tcPr>
          <w:p w14:paraId="7A3437D3">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园区连续两年被评为环保诚信园区，加 1 分。</w:t>
            </w:r>
          </w:p>
        </w:tc>
        <w:tc>
          <w:tcPr>
            <w:tcW w:w="3255" w:type="dxa"/>
            <w:noWrap w:val="0"/>
            <w:vAlign w:val="center"/>
          </w:tcPr>
          <w:p w14:paraId="52EC384B">
            <w:pPr>
              <w:pStyle w:val="32"/>
              <w:bidi w:val="0"/>
              <w:jc w:val="left"/>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园区</w:t>
            </w:r>
            <w:r>
              <w:rPr>
                <w:rFonts w:hint="eastAsia" w:eastAsia="仿宋" w:cs="仿宋"/>
                <w:color w:val="auto"/>
                <w:sz w:val="24"/>
                <w:szCs w:val="24"/>
                <w:vertAlign w:val="baseline"/>
                <w:lang w:val="en-US" w:eastAsia="zh-CN"/>
              </w:rPr>
              <w:t>未</w:t>
            </w:r>
            <w:r>
              <w:rPr>
                <w:rFonts w:hint="eastAsia" w:ascii="仿宋" w:hAnsi="仿宋" w:eastAsia="仿宋" w:cs="仿宋"/>
                <w:color w:val="auto"/>
                <w:sz w:val="24"/>
                <w:szCs w:val="24"/>
                <w:vertAlign w:val="baseline"/>
                <w:lang w:val="en-US" w:eastAsia="zh-CN"/>
              </w:rPr>
              <w:t>连续两年被评为环保诚信园区</w:t>
            </w:r>
          </w:p>
        </w:tc>
        <w:tc>
          <w:tcPr>
            <w:tcW w:w="831" w:type="dxa"/>
            <w:noWrap w:val="0"/>
            <w:vAlign w:val="center"/>
          </w:tcPr>
          <w:p w14:paraId="26F0F5B3">
            <w:pPr>
              <w:pStyle w:val="32"/>
              <w:bidi w:val="0"/>
              <w:jc w:val="center"/>
              <w:rPr>
                <w:rFonts w:hint="default" w:ascii="仿宋" w:hAnsi="仿宋" w:eastAsia="仿宋" w:cs="仿宋"/>
                <w:color w:val="auto"/>
                <w:sz w:val="24"/>
                <w:szCs w:val="24"/>
                <w:vertAlign w:val="baseline"/>
                <w:lang w:val="en-US" w:eastAsia="zh-CN"/>
              </w:rPr>
            </w:pPr>
            <w:r>
              <w:rPr>
                <w:rFonts w:hint="eastAsia" w:eastAsia="仿宋" w:cs="仿宋"/>
                <w:color w:val="auto"/>
                <w:sz w:val="24"/>
                <w:szCs w:val="24"/>
                <w:vertAlign w:val="baseline"/>
                <w:lang w:val="en-US" w:eastAsia="zh-CN"/>
              </w:rPr>
              <w:t>0</w:t>
            </w:r>
          </w:p>
        </w:tc>
      </w:tr>
    </w:tbl>
    <w:p w14:paraId="6770E5B4">
      <w:pPr>
        <w:bidi w:val="0"/>
        <w:ind w:left="0" w:leftChars="0" w:firstLine="0" w:firstLineChars="0"/>
        <w:rPr>
          <w:rFonts w:hint="default"/>
          <w:color w:val="auto"/>
          <w:sz w:val="21"/>
          <w:szCs w:val="21"/>
          <w:lang w:val="en-US"/>
        </w:rPr>
        <w:sectPr>
          <w:pgSz w:w="16838" w:h="11906" w:orient="landscape"/>
          <w:pgMar w:top="1440" w:right="1083" w:bottom="1440" w:left="1083" w:header="851" w:footer="992" w:gutter="0"/>
          <w:pgBorders>
            <w:top w:val="none" w:sz="0" w:space="0"/>
            <w:left w:val="none" w:sz="0" w:space="0"/>
            <w:bottom w:val="none" w:sz="0" w:space="0"/>
            <w:right w:val="none" w:sz="0" w:space="0"/>
          </w:pgBorders>
          <w:pgNumType w:fmt="numberInDash"/>
          <w:cols w:space="720" w:num="1"/>
          <w:rtlGutter w:val="0"/>
          <w:docGrid w:type="lines" w:linePitch="451" w:charSpace="0"/>
        </w:sectPr>
      </w:pPr>
    </w:p>
    <w:p w14:paraId="43BF41EF">
      <w:pPr>
        <w:pStyle w:val="16"/>
        <w:pageBreakBefore w:val="0"/>
        <w:widowControl w:val="0"/>
        <w:kinsoku/>
        <w:wordWrap/>
        <w:overflowPunct/>
        <w:topLinePunct w:val="0"/>
        <w:autoSpaceDE/>
        <w:autoSpaceDN/>
        <w:bidi w:val="0"/>
        <w:adjustRightInd/>
        <w:snapToGrid/>
        <w:spacing w:after="0" w:line="600" w:lineRule="exact"/>
        <w:ind w:left="0" w:leftChars="0" w:firstLine="640" w:firstLineChars="200"/>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通过对我园区202</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年的环保工作进行自我评估，园区评估结果为</w:t>
      </w:r>
      <w:r>
        <w:rPr>
          <w:rFonts w:hint="eastAsia" w:ascii="Times New Roman" w:hAnsi="Times New Roman" w:eastAsia="仿宋" w:cs="Times New Roman"/>
          <w:kern w:val="2"/>
          <w:sz w:val="32"/>
          <w:szCs w:val="32"/>
          <w:lang w:val="en-US" w:eastAsia="zh-CN" w:bidi="ar-SA"/>
        </w:rPr>
        <w:t>9</w:t>
      </w:r>
      <w:r>
        <w:rPr>
          <w:rFonts w:hint="default" w:ascii="Times New Roman" w:hAnsi="Times New Roman" w:eastAsia="仿宋" w:cs="Times New Roman"/>
          <w:kern w:val="2"/>
          <w:sz w:val="32"/>
          <w:szCs w:val="32"/>
          <w:lang w:val="en-US" w:eastAsia="zh-CN" w:bidi="ar-SA"/>
        </w:rPr>
        <w:t>分，属于环保</w:t>
      </w:r>
      <w:r>
        <w:rPr>
          <w:rFonts w:hint="eastAsia" w:ascii="Times New Roman" w:hAnsi="Times New Roman" w:eastAsia="仿宋" w:cs="Times New Roman"/>
          <w:kern w:val="2"/>
          <w:sz w:val="32"/>
          <w:szCs w:val="32"/>
          <w:lang w:val="en-US" w:eastAsia="zh-CN" w:bidi="ar-SA"/>
        </w:rPr>
        <w:t>合格</w:t>
      </w:r>
      <w:r>
        <w:rPr>
          <w:rFonts w:hint="default" w:ascii="Times New Roman" w:hAnsi="Times New Roman" w:eastAsia="仿宋" w:cs="Times New Roman"/>
          <w:kern w:val="2"/>
          <w:sz w:val="32"/>
          <w:szCs w:val="32"/>
          <w:lang w:val="en-US" w:eastAsia="zh-CN" w:bidi="ar-SA"/>
        </w:rPr>
        <w:t>园区。</w:t>
      </w:r>
    </w:p>
    <w:p w14:paraId="69D8D6A2">
      <w:pPr>
        <w:pStyle w:val="2"/>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b/>
          <w:sz w:val="36"/>
          <w:szCs w:val="20"/>
        </w:rPr>
      </w:pPr>
      <w:bookmarkStart w:id="19" w:name="_Toc19158"/>
      <w:r>
        <w:rPr>
          <w:rFonts w:hint="default" w:ascii="Times New Roman" w:hAnsi="Times New Roman" w:cs="Times New Roman"/>
          <w:b/>
          <w:sz w:val="36"/>
          <w:szCs w:val="20"/>
        </w:rPr>
        <w:t>三、园区环保工作成效、主要措施做法</w:t>
      </w:r>
      <w:bookmarkEnd w:id="19"/>
    </w:p>
    <w:p w14:paraId="65667F05">
      <w:pPr>
        <w:ind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近年来，园区始终坚守 “生态优先、</w:t>
      </w:r>
      <w:r>
        <w:rPr>
          <w:rFonts w:hint="eastAsia" w:ascii="Times New Roman" w:hAnsi="Times New Roman" w:eastAsia="仿宋" w:cs="Times New Roman"/>
          <w:kern w:val="2"/>
          <w:sz w:val="32"/>
          <w:szCs w:val="32"/>
          <w:lang w:val="en-US" w:eastAsia="zh-CN" w:bidi="ar-SA"/>
        </w:rPr>
        <w:t>绿色低碳</w:t>
      </w:r>
      <w:r>
        <w:rPr>
          <w:rFonts w:hint="default" w:ascii="Times New Roman" w:hAnsi="Times New Roman" w:eastAsia="仿宋" w:cs="Times New Roman"/>
          <w:kern w:val="2"/>
          <w:sz w:val="32"/>
          <w:szCs w:val="32"/>
          <w:lang w:val="en-US" w:eastAsia="zh-CN" w:bidi="ar-SA"/>
        </w:rPr>
        <w:t>、科创赋能、长效提质” 发展思路，把绿色低碳循环</w:t>
      </w:r>
      <w:r>
        <w:rPr>
          <w:rFonts w:hint="eastAsia" w:ascii="Times New Roman" w:hAnsi="Times New Roman" w:eastAsia="仿宋" w:cs="Times New Roman"/>
          <w:kern w:val="2"/>
          <w:sz w:val="32"/>
          <w:szCs w:val="32"/>
          <w:lang w:val="en-US" w:eastAsia="zh-CN" w:bidi="ar-SA"/>
        </w:rPr>
        <w:t>发展</w:t>
      </w:r>
      <w:r>
        <w:rPr>
          <w:rFonts w:hint="default" w:ascii="Times New Roman" w:hAnsi="Times New Roman" w:eastAsia="仿宋" w:cs="Times New Roman"/>
          <w:kern w:val="2"/>
          <w:sz w:val="32"/>
          <w:szCs w:val="32"/>
          <w:lang w:val="en-US" w:eastAsia="zh-CN" w:bidi="ar-SA"/>
        </w:rPr>
        <w:t>作为核心</w:t>
      </w:r>
      <w:r>
        <w:rPr>
          <w:rFonts w:hint="eastAsia" w:ascii="Times New Roman" w:hAnsi="Times New Roman" w:eastAsia="仿宋" w:cs="Times New Roman"/>
          <w:kern w:val="2"/>
          <w:sz w:val="32"/>
          <w:szCs w:val="32"/>
          <w:lang w:val="en-US" w:eastAsia="zh-CN" w:bidi="ar-SA"/>
        </w:rPr>
        <w:t>思路</w:t>
      </w:r>
      <w:r>
        <w:rPr>
          <w:rFonts w:hint="default" w:ascii="Times New Roman" w:hAnsi="Times New Roman" w:eastAsia="仿宋" w:cs="Times New Roman"/>
          <w:kern w:val="2"/>
          <w:sz w:val="32"/>
          <w:szCs w:val="32"/>
          <w:lang w:val="en-US" w:eastAsia="zh-CN" w:bidi="ar-SA"/>
        </w:rPr>
        <w:t>，严守生态</w:t>
      </w:r>
      <w:r>
        <w:rPr>
          <w:rFonts w:hint="eastAsia" w:ascii="Times New Roman" w:hAnsi="Times New Roman" w:eastAsia="仿宋" w:cs="Times New Roman"/>
          <w:kern w:val="2"/>
          <w:sz w:val="32"/>
          <w:szCs w:val="32"/>
          <w:lang w:val="en-US" w:eastAsia="zh-CN" w:bidi="ar-SA"/>
        </w:rPr>
        <w:t>环境</w:t>
      </w:r>
      <w:r>
        <w:rPr>
          <w:rFonts w:hint="default" w:ascii="Times New Roman" w:hAnsi="Times New Roman" w:eastAsia="仿宋" w:cs="Times New Roman"/>
          <w:kern w:val="2"/>
          <w:sz w:val="32"/>
          <w:szCs w:val="32"/>
          <w:lang w:val="en-US" w:eastAsia="zh-CN" w:bidi="ar-SA"/>
        </w:rPr>
        <w:t>红线，深刻明晰生态</w:t>
      </w:r>
      <w:r>
        <w:rPr>
          <w:rFonts w:hint="eastAsia" w:ascii="Times New Roman" w:hAnsi="Times New Roman" w:eastAsia="仿宋" w:cs="Times New Roman"/>
          <w:kern w:val="2"/>
          <w:sz w:val="32"/>
          <w:szCs w:val="32"/>
          <w:lang w:val="en-US" w:eastAsia="zh-CN" w:bidi="ar-SA"/>
        </w:rPr>
        <w:t>环境</w:t>
      </w:r>
      <w:r>
        <w:rPr>
          <w:rFonts w:hint="default" w:ascii="Times New Roman" w:hAnsi="Times New Roman" w:eastAsia="仿宋" w:cs="Times New Roman"/>
          <w:kern w:val="2"/>
          <w:sz w:val="32"/>
          <w:szCs w:val="32"/>
          <w:lang w:val="en-US" w:eastAsia="zh-CN" w:bidi="ar-SA"/>
        </w:rPr>
        <w:t>安全是企业稳健经营、园区提质扩容的根本根基。园区全面提升全域污染综合治理效能，区域环境承载能力持续扩容，为产业链优化升级、新兴产业落地培育充足发展沃土。</w:t>
      </w:r>
    </w:p>
    <w:p w14:paraId="712E7793">
      <w:pPr>
        <w:ind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1、广泛宣传、</w:t>
      </w:r>
      <w:r>
        <w:rPr>
          <w:rFonts w:hint="eastAsia" w:ascii="Times New Roman" w:hAnsi="Times New Roman" w:eastAsia="仿宋" w:cs="Times New Roman"/>
          <w:kern w:val="2"/>
          <w:sz w:val="32"/>
          <w:szCs w:val="32"/>
          <w:lang w:val="en-US" w:eastAsia="zh-CN" w:bidi="ar-SA"/>
        </w:rPr>
        <w:t>组织专业</w:t>
      </w:r>
      <w:r>
        <w:rPr>
          <w:rFonts w:hint="default" w:ascii="Times New Roman" w:hAnsi="Times New Roman" w:eastAsia="仿宋" w:cs="Times New Roman"/>
          <w:kern w:val="2"/>
          <w:sz w:val="32"/>
          <w:szCs w:val="32"/>
          <w:lang w:val="en-US" w:eastAsia="zh-CN" w:bidi="ar-SA"/>
        </w:rPr>
        <w:t>培训，增强</w:t>
      </w:r>
      <w:r>
        <w:rPr>
          <w:rFonts w:hint="eastAsia" w:ascii="Times New Roman" w:hAnsi="Times New Roman" w:eastAsia="仿宋" w:cs="Times New Roman"/>
          <w:kern w:val="2"/>
          <w:sz w:val="32"/>
          <w:szCs w:val="32"/>
          <w:lang w:val="en-US" w:eastAsia="zh-CN" w:bidi="ar-SA"/>
        </w:rPr>
        <w:t>企业</w:t>
      </w:r>
      <w:r>
        <w:rPr>
          <w:rFonts w:hint="default" w:ascii="Times New Roman" w:hAnsi="Times New Roman" w:eastAsia="仿宋" w:cs="Times New Roman"/>
          <w:kern w:val="2"/>
          <w:sz w:val="32"/>
          <w:szCs w:val="32"/>
          <w:lang w:val="en-US" w:eastAsia="zh-CN" w:bidi="ar-SA"/>
        </w:rPr>
        <w:t>环保</w:t>
      </w:r>
      <w:r>
        <w:rPr>
          <w:rFonts w:hint="eastAsia" w:ascii="Times New Roman" w:hAnsi="Times New Roman" w:eastAsia="仿宋" w:cs="Times New Roman"/>
          <w:kern w:val="2"/>
          <w:sz w:val="32"/>
          <w:szCs w:val="32"/>
          <w:lang w:val="en-US" w:eastAsia="zh-CN" w:bidi="ar-SA"/>
        </w:rPr>
        <w:t>意识</w:t>
      </w:r>
      <w:r>
        <w:rPr>
          <w:rFonts w:hint="default" w:ascii="Times New Roman" w:hAnsi="Times New Roman" w:eastAsia="仿宋" w:cs="Times New Roman"/>
          <w:kern w:val="2"/>
          <w:sz w:val="32"/>
          <w:szCs w:val="32"/>
          <w:lang w:val="en-US" w:eastAsia="zh-CN" w:bidi="ar-SA"/>
        </w:rPr>
        <w:t>。</w:t>
      </w:r>
    </w:p>
    <w:p w14:paraId="0BA6F0B4">
      <w:pPr>
        <w:pStyle w:val="16"/>
        <w:spacing w:after="0" w:line="600" w:lineRule="exact"/>
        <w:ind w:left="0" w:leftChars="0" w:firstLine="640" w:firstLineChars="200"/>
        <w:rPr>
          <w:rFonts w:hint="default"/>
          <w:lang w:val="en-US" w:eastAsia="zh-CN"/>
        </w:rPr>
      </w:pPr>
      <w:r>
        <w:rPr>
          <w:rFonts w:hint="eastAsia" w:ascii="Times New Roman" w:hAnsi="Times New Roman" w:eastAsia="仿宋_GB2312" w:cs="Times New Roman"/>
          <w:color w:val="auto"/>
          <w:sz w:val="32"/>
          <w:szCs w:val="32"/>
          <w:lang w:val="en-US" w:eastAsia="zh-CN"/>
        </w:rPr>
        <w:t>通过园区与企业安环工作例会、宣传广告牌、进企宣传等方式全力宣传关于《中华人民共和国环境保护法》等相关环境保护法律法规知识，2025年环保管家组织开展了2次环保培训，培训课题涵盖环保手续合规性、环境违法典型案例、及固体废物合规贮存、处置管理方式等。通过培训，加强了企业的环保法律法规意识，增强了园区企业对环保工作的重视程度，提升了环保管理能力。</w:t>
      </w:r>
    </w:p>
    <w:p w14:paraId="176C71EC">
      <w:pPr>
        <w:pStyle w:val="16"/>
        <w:numPr>
          <w:ilvl w:val="0"/>
          <w:numId w:val="2"/>
        </w:numPr>
        <w:spacing w:after="0" w:line="600" w:lineRule="exact"/>
        <w:ind w:left="0" w:leftChars="0" w:firstLine="640" w:firstLineChars="20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坚持建设项目环境准入审核及先评价后建设原则。</w:t>
      </w:r>
    </w:p>
    <w:p w14:paraId="313EF9FD">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园区针对新入园企业严格执行生态环境准入审核，</w:t>
      </w:r>
      <w:r>
        <w:rPr>
          <w:rFonts w:hint="default" w:ascii="Times New Roman" w:hAnsi="Times New Roman" w:eastAsia="仿宋" w:cs="Times New Roman"/>
          <w:kern w:val="2"/>
          <w:sz w:val="32"/>
          <w:szCs w:val="32"/>
          <w:lang w:val="en-US" w:eastAsia="zh-CN" w:bidi="ar-SA"/>
        </w:rPr>
        <w:t>对不符合国家产业政策、不符合“三线一单”要求</w:t>
      </w:r>
      <w:r>
        <w:rPr>
          <w:rFonts w:hint="eastAsia" w:ascii="Times New Roman" w:hAnsi="Times New Roman" w:eastAsia="仿宋" w:cs="Times New Roman"/>
          <w:kern w:val="2"/>
          <w:sz w:val="32"/>
          <w:szCs w:val="32"/>
          <w:lang w:val="en-US" w:eastAsia="zh-CN" w:bidi="ar-SA"/>
        </w:rPr>
        <w:t>、不符合《长江保护法》</w:t>
      </w:r>
      <w:r>
        <w:rPr>
          <w:rFonts w:hint="default" w:ascii="Times New Roman" w:hAnsi="Times New Roman" w:eastAsia="仿宋" w:cs="Times New Roman"/>
          <w:kern w:val="2"/>
          <w:sz w:val="32"/>
          <w:szCs w:val="32"/>
          <w:lang w:val="en-US" w:eastAsia="zh-CN" w:bidi="ar-SA"/>
        </w:rPr>
        <w:t>的项目一律不予入园。</w:t>
      </w:r>
      <w:r>
        <w:rPr>
          <w:rFonts w:hint="eastAsia" w:ascii="Times New Roman" w:hAnsi="Times New Roman" w:eastAsia="仿宋" w:cs="Times New Roman"/>
          <w:kern w:val="2"/>
          <w:sz w:val="32"/>
          <w:szCs w:val="32"/>
          <w:lang w:val="en-US" w:eastAsia="zh-CN" w:bidi="ar-SA"/>
        </w:rPr>
        <w:t>对已入园</w:t>
      </w:r>
      <w:r>
        <w:rPr>
          <w:rFonts w:hint="default" w:ascii="Times New Roman" w:hAnsi="Times New Roman" w:eastAsia="仿宋" w:cs="Times New Roman"/>
          <w:kern w:val="2"/>
          <w:sz w:val="32"/>
          <w:szCs w:val="32"/>
          <w:lang w:val="en-US" w:eastAsia="zh-CN" w:bidi="ar-SA"/>
        </w:rPr>
        <w:t>企业项目环评</w:t>
      </w:r>
      <w:r>
        <w:rPr>
          <w:rFonts w:hint="eastAsia" w:ascii="Times New Roman" w:hAnsi="Times New Roman" w:eastAsia="仿宋" w:cs="Times New Roman"/>
          <w:kern w:val="2"/>
          <w:sz w:val="32"/>
          <w:szCs w:val="32"/>
          <w:lang w:val="en-US" w:eastAsia="zh-CN" w:bidi="ar-SA"/>
        </w:rPr>
        <w:t>等手续办理情况严格把控</w:t>
      </w:r>
      <w:r>
        <w:rPr>
          <w:rFonts w:hint="default" w:ascii="Times New Roman" w:hAnsi="Times New Roman" w:eastAsia="仿宋" w:cs="Times New Roman"/>
          <w:kern w:val="2"/>
          <w:sz w:val="32"/>
          <w:szCs w:val="32"/>
          <w:lang w:val="en-US" w:eastAsia="zh-CN" w:bidi="ar-SA"/>
        </w:rPr>
        <w:t>，实现“先环评、后建设”</w:t>
      </w:r>
      <w:r>
        <w:rPr>
          <w:rFonts w:hint="eastAsia" w:ascii="Times New Roman" w:hAnsi="Times New Roman" w:eastAsia="仿宋" w:cs="Times New Roman"/>
          <w:kern w:val="2"/>
          <w:sz w:val="32"/>
          <w:szCs w:val="32"/>
          <w:lang w:val="en-US" w:eastAsia="zh-CN" w:bidi="ar-SA"/>
        </w:rPr>
        <w:t>，防止未批先建、未验先投的情况发生</w:t>
      </w:r>
      <w:r>
        <w:rPr>
          <w:rFonts w:hint="default" w:ascii="Times New Roman" w:hAnsi="Times New Roman" w:eastAsia="仿宋" w:cs="Times New Roman"/>
          <w:kern w:val="2"/>
          <w:sz w:val="32"/>
          <w:szCs w:val="32"/>
          <w:lang w:val="en-US" w:eastAsia="zh-CN" w:bidi="ar-SA"/>
        </w:rPr>
        <w:t>。</w:t>
      </w:r>
    </w:p>
    <w:p w14:paraId="6D1DDA8D">
      <w:pPr>
        <w:pStyle w:val="16"/>
        <w:numPr>
          <w:ilvl w:val="0"/>
          <w:numId w:val="2"/>
        </w:numPr>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加强巡查力度，提升园区环境管理水平</w:t>
      </w:r>
      <w:r>
        <w:rPr>
          <w:rFonts w:hint="default" w:ascii="Times New Roman" w:hAnsi="Times New Roman" w:eastAsia="仿宋" w:cs="Times New Roman"/>
          <w:kern w:val="2"/>
          <w:sz w:val="32"/>
          <w:szCs w:val="32"/>
          <w:lang w:val="en-US" w:eastAsia="zh-CN" w:bidi="ar-SA"/>
        </w:rPr>
        <w:t>。</w:t>
      </w:r>
    </w:p>
    <w:p w14:paraId="5C4151CA">
      <w:pPr>
        <w:pStyle w:val="16"/>
        <w:spacing w:after="0" w:line="600" w:lineRule="exact"/>
        <w:ind w:left="0" w:leftChars="0" w:firstLine="640" w:firstLineChars="200"/>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园区管委会2025年联合第三方环保管家落实了企业环保隐患排查制度，通过隐患排查频次的增加，排查深度的增加，对已入园企业进行严格的环境日常管理</w:t>
      </w:r>
      <w:r>
        <w:rPr>
          <w:rFonts w:hint="default" w:ascii="Times New Roman" w:hAnsi="Times New Roman" w:eastAsia="仿宋" w:cs="Times New Roman"/>
          <w:kern w:val="2"/>
          <w:sz w:val="32"/>
          <w:szCs w:val="32"/>
          <w:lang w:val="en-US" w:eastAsia="zh-CN" w:bidi="ar-SA"/>
        </w:rPr>
        <w:t>。</w:t>
      </w:r>
      <w:r>
        <w:rPr>
          <w:rFonts w:hint="eastAsia" w:ascii="Times New Roman" w:hAnsi="Times New Roman" w:eastAsia="仿宋" w:cs="Times New Roman"/>
          <w:kern w:val="2"/>
          <w:sz w:val="32"/>
          <w:szCs w:val="32"/>
          <w:lang w:val="en-US" w:eastAsia="zh-CN" w:bidi="ar-SA"/>
        </w:rPr>
        <w:t>通过环保手续资料排查、污染物治理设施运行状态核查、污染物排放达标率核查、每日巡园等方式，实现了环保隐患问题早发现、早解决。</w:t>
      </w:r>
    </w:p>
    <w:p w14:paraId="495CD939">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4、环境监测能力及污染物治理能力大幅提高。</w:t>
      </w:r>
    </w:p>
    <w:p w14:paraId="77DF3EA1">
      <w:pPr>
        <w:ind w:firstLine="640" w:firstLineChars="200"/>
        <w:rPr>
          <w:rFonts w:hint="default"/>
          <w:lang w:val="en-US" w:eastAsia="zh-CN"/>
        </w:rPr>
      </w:pPr>
      <w:r>
        <w:rPr>
          <w:rFonts w:hint="eastAsia" w:ascii="Times New Roman" w:hAnsi="Times New Roman" w:eastAsia="仿宋" w:cs="Times New Roman"/>
          <w:kern w:val="2"/>
          <w:sz w:val="32"/>
          <w:szCs w:val="32"/>
          <w:lang w:val="en-US" w:eastAsia="zh-CN" w:bidi="ar-SA"/>
        </w:rPr>
        <w:t>园区2025年完成了环境空气上、下风向自动监测站以及污水排放口下游地表水环境自动监测站的建设。环境空气监测内容涵盖PM</w:t>
      </w:r>
      <w:r>
        <w:rPr>
          <w:rFonts w:hint="eastAsia" w:ascii="Times New Roman" w:hAnsi="Times New Roman" w:eastAsia="仿宋" w:cs="Times New Roman"/>
          <w:kern w:val="2"/>
          <w:sz w:val="32"/>
          <w:szCs w:val="32"/>
          <w:vertAlign w:val="subscript"/>
          <w:lang w:val="en-US" w:eastAsia="zh-CN" w:bidi="ar-SA"/>
        </w:rPr>
        <w:t>10</w:t>
      </w:r>
      <w:r>
        <w:rPr>
          <w:rFonts w:hint="eastAsia" w:ascii="Times New Roman" w:hAnsi="Times New Roman" w:eastAsia="仿宋" w:cs="Times New Roman"/>
          <w:kern w:val="2"/>
          <w:sz w:val="32"/>
          <w:szCs w:val="32"/>
          <w:lang w:val="en-US" w:eastAsia="zh-CN" w:bidi="ar-SA"/>
        </w:rPr>
        <w:t>、PM</w:t>
      </w:r>
      <w:r>
        <w:rPr>
          <w:rFonts w:hint="eastAsia" w:ascii="Times New Roman" w:hAnsi="Times New Roman" w:eastAsia="仿宋" w:cs="Times New Roman"/>
          <w:kern w:val="2"/>
          <w:sz w:val="32"/>
          <w:szCs w:val="32"/>
          <w:vertAlign w:val="subscript"/>
          <w:lang w:val="en-US" w:eastAsia="zh-CN" w:bidi="ar-SA"/>
        </w:rPr>
        <w:t>2.5</w:t>
      </w:r>
      <w:r>
        <w:rPr>
          <w:rFonts w:hint="eastAsia" w:ascii="Times New Roman" w:hAnsi="Times New Roman" w:eastAsia="仿宋" w:cs="Times New Roman"/>
          <w:kern w:val="2"/>
          <w:sz w:val="32"/>
          <w:szCs w:val="32"/>
          <w:lang w:val="en-US" w:eastAsia="zh-CN" w:bidi="ar-SA"/>
        </w:rPr>
        <w:t>、VOCs、恶臭污染物等，地表水监测内容涵盖COD、氨氮、总磷、总氮及特征重金属污染物等。于2025年完成了前锋污水处理厂提标扩容工程的建设，污水处理量从2500m</w:t>
      </w:r>
      <w:r>
        <w:rPr>
          <w:rFonts w:hint="eastAsia" w:ascii="Times New Roman" w:hAnsi="Times New Roman" w:eastAsia="仿宋" w:cs="Times New Roman"/>
          <w:kern w:val="2"/>
          <w:sz w:val="32"/>
          <w:szCs w:val="32"/>
          <w:vertAlign w:val="superscript"/>
          <w:lang w:val="en-US" w:eastAsia="zh-CN" w:bidi="ar-SA"/>
        </w:rPr>
        <w:t>3</w:t>
      </w:r>
      <w:r>
        <w:rPr>
          <w:rFonts w:hint="eastAsia" w:ascii="Times New Roman" w:hAnsi="Times New Roman" w:eastAsia="仿宋" w:cs="Times New Roman"/>
          <w:kern w:val="2"/>
          <w:sz w:val="32"/>
          <w:szCs w:val="32"/>
          <w:lang w:val="en-US" w:eastAsia="zh-CN" w:bidi="ar-SA"/>
        </w:rPr>
        <w:t>/d提升至4000m</w:t>
      </w:r>
      <w:r>
        <w:rPr>
          <w:rFonts w:hint="eastAsia" w:ascii="Times New Roman" w:hAnsi="Times New Roman" w:eastAsia="仿宋" w:cs="Times New Roman"/>
          <w:kern w:val="2"/>
          <w:sz w:val="32"/>
          <w:szCs w:val="32"/>
          <w:vertAlign w:val="superscript"/>
          <w:lang w:val="en-US" w:eastAsia="zh-CN" w:bidi="ar-SA"/>
        </w:rPr>
        <w:t>3</w:t>
      </w:r>
      <w:r>
        <w:rPr>
          <w:rFonts w:hint="eastAsia" w:ascii="Times New Roman" w:hAnsi="Times New Roman" w:eastAsia="仿宋" w:cs="Times New Roman"/>
          <w:kern w:val="2"/>
          <w:sz w:val="32"/>
          <w:szCs w:val="32"/>
          <w:lang w:val="en-US" w:eastAsia="zh-CN" w:bidi="ar-SA"/>
        </w:rPr>
        <w:t>/d，污水排放标准提升至一级A标准，污水处理能力得到了大幅提升。</w:t>
      </w:r>
    </w:p>
    <w:p w14:paraId="39547C44">
      <w:pPr>
        <w:pStyle w:val="2"/>
        <w:bidi w:val="0"/>
        <w:rPr>
          <w:rFonts w:hint="default"/>
        </w:rPr>
      </w:pPr>
      <w:bookmarkStart w:id="20" w:name="_Toc5469"/>
      <w:r>
        <w:rPr>
          <w:rFonts w:hint="default"/>
        </w:rPr>
        <w:t>四、园区生态环境管理存在主要问题和难题</w:t>
      </w:r>
      <w:bookmarkEnd w:id="20"/>
    </w:p>
    <w:bookmarkEnd w:id="0"/>
    <w:p w14:paraId="73215EF4">
      <w:pPr>
        <w:pStyle w:val="16"/>
        <w:spacing w:after="0" w:line="600" w:lineRule="exact"/>
        <w:ind w:left="0" w:leftChars="0" w:firstLine="640" w:firstLineChars="200"/>
        <w:rPr>
          <w:rFonts w:hint="eastAsia" w:ascii="仿宋" w:hAnsi="仿宋" w:eastAsia="仿宋" w:cs="仿宋"/>
          <w:snapToGrid/>
          <w:color w:val="auto"/>
          <w:kern w:val="2"/>
          <w:sz w:val="32"/>
          <w:szCs w:val="32"/>
          <w:lang w:val="en-US" w:eastAsia="zh-CN"/>
        </w:rPr>
      </w:pPr>
      <w:r>
        <w:rPr>
          <w:rFonts w:hint="default" w:ascii="Times New Roman" w:hAnsi="Times New Roman" w:eastAsia="仿宋" w:cs="Times New Roman"/>
          <w:color w:val="auto"/>
          <w:kern w:val="2"/>
          <w:sz w:val="32"/>
          <w:szCs w:val="32"/>
          <w:lang w:val="en-US" w:eastAsia="zh-CN" w:bidi="ar-SA"/>
        </w:rPr>
        <w:t>1、</w:t>
      </w:r>
      <w:r>
        <w:rPr>
          <w:rFonts w:hint="eastAsia" w:ascii="Times New Roman" w:hAnsi="Times New Roman" w:eastAsia="仿宋" w:cs="Times New Roman"/>
          <w:color w:val="auto"/>
          <w:kern w:val="2"/>
          <w:sz w:val="32"/>
          <w:szCs w:val="32"/>
          <w:lang w:val="en-US" w:eastAsia="zh-CN" w:bidi="ar-SA"/>
        </w:rPr>
        <w:t>园区</w:t>
      </w:r>
      <w:r>
        <w:rPr>
          <w:rFonts w:hint="eastAsia" w:ascii="仿宋" w:hAnsi="仿宋" w:eastAsia="仿宋" w:cs="仿宋"/>
          <w:kern w:val="0"/>
          <w:sz w:val="32"/>
          <w:szCs w:val="32"/>
          <w:lang w:val="en-US" w:eastAsia="zh-CN" w:bidi="ar-SA"/>
        </w:rPr>
        <w:t>部分企业环保意识有待提升，</w:t>
      </w:r>
      <w:r>
        <w:rPr>
          <w:rFonts w:hint="default" w:ascii="仿宋" w:hAnsi="仿宋" w:eastAsia="仿宋" w:cs="仿宋"/>
          <w:kern w:val="0"/>
          <w:sz w:val="32"/>
          <w:szCs w:val="32"/>
          <w:lang w:val="en-US" w:eastAsia="zh-CN" w:bidi="ar-SA"/>
        </w:rPr>
        <w:t>环保管理不系统，管理制度未全面落实，部分企业环保管理人员水平不高，对搞好生态环境保护工作认识不深、力度不够</w:t>
      </w:r>
      <w:r>
        <w:rPr>
          <w:rFonts w:hint="eastAsia" w:ascii="仿宋" w:hAnsi="仿宋" w:eastAsia="仿宋" w:cs="仿宋"/>
          <w:kern w:val="0"/>
          <w:sz w:val="32"/>
          <w:szCs w:val="32"/>
          <w:lang w:val="en-US" w:eastAsia="zh-CN" w:bidi="ar-SA"/>
        </w:rPr>
        <w:t>，</w:t>
      </w:r>
      <w:r>
        <w:rPr>
          <w:rFonts w:hint="eastAsia" w:ascii="仿宋" w:hAnsi="仿宋" w:eastAsia="仿宋" w:cs="仿宋"/>
          <w:snapToGrid/>
          <w:color w:val="auto"/>
          <w:kern w:val="2"/>
          <w:sz w:val="32"/>
          <w:szCs w:val="32"/>
          <w:lang w:val="en-US" w:eastAsia="zh-CN"/>
        </w:rPr>
        <w:t>存在污染治理设施运行不规范、环保管理制度执行不到位等问题。</w:t>
      </w:r>
    </w:p>
    <w:p w14:paraId="337D5B59">
      <w:pPr>
        <w:pStyle w:val="16"/>
        <w:spacing w:after="0" w:line="600" w:lineRule="exact"/>
        <w:ind w:left="0" w:leftChars="0" w:firstLine="640" w:firstLineChars="200"/>
        <w:rPr>
          <w:rFonts w:hint="eastAsia" w:ascii="Times New Roman" w:hAnsi="Times New Roman" w:eastAsia="仿宋" w:cs="Times New Roman"/>
          <w:kern w:val="2"/>
          <w:sz w:val="32"/>
          <w:szCs w:val="32"/>
          <w:lang w:val="en-US" w:eastAsia="zh-CN" w:bidi="ar-SA"/>
        </w:rPr>
      </w:pPr>
    </w:p>
    <w:p w14:paraId="3F9CD4B7">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w:t>
      </w:r>
      <w:r>
        <w:rPr>
          <w:rFonts w:hint="eastAsia" w:ascii="仿宋" w:hAnsi="仿宋" w:eastAsia="仿宋" w:cs="仿宋"/>
          <w:kern w:val="0"/>
          <w:sz w:val="32"/>
          <w:szCs w:val="32"/>
          <w:lang w:val="en-US" w:eastAsia="zh-CN" w:bidi="ar-SA"/>
        </w:rPr>
        <w:t>园区基础设施建设能力较薄弱，第三方服务治理有待加强。</w:t>
      </w:r>
    </w:p>
    <w:p w14:paraId="3C8A0371">
      <w:pPr>
        <w:pStyle w:val="2"/>
        <w:bidi w:val="0"/>
        <w:rPr>
          <w:rFonts w:hint="default" w:ascii="Times New Roman" w:hAnsi="Times New Roman" w:cs="Times New Roman"/>
          <w:b/>
          <w:color w:val="auto"/>
          <w:sz w:val="36"/>
          <w:szCs w:val="20"/>
        </w:rPr>
      </w:pPr>
      <w:bookmarkStart w:id="21" w:name="_Toc29285"/>
      <w:r>
        <w:rPr>
          <w:rFonts w:hint="default" w:ascii="Times New Roman" w:hAnsi="Times New Roman" w:cs="Times New Roman"/>
          <w:b/>
          <w:color w:val="auto"/>
          <w:sz w:val="36"/>
          <w:szCs w:val="20"/>
        </w:rPr>
        <w:t>五、下一步工作计划</w:t>
      </w:r>
      <w:bookmarkEnd w:id="21"/>
    </w:p>
    <w:p w14:paraId="4374F485">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针对园区存在的环境问题，提出相关生态环境管理</w:t>
      </w:r>
      <w:r>
        <w:rPr>
          <w:rFonts w:hint="eastAsia" w:ascii="Times New Roman" w:hAnsi="Times New Roman" w:eastAsia="仿宋" w:cs="Times New Roman"/>
          <w:kern w:val="2"/>
          <w:sz w:val="32"/>
          <w:szCs w:val="32"/>
          <w:lang w:val="en-US" w:eastAsia="zh-CN" w:bidi="ar-SA"/>
        </w:rPr>
        <w:t>下一步</w:t>
      </w:r>
      <w:r>
        <w:rPr>
          <w:rFonts w:hint="default" w:ascii="Times New Roman" w:hAnsi="Times New Roman" w:eastAsia="仿宋" w:cs="Times New Roman"/>
          <w:kern w:val="2"/>
          <w:sz w:val="32"/>
          <w:szCs w:val="32"/>
          <w:lang w:val="en-US" w:eastAsia="zh-CN" w:bidi="ar-SA"/>
        </w:rPr>
        <w:t>工作计划安排：</w:t>
      </w:r>
    </w:p>
    <w:p w14:paraId="48FB43D4">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1、持续加大环保隐患巡查频次与力度，对未依规完善环保手续的企业依法下达整改通知书，明确整改标准与完成时限，督促企业按期整改落实到位。</w:t>
      </w:r>
    </w:p>
    <w:p w14:paraId="2E46EEDC">
      <w:pPr>
        <w:pStyle w:val="16"/>
        <w:spacing w:after="0" w:line="600" w:lineRule="exact"/>
        <w:ind w:left="0" w:leftChars="0"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2、根据《化工园区突发水污染事件环境应急三级防控体系建设暨“一园一策一图”实施技术指南（试行）》，加快推进园区一园一策一图三级防控措施落实。</w:t>
      </w:r>
    </w:p>
    <w:p w14:paraId="7B17B1E3">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3、</w:t>
      </w:r>
      <w:r>
        <w:rPr>
          <w:rFonts w:hint="eastAsia" w:ascii="仿宋" w:hAnsi="仿宋" w:eastAsia="仿宋" w:cs="仿宋"/>
          <w:kern w:val="0"/>
          <w:sz w:val="32"/>
          <w:szCs w:val="32"/>
          <w:lang w:val="en-US" w:eastAsia="zh-CN" w:bidi="ar-SA"/>
        </w:rPr>
        <w:t>加强园区基础设施能力建设，督促加快前锋污水处理厂一期提标扩容后的环保竣工验收工作和推进二期工程的建设。</w:t>
      </w:r>
    </w:p>
    <w:p w14:paraId="02BFE22D">
      <w:pPr>
        <w:pStyle w:val="16"/>
        <w:spacing w:after="0" w:line="600" w:lineRule="exact"/>
        <w:ind w:left="0" w:leftChars="0" w:firstLine="640" w:firstLineChars="200"/>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4、</w:t>
      </w:r>
      <w:r>
        <w:rPr>
          <w:rFonts w:hint="eastAsia" w:ascii="仿宋" w:hAnsi="仿宋" w:eastAsia="仿宋" w:cs="仿宋"/>
          <w:kern w:val="0"/>
          <w:sz w:val="32"/>
          <w:szCs w:val="32"/>
          <w:lang w:val="en-US" w:eastAsia="zh-CN" w:bidi="ar-SA"/>
        </w:rPr>
        <w:t>在入园准入审核时，强化园区各部门之间的联动，信息共享，及时为园区招商及企业落地保驾护航。</w:t>
      </w:r>
    </w:p>
    <w:p w14:paraId="1DA2274C">
      <w:pPr>
        <w:pStyle w:val="16"/>
        <w:spacing w:after="0" w:line="600" w:lineRule="exact"/>
        <w:ind w:left="0" w:leftChars="0" w:firstLine="0" w:firstLineChars="0"/>
        <w:rPr>
          <w:rFonts w:hint="default" w:ascii="Times New Roman" w:hAnsi="Times New Roman" w:eastAsia="仿宋" w:cs="Times New Roman"/>
          <w:sz w:val="32"/>
          <w:szCs w:val="32"/>
        </w:rPr>
      </w:pPr>
    </w:p>
    <w:p w14:paraId="019C535F">
      <w:pPr>
        <w:pStyle w:val="16"/>
        <w:spacing w:after="0" w:line="600" w:lineRule="exact"/>
        <w:ind w:left="3513" w:leftChars="912" w:hanging="960" w:hangingChars="300"/>
        <w:jc w:val="center"/>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新晃</w:t>
      </w:r>
      <w:r>
        <w:rPr>
          <w:rFonts w:hint="eastAsia" w:ascii="Times New Roman" w:hAnsi="Times New Roman" w:eastAsia="仿宋" w:cs="Times New Roman"/>
          <w:sz w:val="32"/>
          <w:szCs w:val="32"/>
          <w:lang w:val="en-US" w:eastAsia="zh-CN"/>
        </w:rPr>
        <w:t>产业开发区</w:t>
      </w:r>
      <w:r>
        <w:rPr>
          <w:rFonts w:hint="default" w:ascii="Times New Roman" w:hAnsi="Times New Roman" w:eastAsia="仿宋" w:cs="Times New Roman"/>
          <w:sz w:val="32"/>
          <w:szCs w:val="32"/>
          <w:lang w:val="en-US" w:eastAsia="zh-CN"/>
        </w:rPr>
        <w:t>管理委员会</w:t>
      </w:r>
    </w:p>
    <w:p w14:paraId="1AE13BC4">
      <w:pPr>
        <w:pStyle w:val="16"/>
        <w:spacing w:after="0" w:line="600" w:lineRule="exact"/>
        <w:ind w:left="3511" w:leftChars="1254"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rPr>
        <w:t>6</w:t>
      </w:r>
      <w:r>
        <w:rPr>
          <w:rFonts w:hint="default" w:ascii="Times New Roman" w:hAnsi="Times New Roman" w:eastAsia="仿宋_GB2312" w:cs="Times New Roman"/>
          <w:sz w:val="32"/>
          <w:szCs w:val="32"/>
        </w:rPr>
        <w:t>日</w:t>
      </w:r>
      <w:bookmarkStart w:id="22" w:name="_GoBack"/>
      <w:bookmarkEnd w:id="22"/>
    </w:p>
    <w:p w14:paraId="422F9555">
      <w:pPr>
        <w:rPr>
          <w:rFonts w:hint="eastAsia"/>
          <w:lang w:val="en-US" w:eastAsia="zh-CN"/>
        </w:rPr>
      </w:pPr>
      <w:r>
        <w:rPr>
          <w:rFonts w:hint="eastAsia"/>
          <w:lang w:val="en-US" w:eastAsia="zh-CN"/>
        </w:rPr>
        <w:br w:type="page"/>
      </w:r>
    </w:p>
    <w:p w14:paraId="7F5DE6AB">
      <w:pPr>
        <w:rPr>
          <w:rFonts w:hint="eastAsia"/>
          <w:sz w:val="24"/>
          <w:szCs w:val="24"/>
          <w:lang w:val="en-US" w:eastAsia="zh-CN"/>
        </w:rPr>
      </w:pPr>
      <w:r>
        <w:rPr>
          <w:rFonts w:hint="eastAsia"/>
          <w:sz w:val="24"/>
          <w:szCs w:val="24"/>
          <w:lang w:val="en-US" w:eastAsia="zh-CN"/>
        </w:rPr>
        <w:t>附图1：新晃产业开发区前锋工业园土地利用规划图</w:t>
      </w:r>
    </w:p>
    <w:p w14:paraId="7618F557">
      <w:pPr>
        <w:jc w:val="center"/>
        <w:rPr>
          <w:rFonts w:hint="eastAsia"/>
          <w:sz w:val="24"/>
          <w:szCs w:val="24"/>
          <w:lang w:val="en-US" w:eastAsia="zh-CN"/>
        </w:rPr>
      </w:pPr>
      <w:r>
        <w:rPr>
          <w:rFonts w:hint="eastAsia"/>
          <w:sz w:val="24"/>
          <w:szCs w:val="24"/>
          <w:lang w:val="en-US" w:eastAsia="zh-CN"/>
        </w:rPr>
        <w:drawing>
          <wp:inline distT="0" distB="0" distL="114300" distR="114300">
            <wp:extent cx="5039995" cy="3110230"/>
            <wp:effectExtent l="0" t="0" r="1905" b="1270"/>
            <wp:docPr id="4" name="图片 4" descr="2_新晃工业集中区附图（报批） 1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_新晃工业集中区附图（报批） 15_01"/>
                    <pic:cNvPicPr>
                      <a:picLocks noChangeAspect="1"/>
                    </pic:cNvPicPr>
                  </pic:nvPicPr>
                  <pic:blipFill>
                    <a:blip r:embed="rId8"/>
                    <a:srcRect l="9579" t="16980" r="7552" b="10683"/>
                    <a:stretch>
                      <a:fillRect/>
                    </a:stretch>
                  </pic:blipFill>
                  <pic:spPr>
                    <a:xfrm>
                      <a:off x="0" y="0"/>
                      <a:ext cx="5039995" cy="3110230"/>
                    </a:xfrm>
                    <a:prstGeom prst="rect">
                      <a:avLst/>
                    </a:prstGeom>
                  </pic:spPr>
                </pic:pic>
              </a:graphicData>
            </a:graphic>
          </wp:inline>
        </w:drawing>
      </w:r>
    </w:p>
    <w:p w14:paraId="57757395">
      <w:pPr>
        <w:rPr>
          <w:rFonts w:hint="eastAsia"/>
          <w:sz w:val="24"/>
          <w:szCs w:val="24"/>
          <w:lang w:val="en-US" w:eastAsia="zh-CN"/>
        </w:rPr>
      </w:pPr>
    </w:p>
    <w:p w14:paraId="4D55CA80">
      <w:pPr>
        <w:rPr>
          <w:rFonts w:hint="eastAsia"/>
          <w:sz w:val="24"/>
          <w:szCs w:val="24"/>
          <w:lang w:val="en-US" w:eastAsia="zh-CN"/>
        </w:rPr>
      </w:pPr>
    </w:p>
    <w:p w14:paraId="077FC363">
      <w:pPr>
        <w:rPr>
          <w:rFonts w:hint="eastAsia"/>
          <w:sz w:val="24"/>
          <w:szCs w:val="24"/>
          <w:lang w:val="en-US" w:eastAsia="zh-CN"/>
        </w:rPr>
      </w:pPr>
    </w:p>
    <w:p w14:paraId="33EE6C4D">
      <w:pPr>
        <w:rPr>
          <w:rFonts w:hint="eastAsia"/>
          <w:sz w:val="24"/>
          <w:szCs w:val="24"/>
          <w:lang w:val="en-US" w:eastAsia="zh-CN"/>
        </w:rPr>
      </w:pPr>
      <w:r>
        <w:rPr>
          <w:rFonts w:hint="eastAsia"/>
          <w:sz w:val="24"/>
          <w:szCs w:val="24"/>
          <w:lang w:val="en-US" w:eastAsia="zh-CN"/>
        </w:rPr>
        <w:t>附图2：新晃产业开发区柏树林工业园土地利用规划图</w:t>
      </w:r>
    </w:p>
    <w:p w14:paraId="5338AC20">
      <w:pPr>
        <w:jc w:val="center"/>
        <w:rPr>
          <w:rFonts w:hint="default" w:eastAsiaTheme="minorEastAsia"/>
          <w:sz w:val="24"/>
          <w:szCs w:val="24"/>
          <w:lang w:val="en-US" w:eastAsia="zh-CN"/>
        </w:rPr>
      </w:pPr>
      <w:r>
        <w:rPr>
          <w:rFonts w:hint="default" w:eastAsiaTheme="minorEastAsia"/>
          <w:sz w:val="24"/>
          <w:szCs w:val="24"/>
          <w:lang w:val="en-US" w:eastAsia="zh-CN"/>
        </w:rPr>
        <w:drawing>
          <wp:inline distT="0" distB="0" distL="114300" distR="114300">
            <wp:extent cx="5039995" cy="3087370"/>
            <wp:effectExtent l="0" t="0" r="1905" b="11430"/>
            <wp:docPr id="5" name="图片 5" descr="2_新晃工业集中区附图（报批） 1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_新晃工业集中区附图（报批） 16_01"/>
                    <pic:cNvPicPr>
                      <a:picLocks noChangeAspect="1"/>
                    </pic:cNvPicPr>
                  </pic:nvPicPr>
                  <pic:blipFill>
                    <a:blip r:embed="rId9"/>
                    <a:srcRect l="9531" t="17082" r="7516" b="11041"/>
                    <a:stretch>
                      <a:fillRect/>
                    </a:stretch>
                  </pic:blipFill>
                  <pic:spPr>
                    <a:xfrm>
                      <a:off x="0" y="0"/>
                      <a:ext cx="5039995" cy="3087370"/>
                    </a:xfrm>
                    <a:prstGeom prst="rect">
                      <a:avLst/>
                    </a:prstGeom>
                  </pic:spPr>
                </pic:pic>
              </a:graphicData>
            </a:graphic>
          </wp:inline>
        </w:drawing>
      </w: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国标仿宋">
    <w:panose1 w:val="02000500000000000000"/>
    <w:charset w:val="86"/>
    <w:family w:val="auto"/>
    <w:pitch w:val="default"/>
    <w:sig w:usb0="A00002BF" w:usb1="38C77CFA" w:usb2="00000016"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5798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692EB">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E9417">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4E9417">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BEE6B">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308BE">
                          <w:pPr>
                            <w:pStyle w:val="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D308BE">
                    <w:pPr>
                      <w:pStyle w:val="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B0FB1">
    <w:pPr>
      <w:pStyle w:val="8"/>
      <w:jc w:val="center"/>
      <w:rPr>
        <w:rFonts w:hint="eastAsia" w:ascii="Times New Roman" w:hAnsi="Times New Roman" w:cs="Times New Roman" w:eastAsiaTheme="minorEastAsia"/>
        <w:sz w:val="24"/>
        <w:szCs w:val="24"/>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31FC3">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B831FC3">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FAD95C"/>
    <w:multiLevelType w:val="singleLevel"/>
    <w:tmpl w:val="E4FAD95C"/>
    <w:lvl w:ilvl="0" w:tentative="0">
      <w:start w:val="2"/>
      <w:numFmt w:val="decimal"/>
      <w:suff w:val="nothing"/>
      <w:lvlText w:val="%1、"/>
      <w:lvlJc w:val="left"/>
    </w:lvl>
  </w:abstractNum>
  <w:abstractNum w:abstractNumId="1">
    <w:nsid w:val="0DC91CEB"/>
    <w:multiLevelType w:val="multilevel"/>
    <w:tmpl w:val="0DC91CEB"/>
    <w:lvl w:ilvl="0" w:tentative="0">
      <w:start w:val="1"/>
      <w:numFmt w:val="chineseCountingThousand"/>
      <w:lvlText w:val="第%1章  "/>
      <w:lvlJc w:val="left"/>
      <w:pPr>
        <w:ind w:left="2269" w:firstLine="0"/>
      </w:pPr>
      <w:rPr>
        <w:rFonts w:hint="default" w:ascii="Times New Roman" w:hAnsi="Times New Roman" w:eastAsia="宋体"/>
        <w:b/>
        <w:i w:val="0"/>
        <w:sz w:val="36"/>
        <w:szCs w:val="36"/>
      </w:rPr>
    </w:lvl>
    <w:lvl w:ilvl="1" w:tentative="0">
      <w:start w:val="1"/>
      <w:numFmt w:val="decimal"/>
      <w:isLgl/>
      <w:suff w:val="space"/>
      <w:lvlText w:val="%1.%2 "/>
      <w:lvlJc w:val="left"/>
      <w:pPr>
        <w:ind w:left="2127" w:firstLine="0"/>
      </w:pPr>
      <w:rPr>
        <w:rFonts w:hint="default" w:ascii="Times New Roman" w:hAnsi="Times New Roman" w:eastAsia="黑体"/>
        <w:b/>
        <w:i w:val="0"/>
        <w:sz w:val="32"/>
        <w:szCs w:val="32"/>
      </w:rPr>
    </w:lvl>
    <w:lvl w:ilvl="2" w:tentative="0">
      <w:start w:val="1"/>
      <w:numFmt w:val="decimal"/>
      <w:isLgl/>
      <w:suff w:val="space"/>
      <w:lvlText w:val="%1.%2.%3 "/>
      <w:lvlJc w:val="left"/>
      <w:pPr>
        <w:ind w:left="0" w:firstLine="0"/>
      </w:pPr>
      <w:rPr>
        <w:rFonts w:hint="default" w:ascii="Times New Roman" w:hAnsi="Times New Roman" w:eastAsia="黑体"/>
        <w:b/>
        <w:i w:val="0"/>
        <w:color w:val="auto"/>
        <w:sz w:val="30"/>
      </w:rPr>
    </w:lvl>
    <w:lvl w:ilvl="3" w:tentative="0">
      <w:start w:val="1"/>
      <w:numFmt w:val="decimal"/>
      <w:isLgl/>
      <w:suff w:val="space"/>
      <w:lvlText w:val="%1.%2.%3.%4 "/>
      <w:lvlJc w:val="left"/>
      <w:pPr>
        <w:ind w:left="-1843" w:firstLine="0"/>
      </w:pPr>
      <w:rPr>
        <w:rFonts w:hint="default" w:ascii="Times New Roman" w:hAnsi="Times New Roman" w:eastAsia="黑体"/>
        <w:b/>
        <w:i w:val="0"/>
        <w:sz w:val="24"/>
      </w:rPr>
    </w:lvl>
    <w:lvl w:ilvl="4" w:tentative="0">
      <w:start w:val="1"/>
      <w:numFmt w:val="decimal"/>
      <w:lvlRestart w:val="2"/>
      <w:pStyle w:val="24"/>
      <w:isLgl/>
      <w:suff w:val="space"/>
      <w:lvlText w:val="表 %1.%2-%5  "/>
      <w:lvlJc w:val="left"/>
      <w:pPr>
        <w:ind w:left="-1843" w:firstLine="0"/>
      </w:pPr>
      <w:rPr>
        <w:rFonts w:hint="default" w:ascii="Times New Roman" w:hAnsi="Times New Roman" w:eastAsia="宋体" w:cs="Times New Roman"/>
        <w:b/>
        <w:bCs w:val="0"/>
        <w:i w:val="0"/>
        <w:iCs w:val="0"/>
        <w:caps w:val="0"/>
        <w:strike w:val="0"/>
        <w:dstrike w:val="0"/>
        <w:vanish w:val="0"/>
        <w:spacing w:val="0"/>
        <w:position w:val="0"/>
        <w:sz w:val="21"/>
        <w:u w:val="none"/>
        <w:vertAlign w:val="baseline"/>
      </w:rPr>
    </w:lvl>
    <w:lvl w:ilvl="5" w:tentative="0">
      <w:start w:val="1"/>
      <w:numFmt w:val="decimal"/>
      <w:lvlRestart w:val="2"/>
      <w:isLgl/>
      <w:suff w:val="space"/>
      <w:lvlText w:val="图 %1.%2-%6  "/>
      <w:lvlJc w:val="left"/>
      <w:pPr>
        <w:ind w:left="-1843" w:firstLine="0"/>
      </w:pPr>
      <w:rPr>
        <w:rFonts w:hint="default" w:ascii="Times New Roman" w:hAnsi="Times New Roman" w:eastAsia="宋体"/>
        <w:b/>
        <w:i w:val="0"/>
        <w:sz w:val="21"/>
      </w:rPr>
    </w:lvl>
    <w:lvl w:ilvl="6" w:tentative="0">
      <w:start w:val="1"/>
      <w:numFmt w:val="decimal"/>
      <w:lvlText w:val="%1.%2.%3.%4.%5.%6.%7"/>
      <w:lvlJc w:val="left"/>
      <w:pPr>
        <w:ind w:left="-547" w:hanging="1296"/>
      </w:pPr>
      <w:rPr>
        <w:rFonts w:hint="eastAsia"/>
      </w:rPr>
    </w:lvl>
    <w:lvl w:ilvl="7" w:tentative="0">
      <w:start w:val="1"/>
      <w:numFmt w:val="decimal"/>
      <w:lvlText w:val="%1.%2.%3.%4.%5.%6.%7.%8"/>
      <w:lvlJc w:val="left"/>
      <w:pPr>
        <w:ind w:left="-403" w:hanging="1440"/>
      </w:pPr>
      <w:rPr>
        <w:rFonts w:hint="eastAsia"/>
      </w:rPr>
    </w:lvl>
    <w:lvl w:ilvl="8" w:tentative="0">
      <w:start w:val="1"/>
      <w:numFmt w:val="decimal"/>
      <w:lvlText w:val="%1.%2.%3.%4.%5.%6.%7.%8.%9"/>
      <w:lvlJc w:val="left"/>
      <w:pPr>
        <w:ind w:left="-259"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ZjQ0MjNhYzUxODBlY2ExNDg5MTFiOGU1M2YxYWMifQ=="/>
    <w:docVar w:name="KSO_WPS_MARK_KEY" w:val="8785db15-62f8-42e2-b9b1-fae4084ed3d5"/>
  </w:docVars>
  <w:rsids>
    <w:rsidRoot w:val="7BC5745B"/>
    <w:rsid w:val="001F4D68"/>
    <w:rsid w:val="003C0C3D"/>
    <w:rsid w:val="00735B84"/>
    <w:rsid w:val="009D40D6"/>
    <w:rsid w:val="00D24FF0"/>
    <w:rsid w:val="00E13486"/>
    <w:rsid w:val="01066A48"/>
    <w:rsid w:val="01512DEC"/>
    <w:rsid w:val="01A56261"/>
    <w:rsid w:val="01FF3BC3"/>
    <w:rsid w:val="02E42DB9"/>
    <w:rsid w:val="03202CAB"/>
    <w:rsid w:val="03516FBF"/>
    <w:rsid w:val="03634626"/>
    <w:rsid w:val="03C52532"/>
    <w:rsid w:val="03DB438F"/>
    <w:rsid w:val="040C3432"/>
    <w:rsid w:val="047A5783"/>
    <w:rsid w:val="04A46CA4"/>
    <w:rsid w:val="04DD3F64"/>
    <w:rsid w:val="05107584"/>
    <w:rsid w:val="05154C6E"/>
    <w:rsid w:val="059E1945"/>
    <w:rsid w:val="062419AB"/>
    <w:rsid w:val="06652D2B"/>
    <w:rsid w:val="06AE5BB8"/>
    <w:rsid w:val="06F153B1"/>
    <w:rsid w:val="0732742E"/>
    <w:rsid w:val="07781D8F"/>
    <w:rsid w:val="07B978E1"/>
    <w:rsid w:val="07EC4BEA"/>
    <w:rsid w:val="07F95559"/>
    <w:rsid w:val="08766D46"/>
    <w:rsid w:val="087A2460"/>
    <w:rsid w:val="088210AA"/>
    <w:rsid w:val="0898396B"/>
    <w:rsid w:val="08C90A87"/>
    <w:rsid w:val="09A3752A"/>
    <w:rsid w:val="0A0A75A9"/>
    <w:rsid w:val="0AA572D2"/>
    <w:rsid w:val="0B014EFD"/>
    <w:rsid w:val="0B22206B"/>
    <w:rsid w:val="0B28022D"/>
    <w:rsid w:val="0B6E7138"/>
    <w:rsid w:val="0B9560C5"/>
    <w:rsid w:val="0BD54525"/>
    <w:rsid w:val="0BD55995"/>
    <w:rsid w:val="0C3E7A39"/>
    <w:rsid w:val="0C941AC4"/>
    <w:rsid w:val="0DD71838"/>
    <w:rsid w:val="0DD87EFA"/>
    <w:rsid w:val="0DDF0D4D"/>
    <w:rsid w:val="0DE36178"/>
    <w:rsid w:val="0DEA0FA8"/>
    <w:rsid w:val="0E097B78"/>
    <w:rsid w:val="0E1924B1"/>
    <w:rsid w:val="0E3177FA"/>
    <w:rsid w:val="0E836F6A"/>
    <w:rsid w:val="0EF80318"/>
    <w:rsid w:val="0F1F58A5"/>
    <w:rsid w:val="0F4463DA"/>
    <w:rsid w:val="0F7F4595"/>
    <w:rsid w:val="0FAB538A"/>
    <w:rsid w:val="104F3F68"/>
    <w:rsid w:val="10790FE5"/>
    <w:rsid w:val="10F93ED3"/>
    <w:rsid w:val="116972AB"/>
    <w:rsid w:val="11733C86"/>
    <w:rsid w:val="11F823DD"/>
    <w:rsid w:val="12176D07"/>
    <w:rsid w:val="122E5DFF"/>
    <w:rsid w:val="124670B3"/>
    <w:rsid w:val="127F48AC"/>
    <w:rsid w:val="12A165D1"/>
    <w:rsid w:val="12B450CC"/>
    <w:rsid w:val="12CA7003"/>
    <w:rsid w:val="130B5189"/>
    <w:rsid w:val="137609B9"/>
    <w:rsid w:val="138E201F"/>
    <w:rsid w:val="13CF3931"/>
    <w:rsid w:val="13DF74E6"/>
    <w:rsid w:val="13E23345"/>
    <w:rsid w:val="13F4401F"/>
    <w:rsid w:val="14065285"/>
    <w:rsid w:val="144B0EEA"/>
    <w:rsid w:val="14A405FA"/>
    <w:rsid w:val="156264EB"/>
    <w:rsid w:val="163503F7"/>
    <w:rsid w:val="16B0772A"/>
    <w:rsid w:val="16B41298"/>
    <w:rsid w:val="16EA2C3C"/>
    <w:rsid w:val="172872C1"/>
    <w:rsid w:val="173F0600"/>
    <w:rsid w:val="176C3651"/>
    <w:rsid w:val="17A725C0"/>
    <w:rsid w:val="17EBF195"/>
    <w:rsid w:val="18021E8A"/>
    <w:rsid w:val="18226406"/>
    <w:rsid w:val="18C2545F"/>
    <w:rsid w:val="18CB084B"/>
    <w:rsid w:val="18F27B86"/>
    <w:rsid w:val="18F46C6F"/>
    <w:rsid w:val="19B847F0"/>
    <w:rsid w:val="1A073B05"/>
    <w:rsid w:val="1A2B74E9"/>
    <w:rsid w:val="1A950399"/>
    <w:rsid w:val="1ABB268D"/>
    <w:rsid w:val="1AC55416"/>
    <w:rsid w:val="1AE479A2"/>
    <w:rsid w:val="1AEC7ED7"/>
    <w:rsid w:val="1B1C0EEA"/>
    <w:rsid w:val="1B26620D"/>
    <w:rsid w:val="1B684B23"/>
    <w:rsid w:val="1B6D11D7"/>
    <w:rsid w:val="1B7063C5"/>
    <w:rsid w:val="1BA35B0F"/>
    <w:rsid w:val="1BA57D5B"/>
    <w:rsid w:val="1BB133C9"/>
    <w:rsid w:val="1BF2027A"/>
    <w:rsid w:val="1BF41E67"/>
    <w:rsid w:val="1C283DBA"/>
    <w:rsid w:val="1C493F3B"/>
    <w:rsid w:val="1CD001DE"/>
    <w:rsid w:val="1D212567"/>
    <w:rsid w:val="1DD71A40"/>
    <w:rsid w:val="1E046FEB"/>
    <w:rsid w:val="1E9516DF"/>
    <w:rsid w:val="1EC14EF2"/>
    <w:rsid w:val="1F0A7CFD"/>
    <w:rsid w:val="1F4D29AA"/>
    <w:rsid w:val="1F5473EE"/>
    <w:rsid w:val="1F884DA0"/>
    <w:rsid w:val="1FB61E31"/>
    <w:rsid w:val="1FBF2164"/>
    <w:rsid w:val="1FDC50EC"/>
    <w:rsid w:val="20062169"/>
    <w:rsid w:val="2012631B"/>
    <w:rsid w:val="203C5AA9"/>
    <w:rsid w:val="208729A3"/>
    <w:rsid w:val="20C52024"/>
    <w:rsid w:val="21562C7C"/>
    <w:rsid w:val="216D47FE"/>
    <w:rsid w:val="218B0B78"/>
    <w:rsid w:val="21B300CF"/>
    <w:rsid w:val="21CA2E3B"/>
    <w:rsid w:val="21FE5C8C"/>
    <w:rsid w:val="2221772E"/>
    <w:rsid w:val="22A46395"/>
    <w:rsid w:val="22B52CA4"/>
    <w:rsid w:val="231D7F19"/>
    <w:rsid w:val="23614286"/>
    <w:rsid w:val="23B5012E"/>
    <w:rsid w:val="23D4417B"/>
    <w:rsid w:val="23D54B1D"/>
    <w:rsid w:val="23D95883"/>
    <w:rsid w:val="24065F74"/>
    <w:rsid w:val="24286294"/>
    <w:rsid w:val="247B3126"/>
    <w:rsid w:val="24875E43"/>
    <w:rsid w:val="248C70E1"/>
    <w:rsid w:val="2547125A"/>
    <w:rsid w:val="25887ED7"/>
    <w:rsid w:val="25BB7E0B"/>
    <w:rsid w:val="25FEAB93"/>
    <w:rsid w:val="266B0F78"/>
    <w:rsid w:val="2681079B"/>
    <w:rsid w:val="26CA2142"/>
    <w:rsid w:val="270F224B"/>
    <w:rsid w:val="277F2F2D"/>
    <w:rsid w:val="27D8088F"/>
    <w:rsid w:val="2819424A"/>
    <w:rsid w:val="2874680A"/>
    <w:rsid w:val="28E31299"/>
    <w:rsid w:val="28E619B2"/>
    <w:rsid w:val="28EA6ACC"/>
    <w:rsid w:val="29057462"/>
    <w:rsid w:val="290876C3"/>
    <w:rsid w:val="295403E9"/>
    <w:rsid w:val="296C50CF"/>
    <w:rsid w:val="297F5EFD"/>
    <w:rsid w:val="29C9048F"/>
    <w:rsid w:val="2A092F82"/>
    <w:rsid w:val="2AE06325"/>
    <w:rsid w:val="2B19203F"/>
    <w:rsid w:val="2B3D6E60"/>
    <w:rsid w:val="2B9E76FA"/>
    <w:rsid w:val="2BFD7BFA"/>
    <w:rsid w:val="2C022A1C"/>
    <w:rsid w:val="2C7D37B3"/>
    <w:rsid w:val="2CCD64E8"/>
    <w:rsid w:val="2CD45AC9"/>
    <w:rsid w:val="2CF9108B"/>
    <w:rsid w:val="2D1C2FCC"/>
    <w:rsid w:val="2D5269EE"/>
    <w:rsid w:val="2D7832F7"/>
    <w:rsid w:val="2DC115BF"/>
    <w:rsid w:val="2DEF248E"/>
    <w:rsid w:val="2DFD104F"/>
    <w:rsid w:val="2E053A60"/>
    <w:rsid w:val="2E765AD6"/>
    <w:rsid w:val="2F2441A9"/>
    <w:rsid w:val="2FC242FE"/>
    <w:rsid w:val="2FD22058"/>
    <w:rsid w:val="303D1BD7"/>
    <w:rsid w:val="30A25EDE"/>
    <w:rsid w:val="30EB33E1"/>
    <w:rsid w:val="320D2EA0"/>
    <w:rsid w:val="326D207A"/>
    <w:rsid w:val="32785994"/>
    <w:rsid w:val="32880606"/>
    <w:rsid w:val="32AC4DF2"/>
    <w:rsid w:val="33252B41"/>
    <w:rsid w:val="33323549"/>
    <w:rsid w:val="335E0EED"/>
    <w:rsid w:val="3378646A"/>
    <w:rsid w:val="33811DDB"/>
    <w:rsid w:val="339F3B4B"/>
    <w:rsid w:val="33A1247D"/>
    <w:rsid w:val="33BF23AB"/>
    <w:rsid w:val="34205F59"/>
    <w:rsid w:val="343B01DB"/>
    <w:rsid w:val="34821599"/>
    <w:rsid w:val="34AA710F"/>
    <w:rsid w:val="34D10B40"/>
    <w:rsid w:val="351F5D4F"/>
    <w:rsid w:val="35417C24"/>
    <w:rsid w:val="35A84BB9"/>
    <w:rsid w:val="363016C5"/>
    <w:rsid w:val="36B454FF"/>
    <w:rsid w:val="36C21F3D"/>
    <w:rsid w:val="36D049B0"/>
    <w:rsid w:val="36D0597D"/>
    <w:rsid w:val="36E732CE"/>
    <w:rsid w:val="36FC96D8"/>
    <w:rsid w:val="37174C19"/>
    <w:rsid w:val="374A1790"/>
    <w:rsid w:val="37797999"/>
    <w:rsid w:val="37E8BF0C"/>
    <w:rsid w:val="37FBB44B"/>
    <w:rsid w:val="38682950"/>
    <w:rsid w:val="38A74DA6"/>
    <w:rsid w:val="38BA0244"/>
    <w:rsid w:val="38CE4C5F"/>
    <w:rsid w:val="38E81ADE"/>
    <w:rsid w:val="38EA21D0"/>
    <w:rsid w:val="38F80D91"/>
    <w:rsid w:val="39070FD4"/>
    <w:rsid w:val="399A3EFC"/>
    <w:rsid w:val="39AC56D7"/>
    <w:rsid w:val="39C45525"/>
    <w:rsid w:val="39DC6326"/>
    <w:rsid w:val="39E906DA"/>
    <w:rsid w:val="3A281202"/>
    <w:rsid w:val="3A5B451C"/>
    <w:rsid w:val="3A826B40"/>
    <w:rsid w:val="3AA26B9E"/>
    <w:rsid w:val="3ABF64E1"/>
    <w:rsid w:val="3ADF1C48"/>
    <w:rsid w:val="3AE07C06"/>
    <w:rsid w:val="3B90705F"/>
    <w:rsid w:val="3B940A06"/>
    <w:rsid w:val="3BA0693C"/>
    <w:rsid w:val="3BF55114"/>
    <w:rsid w:val="3BFFB4F9"/>
    <w:rsid w:val="3C2D0D52"/>
    <w:rsid w:val="3C9F6753"/>
    <w:rsid w:val="3CC86CCC"/>
    <w:rsid w:val="3CD72A6B"/>
    <w:rsid w:val="3CF9310E"/>
    <w:rsid w:val="3D1E4818"/>
    <w:rsid w:val="3D3D4FC4"/>
    <w:rsid w:val="3D9025F8"/>
    <w:rsid w:val="3DE96EFA"/>
    <w:rsid w:val="3DF4368D"/>
    <w:rsid w:val="3E5A32AB"/>
    <w:rsid w:val="3E914961"/>
    <w:rsid w:val="3E98514F"/>
    <w:rsid w:val="3EA0270D"/>
    <w:rsid w:val="3EBBBF43"/>
    <w:rsid w:val="3F0B097A"/>
    <w:rsid w:val="3F285800"/>
    <w:rsid w:val="3F2A1578"/>
    <w:rsid w:val="3F4E22AE"/>
    <w:rsid w:val="3F5EA853"/>
    <w:rsid w:val="3F7E18C4"/>
    <w:rsid w:val="3F7E51FE"/>
    <w:rsid w:val="3F977828"/>
    <w:rsid w:val="3FA752D5"/>
    <w:rsid w:val="3FADB131"/>
    <w:rsid w:val="3FAFD494"/>
    <w:rsid w:val="3FFE9A72"/>
    <w:rsid w:val="3FFFA36C"/>
    <w:rsid w:val="3FFFFFF2"/>
    <w:rsid w:val="404142C0"/>
    <w:rsid w:val="406960D0"/>
    <w:rsid w:val="40F0731F"/>
    <w:rsid w:val="41126768"/>
    <w:rsid w:val="411424E0"/>
    <w:rsid w:val="41670862"/>
    <w:rsid w:val="421B164C"/>
    <w:rsid w:val="42666D6B"/>
    <w:rsid w:val="428216CB"/>
    <w:rsid w:val="42994E0A"/>
    <w:rsid w:val="429C2F30"/>
    <w:rsid w:val="42E3660E"/>
    <w:rsid w:val="42F80F18"/>
    <w:rsid w:val="4312090C"/>
    <w:rsid w:val="433504EC"/>
    <w:rsid w:val="43E3619A"/>
    <w:rsid w:val="43EC32A0"/>
    <w:rsid w:val="442347E8"/>
    <w:rsid w:val="44246EDE"/>
    <w:rsid w:val="450874BB"/>
    <w:rsid w:val="453C3DB3"/>
    <w:rsid w:val="45915881"/>
    <w:rsid w:val="45941E41"/>
    <w:rsid w:val="45D4303D"/>
    <w:rsid w:val="45D87F80"/>
    <w:rsid w:val="45EF5984"/>
    <w:rsid w:val="465A1B66"/>
    <w:rsid w:val="46603956"/>
    <w:rsid w:val="467001B9"/>
    <w:rsid w:val="46703AB9"/>
    <w:rsid w:val="47F91E5D"/>
    <w:rsid w:val="4838776B"/>
    <w:rsid w:val="48683087"/>
    <w:rsid w:val="48895894"/>
    <w:rsid w:val="48D85AA0"/>
    <w:rsid w:val="490F0BE1"/>
    <w:rsid w:val="491D5CAA"/>
    <w:rsid w:val="49294FE0"/>
    <w:rsid w:val="493D3B72"/>
    <w:rsid w:val="493E4AC4"/>
    <w:rsid w:val="49494CF1"/>
    <w:rsid w:val="495F62C2"/>
    <w:rsid w:val="49746212"/>
    <w:rsid w:val="499613A2"/>
    <w:rsid w:val="499E6DEB"/>
    <w:rsid w:val="49AF0FF8"/>
    <w:rsid w:val="49DF0B35"/>
    <w:rsid w:val="49E14F29"/>
    <w:rsid w:val="49F41101"/>
    <w:rsid w:val="4A183841"/>
    <w:rsid w:val="4A194AA5"/>
    <w:rsid w:val="4A331C29"/>
    <w:rsid w:val="4AA30431"/>
    <w:rsid w:val="4AD54A8E"/>
    <w:rsid w:val="4AEE3BFB"/>
    <w:rsid w:val="4B166E55"/>
    <w:rsid w:val="4BC10A69"/>
    <w:rsid w:val="4BFB49C8"/>
    <w:rsid w:val="4C15710C"/>
    <w:rsid w:val="4C194E4E"/>
    <w:rsid w:val="4C1C0BAE"/>
    <w:rsid w:val="4C63256E"/>
    <w:rsid w:val="4C6840A3"/>
    <w:rsid w:val="4C68499F"/>
    <w:rsid w:val="4CB678D6"/>
    <w:rsid w:val="4D2B34E9"/>
    <w:rsid w:val="4D423F31"/>
    <w:rsid w:val="4D73058E"/>
    <w:rsid w:val="4D810EFD"/>
    <w:rsid w:val="4DAD6980"/>
    <w:rsid w:val="4DB04A8F"/>
    <w:rsid w:val="4DCE1C69"/>
    <w:rsid w:val="4DF571F5"/>
    <w:rsid w:val="4E262DD2"/>
    <w:rsid w:val="4E263853"/>
    <w:rsid w:val="4E656129"/>
    <w:rsid w:val="4EDE7C89"/>
    <w:rsid w:val="4F513AFC"/>
    <w:rsid w:val="4FBBD06C"/>
    <w:rsid w:val="4FDC70C5"/>
    <w:rsid w:val="50044C98"/>
    <w:rsid w:val="501F49FD"/>
    <w:rsid w:val="503C7C14"/>
    <w:rsid w:val="506F328F"/>
    <w:rsid w:val="50C866AA"/>
    <w:rsid w:val="50EC48E0"/>
    <w:rsid w:val="511268B9"/>
    <w:rsid w:val="511B3417"/>
    <w:rsid w:val="51215792"/>
    <w:rsid w:val="514A7BFA"/>
    <w:rsid w:val="51976F41"/>
    <w:rsid w:val="51BC69A8"/>
    <w:rsid w:val="526E12AA"/>
    <w:rsid w:val="52BB6AD7"/>
    <w:rsid w:val="53332C9A"/>
    <w:rsid w:val="53DD7FE6"/>
    <w:rsid w:val="54414F42"/>
    <w:rsid w:val="544A44E6"/>
    <w:rsid w:val="54E3424B"/>
    <w:rsid w:val="553B3DA0"/>
    <w:rsid w:val="553B4428"/>
    <w:rsid w:val="557A3FF5"/>
    <w:rsid w:val="55805F3E"/>
    <w:rsid w:val="55B33C1E"/>
    <w:rsid w:val="561D3F78"/>
    <w:rsid w:val="565D1DDC"/>
    <w:rsid w:val="569555D7"/>
    <w:rsid w:val="5697709C"/>
    <w:rsid w:val="56D26326"/>
    <w:rsid w:val="56F94360"/>
    <w:rsid w:val="5726041F"/>
    <w:rsid w:val="57351A5F"/>
    <w:rsid w:val="57607E54"/>
    <w:rsid w:val="577D2735"/>
    <w:rsid w:val="579E07DA"/>
    <w:rsid w:val="57C33F04"/>
    <w:rsid w:val="57DD1922"/>
    <w:rsid w:val="581B3CFC"/>
    <w:rsid w:val="58726012"/>
    <w:rsid w:val="58915B04"/>
    <w:rsid w:val="58920462"/>
    <w:rsid w:val="589519E5"/>
    <w:rsid w:val="58975A79"/>
    <w:rsid w:val="58A65CBC"/>
    <w:rsid w:val="58FDAC28"/>
    <w:rsid w:val="593037D7"/>
    <w:rsid w:val="596C0CB3"/>
    <w:rsid w:val="5975743C"/>
    <w:rsid w:val="59775DA3"/>
    <w:rsid w:val="599C2C1B"/>
    <w:rsid w:val="5A037997"/>
    <w:rsid w:val="5A7A2F5C"/>
    <w:rsid w:val="5ADA0127"/>
    <w:rsid w:val="5B21436F"/>
    <w:rsid w:val="5B2B7073"/>
    <w:rsid w:val="5B3171D2"/>
    <w:rsid w:val="5B381344"/>
    <w:rsid w:val="5B6360E6"/>
    <w:rsid w:val="5B8C60FC"/>
    <w:rsid w:val="5B8F2A37"/>
    <w:rsid w:val="5BB4249E"/>
    <w:rsid w:val="5BBF11DE"/>
    <w:rsid w:val="5BFF351B"/>
    <w:rsid w:val="5C0C19A1"/>
    <w:rsid w:val="5C1B42CB"/>
    <w:rsid w:val="5C27689D"/>
    <w:rsid w:val="5C3F26AF"/>
    <w:rsid w:val="5C50666A"/>
    <w:rsid w:val="5C7E485A"/>
    <w:rsid w:val="5CE94314"/>
    <w:rsid w:val="5CFF9BD8"/>
    <w:rsid w:val="5D5336FE"/>
    <w:rsid w:val="5D7D88CF"/>
    <w:rsid w:val="5D980D54"/>
    <w:rsid w:val="5DE60909"/>
    <w:rsid w:val="5DF4E8AD"/>
    <w:rsid w:val="5DFB0858"/>
    <w:rsid w:val="5DFE0DC5"/>
    <w:rsid w:val="5DFE26C6"/>
    <w:rsid w:val="5E0D40E7"/>
    <w:rsid w:val="5E337FF2"/>
    <w:rsid w:val="5E7F5A64"/>
    <w:rsid w:val="5EDF66FE"/>
    <w:rsid w:val="5F2A275F"/>
    <w:rsid w:val="5F481CA4"/>
    <w:rsid w:val="5F4841D2"/>
    <w:rsid w:val="5F487ACD"/>
    <w:rsid w:val="5F6B0D4D"/>
    <w:rsid w:val="5F7BD18D"/>
    <w:rsid w:val="5F7E46D7"/>
    <w:rsid w:val="5FB75EAE"/>
    <w:rsid w:val="5FFCAB6F"/>
    <w:rsid w:val="5FFFAB09"/>
    <w:rsid w:val="600653C6"/>
    <w:rsid w:val="6051475F"/>
    <w:rsid w:val="60F00BC5"/>
    <w:rsid w:val="615F4C5A"/>
    <w:rsid w:val="61730705"/>
    <w:rsid w:val="61BC437E"/>
    <w:rsid w:val="61C906BF"/>
    <w:rsid w:val="61D85EF6"/>
    <w:rsid w:val="624D71A8"/>
    <w:rsid w:val="62885CDB"/>
    <w:rsid w:val="62A745D5"/>
    <w:rsid w:val="62D022B3"/>
    <w:rsid w:val="62DA2C21"/>
    <w:rsid w:val="63160304"/>
    <w:rsid w:val="63A64DC2"/>
    <w:rsid w:val="63B868A3"/>
    <w:rsid w:val="645E207C"/>
    <w:rsid w:val="64634A61"/>
    <w:rsid w:val="648410C0"/>
    <w:rsid w:val="64C83D1F"/>
    <w:rsid w:val="651F1DBD"/>
    <w:rsid w:val="658562A7"/>
    <w:rsid w:val="6587305C"/>
    <w:rsid w:val="66091638"/>
    <w:rsid w:val="66679FE6"/>
    <w:rsid w:val="6675FE3B"/>
    <w:rsid w:val="669064D9"/>
    <w:rsid w:val="669C6206"/>
    <w:rsid w:val="66A83253"/>
    <w:rsid w:val="66EC3434"/>
    <w:rsid w:val="671C2162"/>
    <w:rsid w:val="673A1270"/>
    <w:rsid w:val="6784541A"/>
    <w:rsid w:val="679A3871"/>
    <w:rsid w:val="67D85766"/>
    <w:rsid w:val="67DF49B8"/>
    <w:rsid w:val="69A35F61"/>
    <w:rsid w:val="69B0699A"/>
    <w:rsid w:val="6A162576"/>
    <w:rsid w:val="6A1F69E1"/>
    <w:rsid w:val="6AEA0F51"/>
    <w:rsid w:val="6AEF34F2"/>
    <w:rsid w:val="6AFE824A"/>
    <w:rsid w:val="6B056872"/>
    <w:rsid w:val="6B3F69C9"/>
    <w:rsid w:val="6B65417C"/>
    <w:rsid w:val="6B80414A"/>
    <w:rsid w:val="6B87197D"/>
    <w:rsid w:val="6B881251"/>
    <w:rsid w:val="6BBFCECA"/>
    <w:rsid w:val="6BC73B27"/>
    <w:rsid w:val="6BDF90CD"/>
    <w:rsid w:val="6C474C68"/>
    <w:rsid w:val="6C8A620D"/>
    <w:rsid w:val="6CB30550"/>
    <w:rsid w:val="6CF31062"/>
    <w:rsid w:val="6D303D89"/>
    <w:rsid w:val="6DA37E04"/>
    <w:rsid w:val="6DAD4F9F"/>
    <w:rsid w:val="6DF82EE1"/>
    <w:rsid w:val="6E4B6C92"/>
    <w:rsid w:val="6E865F1C"/>
    <w:rsid w:val="6E9C573F"/>
    <w:rsid w:val="6EAF0FDB"/>
    <w:rsid w:val="6EDE1A75"/>
    <w:rsid w:val="6EE844E0"/>
    <w:rsid w:val="6EF70BC7"/>
    <w:rsid w:val="6F2FA8D9"/>
    <w:rsid w:val="6F6124E5"/>
    <w:rsid w:val="6FC0545D"/>
    <w:rsid w:val="70110815"/>
    <w:rsid w:val="70116E40"/>
    <w:rsid w:val="704454A1"/>
    <w:rsid w:val="70473489"/>
    <w:rsid w:val="70874800"/>
    <w:rsid w:val="709B58B4"/>
    <w:rsid w:val="70BC074C"/>
    <w:rsid w:val="70F02592"/>
    <w:rsid w:val="71080E6A"/>
    <w:rsid w:val="71150606"/>
    <w:rsid w:val="71157D8A"/>
    <w:rsid w:val="7121319C"/>
    <w:rsid w:val="71722787"/>
    <w:rsid w:val="71A6519E"/>
    <w:rsid w:val="725A5FC2"/>
    <w:rsid w:val="726E0878"/>
    <w:rsid w:val="72A44B62"/>
    <w:rsid w:val="730613D9"/>
    <w:rsid w:val="735878C3"/>
    <w:rsid w:val="73893DB8"/>
    <w:rsid w:val="73970283"/>
    <w:rsid w:val="74195766"/>
    <w:rsid w:val="74261F8C"/>
    <w:rsid w:val="74B9291B"/>
    <w:rsid w:val="74BD1F6B"/>
    <w:rsid w:val="74FB2A94"/>
    <w:rsid w:val="75241FEA"/>
    <w:rsid w:val="753A7A60"/>
    <w:rsid w:val="7579607C"/>
    <w:rsid w:val="75A5137D"/>
    <w:rsid w:val="75B4336E"/>
    <w:rsid w:val="75FD4D76"/>
    <w:rsid w:val="76450353"/>
    <w:rsid w:val="77253DF8"/>
    <w:rsid w:val="7746228D"/>
    <w:rsid w:val="77633C3B"/>
    <w:rsid w:val="7778661E"/>
    <w:rsid w:val="778356EE"/>
    <w:rsid w:val="77905D1A"/>
    <w:rsid w:val="7795B43E"/>
    <w:rsid w:val="77CB10FC"/>
    <w:rsid w:val="781D24CF"/>
    <w:rsid w:val="784A1D68"/>
    <w:rsid w:val="78AA2779"/>
    <w:rsid w:val="78AC47D1"/>
    <w:rsid w:val="793D7270"/>
    <w:rsid w:val="794C4611"/>
    <w:rsid w:val="79667075"/>
    <w:rsid w:val="797A48CF"/>
    <w:rsid w:val="79BF42F0"/>
    <w:rsid w:val="79DFE9E9"/>
    <w:rsid w:val="7A590988"/>
    <w:rsid w:val="7A6730A5"/>
    <w:rsid w:val="7A94551C"/>
    <w:rsid w:val="7AB60375"/>
    <w:rsid w:val="7AC3028B"/>
    <w:rsid w:val="7B024B7C"/>
    <w:rsid w:val="7B38059E"/>
    <w:rsid w:val="7B5353D8"/>
    <w:rsid w:val="7BB816DF"/>
    <w:rsid w:val="7BC4EF28"/>
    <w:rsid w:val="7BC5745B"/>
    <w:rsid w:val="7BD61B65"/>
    <w:rsid w:val="7BE97AEA"/>
    <w:rsid w:val="7BEE0F87"/>
    <w:rsid w:val="7BFB4F11"/>
    <w:rsid w:val="7BFD8378"/>
    <w:rsid w:val="7C3799E1"/>
    <w:rsid w:val="7C3BCA28"/>
    <w:rsid w:val="7C4B4301"/>
    <w:rsid w:val="7C711A94"/>
    <w:rsid w:val="7C914409"/>
    <w:rsid w:val="7CDD698B"/>
    <w:rsid w:val="7CF0473A"/>
    <w:rsid w:val="7CF62E50"/>
    <w:rsid w:val="7CFE626F"/>
    <w:rsid w:val="7D20753B"/>
    <w:rsid w:val="7D380546"/>
    <w:rsid w:val="7D4F4CF6"/>
    <w:rsid w:val="7D6B2638"/>
    <w:rsid w:val="7DAFA7CE"/>
    <w:rsid w:val="7DB76434"/>
    <w:rsid w:val="7DC51E91"/>
    <w:rsid w:val="7DDBC818"/>
    <w:rsid w:val="7DDE3892"/>
    <w:rsid w:val="7DEF98AB"/>
    <w:rsid w:val="7DF12C86"/>
    <w:rsid w:val="7E004402"/>
    <w:rsid w:val="7F2C21C7"/>
    <w:rsid w:val="7F357735"/>
    <w:rsid w:val="7F3BA1B1"/>
    <w:rsid w:val="7F673200"/>
    <w:rsid w:val="7F721861"/>
    <w:rsid w:val="7F7E679B"/>
    <w:rsid w:val="7F7FA37E"/>
    <w:rsid w:val="7F8A046A"/>
    <w:rsid w:val="7FAFFB1B"/>
    <w:rsid w:val="7FBF5B88"/>
    <w:rsid w:val="7FD7498D"/>
    <w:rsid w:val="7FDBDABF"/>
    <w:rsid w:val="7FDF37C4"/>
    <w:rsid w:val="7FED0BA9"/>
    <w:rsid w:val="7FEF4292"/>
    <w:rsid w:val="7FFE1A70"/>
    <w:rsid w:val="7FFE3FD3"/>
    <w:rsid w:val="7FFF6F22"/>
    <w:rsid w:val="8ECFB367"/>
    <w:rsid w:val="AEE7C204"/>
    <w:rsid w:val="AFAC0927"/>
    <w:rsid w:val="AFBF2C82"/>
    <w:rsid w:val="AFD73B2D"/>
    <w:rsid w:val="AFF8FFDB"/>
    <w:rsid w:val="B2B6BFC9"/>
    <w:rsid w:val="B33B57FA"/>
    <w:rsid w:val="B6BBE031"/>
    <w:rsid w:val="B79023D0"/>
    <w:rsid w:val="B87FFAF0"/>
    <w:rsid w:val="BA6A4AD9"/>
    <w:rsid w:val="BDF9D6C5"/>
    <w:rsid w:val="BECFA7A4"/>
    <w:rsid w:val="BF4EA025"/>
    <w:rsid w:val="BFBA33A4"/>
    <w:rsid w:val="BFEBC045"/>
    <w:rsid w:val="BFEF9E63"/>
    <w:rsid w:val="BFF54B0E"/>
    <w:rsid w:val="BFFE4D79"/>
    <w:rsid w:val="C7A75624"/>
    <w:rsid w:val="CDDD55F2"/>
    <w:rsid w:val="CEFA4C18"/>
    <w:rsid w:val="CFBF1472"/>
    <w:rsid w:val="CFFF1BCB"/>
    <w:rsid w:val="D17F398B"/>
    <w:rsid w:val="D5BD4BDA"/>
    <w:rsid w:val="D7767483"/>
    <w:rsid w:val="D7BDECA3"/>
    <w:rsid w:val="D7FA1693"/>
    <w:rsid w:val="D9BD7456"/>
    <w:rsid w:val="DA6D06AD"/>
    <w:rsid w:val="DC7F2155"/>
    <w:rsid w:val="DC7F3E34"/>
    <w:rsid w:val="DF1B131C"/>
    <w:rsid w:val="DFB4E59D"/>
    <w:rsid w:val="DFF78D85"/>
    <w:rsid w:val="DFF7C6F6"/>
    <w:rsid w:val="DFFF69F7"/>
    <w:rsid w:val="E5DD2FCD"/>
    <w:rsid w:val="E7BE7FBB"/>
    <w:rsid w:val="E9B50E0A"/>
    <w:rsid w:val="ED1A8D6C"/>
    <w:rsid w:val="EDF63B61"/>
    <w:rsid w:val="EDFC8A19"/>
    <w:rsid w:val="EEBD0984"/>
    <w:rsid w:val="EEFBAF22"/>
    <w:rsid w:val="EF3D8372"/>
    <w:rsid w:val="EF7F3503"/>
    <w:rsid w:val="EFB9787F"/>
    <w:rsid w:val="F3471A41"/>
    <w:rsid w:val="F3B7BB7B"/>
    <w:rsid w:val="F3EFDB9E"/>
    <w:rsid w:val="F5BF4FC0"/>
    <w:rsid w:val="F737ED89"/>
    <w:rsid w:val="F7BBA7DC"/>
    <w:rsid w:val="F9BEEE53"/>
    <w:rsid w:val="FA7B735C"/>
    <w:rsid w:val="FA9EBFA4"/>
    <w:rsid w:val="FAFB2066"/>
    <w:rsid w:val="FBBD6DA9"/>
    <w:rsid w:val="FBF9461B"/>
    <w:rsid w:val="FCBD1D24"/>
    <w:rsid w:val="FD1FA756"/>
    <w:rsid w:val="FD7E53DE"/>
    <w:rsid w:val="FDCE2E19"/>
    <w:rsid w:val="FDEFB1FA"/>
    <w:rsid w:val="FE1D88C0"/>
    <w:rsid w:val="FE5FC75C"/>
    <w:rsid w:val="FE72D02A"/>
    <w:rsid w:val="FEDFB152"/>
    <w:rsid w:val="FEFF6121"/>
    <w:rsid w:val="FEFFF81E"/>
    <w:rsid w:val="FF65BA69"/>
    <w:rsid w:val="FFA09B77"/>
    <w:rsid w:val="FFA68DDD"/>
    <w:rsid w:val="FFAF440C"/>
    <w:rsid w:val="FFB9E858"/>
    <w:rsid w:val="FFBDA623"/>
    <w:rsid w:val="FFBEABDE"/>
    <w:rsid w:val="FFBFF19F"/>
    <w:rsid w:val="FFDC2F67"/>
    <w:rsid w:val="FFE24EED"/>
    <w:rsid w:val="FFEEF0B4"/>
    <w:rsid w:val="FFF9CB43"/>
    <w:rsid w:val="FFFB0914"/>
    <w:rsid w:val="FFFD4921"/>
    <w:rsid w:val="FFFFE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8"/>
      <w:szCs w:val="22"/>
      <w:lang w:val="en-US" w:eastAsia="zh-CN" w:bidi="ar-SA"/>
    </w:rPr>
  </w:style>
  <w:style w:type="paragraph" w:styleId="2">
    <w:name w:val="heading 1"/>
    <w:basedOn w:val="1"/>
    <w:next w:val="1"/>
    <w:autoRedefine/>
    <w:qFormat/>
    <w:uiPriority w:val="9"/>
    <w:pPr>
      <w:keepNext/>
      <w:keepLines/>
      <w:spacing w:before="220" w:beforeLines="0" w:beforeAutospacing="0" w:after="210" w:afterLines="0" w:afterAutospacing="0" w:line="240" w:lineRule="auto"/>
      <w:outlineLvl w:val="0"/>
    </w:pPr>
    <w:rPr>
      <w:rFonts w:asciiTheme="minorAscii" w:hAnsiTheme="minorAscii"/>
      <w:b/>
      <w:kern w:val="44"/>
      <w:sz w:val="36"/>
    </w:rPr>
  </w:style>
  <w:style w:type="paragraph" w:styleId="3">
    <w:name w:val="heading 2"/>
    <w:basedOn w:val="2"/>
    <w:next w:val="1"/>
    <w:autoRedefine/>
    <w:unhideWhenUsed/>
    <w:qFormat/>
    <w:uiPriority w:val="9"/>
    <w:pPr>
      <w:keepNext/>
      <w:keepLines/>
      <w:spacing w:before="260" w:beforeLines="0" w:beforeAutospacing="0" w:after="260" w:afterLines="0" w:afterAutospacing="0" w:line="413" w:lineRule="auto"/>
      <w:outlineLvl w:val="1"/>
    </w:pPr>
    <w:rPr>
      <w:rFonts w:ascii="Arial" w:hAnsi="Arial" w:eastAsia="宋体"/>
      <w:sz w:val="32"/>
    </w:rPr>
  </w:style>
  <w:style w:type="paragraph" w:styleId="4">
    <w:name w:val="heading 5"/>
    <w:basedOn w:val="1"/>
    <w:next w:val="1"/>
    <w:autoRedefine/>
    <w:unhideWhenUsed/>
    <w:qFormat/>
    <w:uiPriority w:val="0"/>
    <w:pPr>
      <w:keepNext/>
      <w:keepLines/>
      <w:spacing w:before="280" w:after="290" w:line="376" w:lineRule="auto"/>
      <w:ind w:firstLine="0" w:firstLineChars="0"/>
      <w:outlineLvl w:val="4"/>
    </w:pPr>
    <w:rPr>
      <w:b/>
      <w:bCs/>
      <w:sz w:val="28"/>
      <w:szCs w:val="28"/>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next w:val="1"/>
    <w:autoRedefine/>
    <w:unhideWhenUsed/>
    <w:qFormat/>
    <w:uiPriority w:val="99"/>
    <w:pPr>
      <w:spacing w:after="120"/>
    </w:pPr>
  </w:style>
  <w:style w:type="paragraph" w:styleId="7">
    <w:name w:val="Body Text Indent"/>
    <w:basedOn w:val="1"/>
    <w:next w:val="6"/>
    <w:autoRedefine/>
    <w:unhideWhenUsed/>
    <w:qFormat/>
    <w:uiPriority w:val="99"/>
    <w:pPr>
      <w:spacing w:after="120"/>
      <w:ind w:left="420" w:leftChars="200"/>
    </w:pPr>
  </w:style>
  <w:style w:type="paragraph" w:styleId="8">
    <w:name w:val="footer"/>
    <w:basedOn w:val="1"/>
    <w:autoRedefine/>
    <w:unhideWhenUsed/>
    <w:qFormat/>
    <w:uiPriority w:val="0"/>
    <w:pPr>
      <w:tabs>
        <w:tab w:val="center" w:pos="4153"/>
        <w:tab w:val="right" w:pos="8306"/>
      </w:tabs>
      <w:snapToGrid w:val="0"/>
      <w:jc w:val="left"/>
    </w:pPr>
    <w:rPr>
      <w:sz w:val="18"/>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semiHidden/>
    <w:unhideWhenUsed/>
    <w:qFormat/>
    <w:uiPriority w:val="39"/>
  </w:style>
  <w:style w:type="paragraph" w:styleId="11">
    <w:name w:val="toc 2"/>
    <w:basedOn w:val="1"/>
    <w:next w:val="1"/>
    <w:autoRedefine/>
    <w:semiHidden/>
    <w:unhideWhenUsed/>
    <w:qFormat/>
    <w:uiPriority w:val="39"/>
    <w:pPr>
      <w:ind w:left="420" w:leftChars="200"/>
    </w:pPr>
  </w:style>
  <w:style w:type="paragraph" w:styleId="12">
    <w:name w:val="Body Text 2"/>
    <w:basedOn w:val="1"/>
    <w:autoRedefine/>
    <w:qFormat/>
    <w:uiPriority w:val="99"/>
    <w:pPr>
      <w:ind w:firstLine="200" w:firstLineChars="200"/>
    </w:pPr>
    <w:rPr>
      <w:kern w:val="2"/>
      <w:szCs w:val="24"/>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Title"/>
    <w:basedOn w:val="4"/>
    <w:next w:val="1"/>
    <w:autoRedefine/>
    <w:qFormat/>
    <w:uiPriority w:val="0"/>
    <w:pPr>
      <w:spacing w:before="50" w:beforeLines="50" w:after="50" w:afterLines="50" w:line="240" w:lineRule="auto"/>
      <w:jc w:val="center"/>
      <w:outlineLvl w:val="9"/>
    </w:pPr>
    <w:rPr>
      <w:rFonts w:cs="Times New Roman"/>
      <w:bCs w:val="0"/>
      <w:sz w:val="21"/>
      <w:szCs w:val="32"/>
    </w:rPr>
  </w:style>
  <w:style w:type="paragraph" w:styleId="15">
    <w:name w:val="Body Text First Indent"/>
    <w:basedOn w:val="6"/>
    <w:autoRedefine/>
    <w:qFormat/>
    <w:uiPriority w:val="99"/>
    <w:pPr>
      <w:ind w:firstLine="420" w:firstLineChars="100"/>
    </w:pPr>
    <w:rPr>
      <w:lang w:val="zh-CN"/>
    </w:rPr>
  </w:style>
  <w:style w:type="paragraph" w:styleId="16">
    <w:name w:val="Body Text First Indent 2"/>
    <w:basedOn w:val="7"/>
    <w:next w:val="1"/>
    <w:autoRedefine/>
    <w:qFormat/>
    <w:uiPriority w:val="0"/>
    <w:pPr>
      <w:ind w:firstLine="420" w:firstLineChars="200"/>
    </w:pPr>
    <w:rPr>
      <w:rFonts w:ascii="Calibri" w:hAnsi="Calibri" w:eastAsia="宋体" w:cs="Times New Roman"/>
      <w:sz w:val="32"/>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
    <w:name w:val="xl27"/>
    <w:basedOn w:val="1"/>
    <w:qFormat/>
    <w:uiPriority w:val="99"/>
    <w:pPr>
      <w:widowControl/>
      <w:pBdr>
        <w:bottom w:val="single" w:color="auto" w:sz="4" w:space="0"/>
        <w:right w:val="single" w:color="auto" w:sz="4" w:space="0"/>
      </w:pBdr>
      <w:spacing w:before="100" w:beforeAutospacing="1" w:after="100" w:afterAutospacing="1" w:line="240" w:lineRule="auto"/>
      <w:jc w:val="center"/>
    </w:pPr>
    <w:rPr>
      <w:kern w:val="0"/>
      <w:sz w:val="21"/>
      <w:szCs w:val="21"/>
    </w:rPr>
  </w:style>
  <w:style w:type="paragraph" w:customStyle="1" w:styleId="22">
    <w:name w:val="（正文）"/>
    <w:basedOn w:val="1"/>
    <w:qFormat/>
    <w:uiPriority w:val="0"/>
    <w:pPr>
      <w:ind w:firstLine="200" w:firstLineChars="200"/>
    </w:pPr>
    <w:rPr>
      <w:rFonts w:asciiTheme="minorHAnsi" w:hAnsiTheme="minorHAnsi" w:eastAsiaTheme="minorEastAsia" w:cstheme="minorBidi"/>
      <w:kern w:val="2"/>
      <w:szCs w:val="22"/>
    </w:rPr>
  </w:style>
  <w:style w:type="table" w:customStyle="1" w:styleId="23">
    <w:name w:val="Table Normal"/>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4">
    <w:name w:val="S表标题"/>
    <w:next w:val="25"/>
    <w:qFormat/>
    <w:uiPriority w:val="0"/>
    <w:pPr>
      <w:keepNext/>
      <w:keepLines/>
      <w:widowControl w:val="0"/>
      <w:numPr>
        <w:ilvl w:val="4"/>
        <w:numId w:val="1"/>
      </w:numPr>
      <w:wordWrap w:val="0"/>
      <w:spacing w:before="50" w:beforeLines="50" w:after="50" w:afterLines="50"/>
      <w:ind w:left="0"/>
      <w:jc w:val="center"/>
    </w:pPr>
    <w:rPr>
      <w:rFonts w:ascii="Times New Roman" w:hAnsi="Times New Roman" w:eastAsia="宋体" w:cs="Times New Roman"/>
      <w:b/>
      <w:kern w:val="2"/>
      <w:sz w:val="21"/>
      <w:szCs w:val="32"/>
      <w:lang w:val="en-US" w:eastAsia="zh-CN" w:bidi="ar-SA"/>
    </w:rPr>
  </w:style>
  <w:style w:type="paragraph" w:customStyle="1" w:styleId="25">
    <w:name w:val="S正文"/>
    <w:basedOn w:val="1"/>
    <w:qFormat/>
    <w:uiPriority w:val="0"/>
    <w:rPr>
      <w:rFonts w:cs="Times New Roman"/>
    </w:rPr>
  </w:style>
  <w:style w:type="paragraph" w:customStyle="1" w:styleId="26">
    <w:name w:val="S表正文"/>
    <w:basedOn w:val="14"/>
    <w:qFormat/>
    <w:uiPriority w:val="0"/>
    <w:pPr>
      <w:keepNext w:val="0"/>
      <w:keepLines w:val="0"/>
      <w:spacing w:before="0" w:beforeLines="0" w:after="0" w:afterLines="0"/>
    </w:pPr>
    <w:rPr>
      <w:rFonts w:cs="Times New Roman"/>
      <w:b w:val="0"/>
    </w:rPr>
  </w:style>
  <w:style w:type="character" w:customStyle="1" w:styleId="27">
    <w:name w:val="样式 正文文本 2lifr 正文 + 宋体 Char"/>
    <w:link w:val="28"/>
    <w:qFormat/>
    <w:uiPriority w:val="0"/>
    <w:rPr>
      <w:kern w:val="0"/>
    </w:rPr>
  </w:style>
  <w:style w:type="paragraph" w:customStyle="1" w:styleId="28">
    <w:name w:val="样式 正文文本 2lifr 正文 + 宋体"/>
    <w:basedOn w:val="12"/>
    <w:link w:val="27"/>
    <w:qFormat/>
    <w:uiPriority w:val="0"/>
    <w:rPr>
      <w:kern w:val="0"/>
    </w:rPr>
  </w:style>
  <w:style w:type="paragraph" w:customStyle="1" w:styleId="29">
    <w:name w:val="表文字"/>
    <w:basedOn w:val="1"/>
    <w:qFormat/>
    <w:uiPriority w:val="0"/>
    <w:pPr>
      <w:overflowPunct w:val="0"/>
      <w:autoSpaceDE w:val="0"/>
      <w:autoSpaceDN w:val="0"/>
      <w:adjustRightInd w:val="0"/>
      <w:spacing w:line="240" w:lineRule="atLeast"/>
      <w:jc w:val="center"/>
      <w:textAlignment w:val="baseline"/>
    </w:pPr>
    <w:rPr>
      <w:kern w:val="0"/>
    </w:rPr>
  </w:style>
  <w:style w:type="character" w:customStyle="1" w:styleId="30">
    <w:name w:val="font01"/>
    <w:basedOn w:val="19"/>
    <w:qFormat/>
    <w:uiPriority w:val="0"/>
    <w:rPr>
      <w:rFonts w:hint="eastAsia" w:ascii="宋体" w:hAnsi="宋体" w:eastAsia="宋体" w:cs="宋体"/>
      <w:color w:val="000000"/>
      <w:sz w:val="22"/>
      <w:szCs w:val="22"/>
      <w:u w:val="none"/>
    </w:rPr>
  </w:style>
  <w:style w:type="paragraph" w:customStyle="1" w:styleId="31">
    <w:name w:val="Table Paragraph"/>
    <w:qFormat/>
    <w:uiPriority w:val="1"/>
    <w:pPr>
      <w:widowControl w:val="0"/>
      <w:adjustRightInd w:val="0"/>
      <w:snapToGrid w:val="0"/>
      <w:spacing w:line="240" w:lineRule="auto"/>
      <w:ind w:firstLine="0" w:firstLineChars="0"/>
      <w:jc w:val="both"/>
    </w:pPr>
    <w:rPr>
      <w:rFonts w:ascii="Times New Roman" w:hAnsi="Times New Roman" w:eastAsia="仿宋_GB2312" w:cs="仿宋"/>
      <w:kern w:val="2"/>
      <w:sz w:val="24"/>
      <w:szCs w:val="24"/>
      <w:lang w:val="en-US" w:eastAsia="zh-CN" w:bidi="ar-SA"/>
    </w:rPr>
  </w:style>
  <w:style w:type="paragraph" w:customStyle="1" w:styleId="32">
    <w:name w:val="操作-表文"/>
    <w:basedOn w:val="33"/>
    <w:qFormat/>
    <w:uiPriority w:val="0"/>
    <w:pPr>
      <w:widowControl w:val="0"/>
      <w:spacing w:line="240" w:lineRule="auto"/>
      <w:ind w:firstLine="0" w:firstLineChars="0"/>
      <w:jc w:val="center"/>
    </w:pPr>
    <w:rPr>
      <w:rFonts w:ascii="仿宋" w:hAnsi="仿宋" w:eastAsia="黑体" w:cs="仿宋"/>
      <w:kern w:val="2"/>
      <w:sz w:val="28"/>
      <w:szCs w:val="24"/>
      <w:lang w:val="en-US" w:eastAsia="zh-CN" w:bidi="ar-SA"/>
    </w:rPr>
  </w:style>
  <w:style w:type="paragraph" w:customStyle="1" w:styleId="33">
    <w:name w:val="操作规程-正文"/>
    <w:basedOn w:val="1"/>
    <w:qFormat/>
    <w:uiPriority w:val="0"/>
    <w:pPr>
      <w:spacing w:line="360" w:lineRule="auto"/>
      <w:ind w:firstLine="640" w:firstLineChars="200"/>
      <w:jc w:val="both"/>
    </w:pPr>
    <w:rPr>
      <w:rFonts w:ascii="仿宋" w:hAnsi="仿宋" w:eastAsia="仿宋" w:cs="仿宋"/>
      <w:kern w:val="2"/>
      <w:sz w:val="28"/>
      <w:szCs w:val="32"/>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3306</Words>
  <Characters>5206</Characters>
  <Lines>0</Lines>
  <Paragraphs>0</Paragraphs>
  <TotalTime>69</TotalTime>
  <ScaleCrop>false</ScaleCrop>
  <LinksUpToDate>false</LinksUpToDate>
  <CharactersWithSpaces>5305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2022-02-12T03:05:00Z</dcterms:created>
  <dc:creator>Hyupunos</dc:creator>
  <cp:lastModifiedBy>gwh</cp:lastModifiedBy>
  <dcterms:modified xsi:type="dcterms:W3CDTF">2026-07-06T09:01:04Z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E7AEFDA6D2B741D1A944223E41B28494</vt:lpwstr>
  </property>
  <property fmtid="{D5CDD505-2E9C-101B-9397-08002B2CF9AE}" pid="4" name="KSOTemplateDocerSaveRecord">
    <vt:lpwstr>eyJoZGlkIjoiOTE5ZTkwZWQwYjBmZDU3ODkwODQxNDlmNDFjMjNkYjciLCJ1c2VySWQiOiIzMzQyMzQ2MTUifQ==</vt:lpwstr>
  </property>
</Properties>
</file>