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ascii="仿宋_GB2312" w:hAnsi="仿宋_GB2312" w:eastAsia="仿宋_GB2312" w:cs="仿宋_GB2312"/>
          <w:spacing w:val="28"/>
          <w:sz w:val="36"/>
          <w:szCs w:val="36"/>
          <w:lang w:val="en-US" w:eastAsia="zh-CN"/>
        </w:rPr>
      </w:pPr>
      <w:bookmarkStart w:id="0" w:name="_Hlk8504611"/>
      <w:r>
        <w:rPr>
          <w:rFonts w:hint="eastAsia" w:ascii="仿宋_GB2312" w:hAnsi="仿宋_GB2312" w:eastAsia="仿宋_GB2312" w:cs="仿宋_GB2312"/>
          <w:spacing w:val="28"/>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default" w:ascii="Times New Roman" w:hAnsi="Times New Roman" w:eastAsia="宋体" w:cs="Times New Roman"/>
          <w:b/>
          <w:bCs/>
          <w:color w:val="auto"/>
          <w:spacing w:val="28"/>
          <w:sz w:val="48"/>
          <w:szCs w:val="48"/>
          <w:lang w:val="en-US" w:eastAsia="zh-CN"/>
        </w:rPr>
      </w:pPr>
      <w:r>
        <w:rPr>
          <w:rFonts w:hint="default" w:ascii="Times New Roman" w:hAnsi="Times New Roman" w:eastAsia="宋体" w:cs="Times New Roman"/>
          <w:b/>
          <w:bCs/>
          <w:color w:val="auto"/>
          <w:spacing w:val="28"/>
          <w:sz w:val="48"/>
          <w:szCs w:val="48"/>
          <w:lang w:val="en-US" w:eastAsia="zh-CN"/>
        </w:rPr>
        <w:t>新晃产业开发区管理委员会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default" w:ascii="Times New Roman" w:hAnsi="Times New Roman" w:eastAsia="宋体" w:cs="Times New Roman"/>
          <w:b/>
          <w:bCs/>
          <w:color w:val="auto"/>
          <w:spacing w:val="28"/>
          <w:sz w:val="48"/>
          <w:szCs w:val="48"/>
          <w:lang w:val="en-US" w:eastAsia="zh-CN"/>
        </w:rPr>
      </w:pPr>
      <w:r>
        <w:rPr>
          <w:rFonts w:hint="default" w:ascii="Times New Roman" w:hAnsi="Times New Roman" w:eastAsia="宋体" w:cs="Times New Roman"/>
          <w:b/>
          <w:bCs/>
          <w:color w:val="auto"/>
          <w:spacing w:val="28"/>
          <w:sz w:val="48"/>
          <w:szCs w:val="48"/>
          <w:lang w:val="en-US" w:eastAsia="zh-CN"/>
        </w:rPr>
        <w:t>生态环境管理202</w:t>
      </w:r>
      <w:r>
        <w:rPr>
          <w:rFonts w:hint="eastAsia" w:ascii="Times New Roman" w:hAnsi="Times New Roman" w:eastAsia="宋体" w:cs="Times New Roman"/>
          <w:b/>
          <w:bCs/>
          <w:color w:val="auto"/>
          <w:spacing w:val="28"/>
          <w:sz w:val="48"/>
          <w:szCs w:val="48"/>
          <w:lang w:val="en-US" w:eastAsia="zh-CN"/>
        </w:rPr>
        <w:t>3</w:t>
      </w:r>
      <w:r>
        <w:rPr>
          <w:rFonts w:hint="default" w:ascii="Times New Roman" w:hAnsi="Times New Roman" w:eastAsia="宋体" w:cs="Times New Roman"/>
          <w:b/>
          <w:bCs/>
          <w:color w:val="auto"/>
          <w:spacing w:val="28"/>
          <w:sz w:val="48"/>
          <w:szCs w:val="48"/>
          <w:lang w:val="en-US" w:eastAsia="zh-CN"/>
        </w:rPr>
        <w:t>年度</w:t>
      </w:r>
    </w:p>
    <w:p>
      <w:pPr>
        <w:pStyle w:val="16"/>
        <w:rPr>
          <w:rFonts w:hint="default" w:ascii="Times New Roman" w:hAnsi="Times New Roman" w:eastAsia="宋体"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default" w:ascii="Times New Roman" w:hAnsi="Times New Roman" w:eastAsia="宋体" w:cs="Times New Roman"/>
          <w:b/>
          <w:bCs/>
          <w:color w:val="auto"/>
          <w:spacing w:val="28"/>
          <w:sz w:val="48"/>
          <w:szCs w:val="48"/>
          <w:lang w:val="en-US" w:eastAsia="zh-CN"/>
        </w:rPr>
      </w:pPr>
      <w:r>
        <w:rPr>
          <w:rFonts w:hint="default" w:ascii="Times New Roman" w:hAnsi="Times New Roman" w:eastAsia="宋体" w:cs="Times New Roman"/>
          <w:b/>
          <w:bCs/>
          <w:color w:val="auto"/>
          <w:spacing w:val="28"/>
          <w:sz w:val="48"/>
          <w:szCs w:val="48"/>
          <w:lang w:val="en-US" w:eastAsia="zh-CN"/>
        </w:rPr>
        <w:t>自</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default" w:ascii="Times New Roman" w:hAnsi="Times New Roman" w:eastAsia="宋体" w:cs="Times New Roman"/>
          <w:b/>
          <w:bCs/>
          <w:color w:val="auto"/>
          <w:spacing w:val="28"/>
          <w:sz w:val="48"/>
          <w:szCs w:val="48"/>
          <w:lang w:val="en-US" w:eastAsia="zh-CN"/>
        </w:rPr>
      </w:pPr>
      <w:r>
        <w:rPr>
          <w:rFonts w:hint="default" w:ascii="Times New Roman" w:hAnsi="Times New Roman" w:eastAsia="宋体" w:cs="Times New Roman"/>
          <w:b/>
          <w:bCs/>
          <w:color w:val="auto"/>
          <w:spacing w:val="28"/>
          <w:sz w:val="48"/>
          <w:szCs w:val="48"/>
          <w:lang w:val="en-US" w:eastAsia="zh-CN"/>
        </w:rPr>
        <w:t>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default" w:ascii="Times New Roman" w:hAnsi="Times New Roman" w:eastAsia="宋体" w:cs="Times New Roman"/>
          <w:b/>
          <w:bCs/>
          <w:color w:val="auto"/>
          <w:spacing w:val="28"/>
          <w:sz w:val="48"/>
          <w:szCs w:val="48"/>
          <w:lang w:val="en-US" w:eastAsia="zh-CN"/>
        </w:rPr>
      </w:pPr>
      <w:r>
        <w:rPr>
          <w:rFonts w:hint="default" w:ascii="Times New Roman" w:hAnsi="Times New Roman" w:eastAsia="宋体" w:cs="Times New Roman"/>
          <w:b/>
          <w:bCs/>
          <w:color w:val="auto"/>
          <w:spacing w:val="28"/>
          <w:sz w:val="48"/>
          <w:szCs w:val="48"/>
          <w:lang w:val="en-US" w:eastAsia="zh-CN"/>
        </w:rPr>
        <w:t>估</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default" w:ascii="Times New Roman" w:hAnsi="Times New Roman" w:eastAsia="宋体" w:cs="Times New Roman"/>
          <w:b/>
          <w:bCs/>
          <w:color w:val="auto"/>
          <w:spacing w:val="28"/>
          <w:sz w:val="48"/>
          <w:szCs w:val="48"/>
          <w:lang w:val="en-US" w:eastAsia="zh-CN"/>
        </w:rPr>
      </w:pPr>
      <w:r>
        <w:rPr>
          <w:rFonts w:hint="default" w:ascii="Times New Roman" w:hAnsi="Times New Roman" w:eastAsia="宋体" w:cs="Times New Roman"/>
          <w:b/>
          <w:bCs/>
          <w:color w:val="auto"/>
          <w:spacing w:val="28"/>
          <w:sz w:val="48"/>
          <w:szCs w:val="48"/>
          <w:lang w:val="en-US" w:eastAsia="zh-CN"/>
        </w:rPr>
        <w:t>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default" w:ascii="Times New Roman" w:hAnsi="Times New Roman" w:eastAsia="宋体" w:cs="Times New Roman"/>
          <w:b/>
          <w:bCs/>
          <w:color w:val="auto"/>
          <w:spacing w:val="28"/>
          <w:sz w:val="48"/>
          <w:szCs w:val="48"/>
          <w:lang w:val="en-US" w:eastAsia="zh-CN"/>
        </w:rPr>
      </w:pPr>
      <w:r>
        <w:rPr>
          <w:rFonts w:hint="default" w:ascii="Times New Roman" w:hAnsi="Times New Roman" w:eastAsia="宋体" w:cs="Times New Roman"/>
          <w:b/>
          <w:bCs/>
          <w:color w:val="auto"/>
          <w:spacing w:val="28"/>
          <w:sz w:val="48"/>
          <w:szCs w:val="48"/>
          <w:lang w:val="en-US" w:eastAsia="zh-CN"/>
        </w:rPr>
        <w:t>告</w:t>
      </w:r>
    </w:p>
    <w:p>
      <w:pPr>
        <w:rPr>
          <w:rFonts w:hint="default" w:ascii="Times New Roman" w:hAnsi="Times New Roman" w:eastAsia="宋体" w:cs="Times New Roman"/>
          <w:b/>
          <w:bCs/>
          <w:color w:val="auto"/>
          <w:spacing w:val="28"/>
          <w:sz w:val="40"/>
          <w:szCs w:val="40"/>
          <w:lang w:val="en-US" w:eastAsia="zh-CN"/>
        </w:rPr>
      </w:pPr>
    </w:p>
    <w:p>
      <w:pPr>
        <w:rPr>
          <w:rFonts w:hint="default" w:ascii="Times New Roman" w:hAnsi="Times New Roman" w:eastAsia="宋体" w:cs="Times New Roman"/>
          <w:b/>
          <w:bCs/>
          <w:color w:val="auto"/>
          <w:spacing w:val="28"/>
          <w:sz w:val="40"/>
          <w:szCs w:val="40"/>
          <w:lang w:val="en-US" w:eastAsia="zh-CN"/>
        </w:rPr>
      </w:pPr>
    </w:p>
    <w:p>
      <w:pPr>
        <w:pStyle w:val="16"/>
        <w:rPr>
          <w:rFonts w:hint="default" w:ascii="Times New Roman" w:hAnsi="Times New Roman" w:eastAsia="宋体" w:cs="Times New Roman"/>
          <w:color w:val="auto"/>
          <w:lang w:val="en-US" w:eastAsia="zh-CN"/>
        </w:rPr>
      </w:pPr>
    </w:p>
    <w:p>
      <w:pPr>
        <w:rPr>
          <w:rFonts w:hint="default" w:ascii="Times New Roman" w:hAnsi="Times New Roman" w:eastAsia="宋体" w:cs="Times New Roman"/>
          <w:b/>
          <w:bCs/>
          <w:color w:val="auto"/>
          <w:spacing w:val="28"/>
          <w:sz w:val="40"/>
          <w:szCs w:val="40"/>
          <w:lang w:val="en-US" w:eastAsia="zh-CN"/>
        </w:rPr>
      </w:pPr>
    </w:p>
    <w:p>
      <w:pPr>
        <w:rPr>
          <w:rFonts w:hint="default" w:ascii="Times New Roman" w:hAnsi="Times New Roman" w:eastAsia="宋体" w:cs="Times New Roman"/>
          <w:b/>
          <w:bCs/>
          <w:color w:val="auto"/>
          <w:spacing w:val="28"/>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jc w:val="center"/>
        <w:textAlignment w:val="auto"/>
        <w:rPr>
          <w:rFonts w:hint="default" w:ascii="Times New Roman" w:hAnsi="Times New Roman" w:eastAsia="宋体" w:cs="Times New Roman"/>
          <w:b/>
          <w:bCs/>
          <w:color w:val="auto"/>
          <w:spacing w:val="28"/>
          <w:sz w:val="32"/>
          <w:szCs w:val="32"/>
          <w:lang w:val="en-US" w:eastAsia="zh-CN"/>
        </w:rPr>
      </w:pPr>
      <w:r>
        <w:rPr>
          <w:rFonts w:hint="default" w:ascii="Times New Roman" w:hAnsi="Times New Roman" w:eastAsia="宋体" w:cs="Times New Roman"/>
          <w:b/>
          <w:bCs/>
          <w:color w:val="auto"/>
          <w:spacing w:val="28"/>
          <w:sz w:val="32"/>
          <w:szCs w:val="32"/>
          <w:lang w:val="en-US" w:eastAsia="zh-CN"/>
        </w:rPr>
        <w:t>编制单位：新晃产业开发区管理委员会</w:t>
      </w:r>
      <w:r>
        <w:rPr>
          <w:rFonts w:hint="default" w:ascii="Times New Roman" w:hAnsi="Times New Roman" w:eastAsia="宋体" w:cs="Times New Roman"/>
          <w:b/>
          <w:bCs/>
          <w:color w:val="auto"/>
          <w:spacing w:val="0"/>
          <w:sz w:val="32"/>
          <w:szCs w:val="32"/>
          <w:lang w:eastAsia="zh-CN"/>
        </w:rPr>
        <w:t>（</w:t>
      </w:r>
      <w:r>
        <w:rPr>
          <w:rFonts w:hint="default" w:ascii="Times New Roman" w:hAnsi="Times New Roman" w:eastAsia="宋体" w:cs="Times New Roman"/>
          <w:b/>
          <w:bCs/>
          <w:color w:val="auto"/>
          <w:spacing w:val="0"/>
          <w:sz w:val="32"/>
          <w:szCs w:val="32"/>
          <w:lang w:val="en-US" w:eastAsia="zh-CN"/>
        </w:rPr>
        <w:t>盖章）</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jc w:val="center"/>
        <w:textAlignment w:val="auto"/>
        <w:rPr>
          <w:rFonts w:hint="default" w:ascii="Times New Roman" w:hAnsi="Times New Roman" w:eastAsia="宋体" w:cs="Times New Roman"/>
          <w:b/>
          <w:bCs/>
          <w:color w:val="auto"/>
          <w:spacing w:val="28"/>
          <w:sz w:val="32"/>
          <w:szCs w:val="32"/>
          <w:lang w:val="en-US" w:eastAsia="zh-CN"/>
        </w:rPr>
      </w:pPr>
      <w:r>
        <w:rPr>
          <w:rFonts w:hint="default" w:ascii="Times New Roman" w:hAnsi="Times New Roman" w:eastAsia="宋体" w:cs="Times New Roman"/>
          <w:b/>
          <w:bCs/>
          <w:color w:val="auto"/>
          <w:spacing w:val="28"/>
          <w:sz w:val="32"/>
          <w:szCs w:val="32"/>
          <w:lang w:val="en-US" w:eastAsia="zh-CN"/>
        </w:rPr>
        <w:t>202</w:t>
      </w:r>
      <w:r>
        <w:rPr>
          <w:rFonts w:hint="eastAsia" w:ascii="Times New Roman" w:hAnsi="Times New Roman" w:eastAsia="宋体" w:cs="Times New Roman"/>
          <w:b/>
          <w:bCs/>
          <w:color w:val="auto"/>
          <w:spacing w:val="28"/>
          <w:sz w:val="32"/>
          <w:szCs w:val="32"/>
          <w:lang w:val="en-US" w:eastAsia="zh-CN"/>
        </w:rPr>
        <w:t>4</w:t>
      </w:r>
      <w:r>
        <w:rPr>
          <w:rFonts w:hint="default" w:ascii="Times New Roman" w:hAnsi="Times New Roman" w:eastAsia="宋体" w:cs="Times New Roman"/>
          <w:b/>
          <w:bCs/>
          <w:color w:val="auto"/>
          <w:spacing w:val="28"/>
          <w:sz w:val="32"/>
          <w:szCs w:val="32"/>
          <w:lang w:val="en-US" w:eastAsia="zh-CN"/>
        </w:rPr>
        <w:t>年</w:t>
      </w:r>
      <w:r>
        <w:rPr>
          <w:rFonts w:hint="eastAsia" w:ascii="Times New Roman" w:hAnsi="Times New Roman" w:eastAsia="宋体" w:cs="Times New Roman"/>
          <w:b/>
          <w:bCs/>
          <w:color w:val="auto"/>
          <w:spacing w:val="28"/>
          <w:sz w:val="32"/>
          <w:szCs w:val="32"/>
          <w:lang w:val="en-US" w:eastAsia="zh-CN"/>
        </w:rPr>
        <w:t>2</w:t>
      </w:r>
      <w:r>
        <w:rPr>
          <w:rFonts w:hint="default" w:ascii="Times New Roman" w:hAnsi="Times New Roman" w:eastAsia="宋体" w:cs="Times New Roman"/>
          <w:b/>
          <w:bCs/>
          <w:color w:val="auto"/>
          <w:spacing w:val="28"/>
          <w:sz w:val="32"/>
          <w:szCs w:val="32"/>
          <w:lang w:val="en-US" w:eastAsia="zh-CN"/>
        </w:rPr>
        <w:t>月</w:t>
      </w:r>
    </w:p>
    <w:p>
      <w:pPr>
        <w:pStyle w:val="20"/>
        <w:rPr>
          <w:rFonts w:hint="default" w:ascii="Times New Roman" w:hAnsi="Times New Roman" w:eastAsia="宋体" w:cs="Times New Roman"/>
          <w:b/>
          <w:bCs/>
          <w:color w:val="auto"/>
          <w:spacing w:val="28"/>
          <w:sz w:val="32"/>
          <w:szCs w:val="32"/>
          <w:lang w:val="en-US" w:eastAsia="zh-CN"/>
        </w:rPr>
      </w:pPr>
    </w:p>
    <w:p>
      <w:pPr>
        <w:pStyle w:val="20"/>
        <w:rPr>
          <w:rFonts w:hint="default" w:ascii="Times New Roman" w:hAnsi="Times New Roman" w:eastAsia="宋体" w:cs="Times New Roman"/>
          <w:b/>
          <w:bCs/>
          <w:color w:val="auto"/>
          <w:spacing w:val="28"/>
          <w:sz w:val="32"/>
          <w:szCs w:val="32"/>
          <w:lang w:val="en-US" w:eastAsia="zh-CN"/>
        </w:rPr>
        <w:sectPr>
          <w:footerReference r:id="rId3" w:type="default"/>
          <w:pgSz w:w="11906" w:h="16838"/>
          <w:pgMar w:top="1440" w:right="1440" w:bottom="1803"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0"/>
        <w:rPr>
          <w:rFonts w:hint="default" w:ascii="Times New Roman" w:hAnsi="Times New Roman" w:eastAsia="宋体" w:cs="Times New Roman"/>
          <w:b/>
          <w:bCs/>
          <w:color w:val="auto"/>
          <w:spacing w:val="28"/>
          <w:sz w:val="32"/>
          <w:szCs w:val="32"/>
          <w:lang w:val="en-US" w:eastAsia="zh-CN"/>
        </w:rPr>
      </w:pPr>
    </w:p>
    <w:sdt>
      <w:sdtPr>
        <w:rPr>
          <w:rFonts w:hint="default" w:ascii="Times New Roman" w:hAnsi="Times New Roman" w:eastAsia="宋体" w:cs="Times New Roman"/>
          <w:kern w:val="2"/>
          <w:sz w:val="44"/>
          <w:szCs w:val="44"/>
          <w:lang w:val="en-US" w:eastAsia="zh-CN" w:bidi="ar-SA"/>
        </w:rPr>
        <w:id w:val="147472465"/>
        <w15:color w:val="DBDBDB"/>
        <w:docPartObj>
          <w:docPartGallery w:val="Table of Contents"/>
          <w:docPartUnique/>
        </w:docPartObj>
      </w:sdtPr>
      <w:sdtEndPr>
        <w:rPr>
          <w:rFonts w:hint="default" w:ascii="Times New Roman" w:hAnsi="Times New Roman" w:eastAsia="宋体" w:cs="Times New Roman"/>
          <w:b/>
          <w:bCs/>
          <w:color w:val="auto"/>
          <w:spacing w:val="28"/>
          <w:kern w:val="2"/>
          <w:sz w:val="24"/>
          <w:szCs w:val="3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sz w:val="40"/>
              <w:szCs w:val="40"/>
            </w:rPr>
          </w:pPr>
          <w:r>
            <w:rPr>
              <w:rFonts w:hint="default" w:ascii="Times New Roman" w:hAnsi="Times New Roman" w:eastAsia="宋体" w:cs="Times New Roman"/>
              <w:sz w:val="40"/>
              <w:szCs w:val="40"/>
            </w:rPr>
            <w:t>目录</w:t>
          </w:r>
        </w:p>
        <w:p>
          <w:pPr>
            <w:pStyle w:val="10"/>
            <w:tabs>
              <w:tab w:val="right" w:leader="dot" w:pos="8666"/>
            </w:tabs>
          </w:pPr>
          <w:r>
            <w:rPr>
              <w:rFonts w:hint="default" w:ascii="Times New Roman" w:hAnsi="Times New Roman" w:eastAsia="宋体" w:cs="Times New Roman"/>
              <w:b/>
              <w:bCs/>
              <w:color w:val="auto"/>
              <w:spacing w:val="28"/>
              <w:sz w:val="24"/>
              <w:szCs w:val="24"/>
              <w:lang w:val="en-US" w:eastAsia="zh-CN"/>
            </w:rPr>
            <w:fldChar w:fldCharType="begin"/>
          </w:r>
          <w:r>
            <w:rPr>
              <w:rFonts w:hint="default" w:ascii="Times New Roman" w:hAnsi="Times New Roman" w:eastAsia="宋体" w:cs="Times New Roman"/>
              <w:b/>
              <w:bCs/>
              <w:color w:val="auto"/>
              <w:spacing w:val="28"/>
              <w:sz w:val="24"/>
              <w:szCs w:val="24"/>
              <w:lang w:val="en-US" w:eastAsia="zh-CN"/>
            </w:rPr>
            <w:instrText xml:space="preserve">TOC \o "1-2" \h \u </w:instrText>
          </w:r>
          <w:r>
            <w:rPr>
              <w:rFonts w:hint="default" w:ascii="Times New Roman" w:hAnsi="Times New Roman" w:eastAsia="宋体" w:cs="Times New Roman"/>
              <w:b/>
              <w:bCs/>
              <w:color w:val="auto"/>
              <w:spacing w:val="28"/>
              <w:sz w:val="24"/>
              <w:szCs w:val="24"/>
              <w:lang w:val="en-US" w:eastAsia="zh-CN"/>
            </w:rPr>
            <w:fldChar w:fldCharType="separate"/>
          </w: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_Toc31622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szCs w:val="20"/>
            </w:rPr>
            <w:t>一、园区概况</w:t>
          </w:r>
          <w:r>
            <w:tab/>
          </w:r>
          <w:r>
            <w:fldChar w:fldCharType="begin"/>
          </w:r>
          <w:r>
            <w:instrText xml:space="preserve"> PAGEREF _Toc31622 \h </w:instrText>
          </w:r>
          <w:r>
            <w:fldChar w:fldCharType="separate"/>
          </w:r>
          <w:r>
            <w:t>1</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_Toc7317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1.1园区简介</w:t>
          </w:r>
          <w:r>
            <w:tab/>
          </w:r>
          <w:r>
            <w:fldChar w:fldCharType="begin"/>
          </w:r>
          <w:r>
            <w:instrText xml:space="preserve"> PAGEREF _Toc7317 \h </w:instrText>
          </w:r>
          <w:r>
            <w:fldChar w:fldCharType="separate"/>
          </w:r>
          <w:r>
            <w:t>1</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_Toc27880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1.2园区规划环评批复情况</w:t>
          </w:r>
          <w:r>
            <w:tab/>
          </w:r>
          <w:r>
            <w:fldChar w:fldCharType="begin"/>
          </w:r>
          <w:r>
            <w:instrText xml:space="preserve"> PAGEREF _Toc27880 \h </w:instrText>
          </w:r>
          <w:r>
            <w:fldChar w:fldCharType="separate"/>
          </w:r>
          <w:r>
            <w:t>1</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_Toc18267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1.3园区经济发展概况</w:t>
          </w:r>
          <w:r>
            <w:tab/>
          </w:r>
          <w:r>
            <w:fldChar w:fldCharType="begin"/>
          </w:r>
          <w:r>
            <w:instrText xml:space="preserve"> PAGEREF _Toc18267 \h </w:instrText>
          </w:r>
          <w:r>
            <w:fldChar w:fldCharType="separate"/>
          </w:r>
          <w:r>
            <w:t>2</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_Toc25576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1.4园区企业环保手续情况</w:t>
          </w:r>
          <w:r>
            <w:tab/>
          </w:r>
          <w:r>
            <w:fldChar w:fldCharType="begin"/>
          </w:r>
          <w:r>
            <w:instrText xml:space="preserve"> PAGEREF _Toc25576 \h </w:instrText>
          </w:r>
          <w:r>
            <w:fldChar w:fldCharType="separate"/>
          </w:r>
          <w:r>
            <w:t>2</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_Toc8190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1.5园区主要污染物总量控制情况</w:t>
          </w:r>
          <w:r>
            <w:tab/>
          </w:r>
          <w:r>
            <w:fldChar w:fldCharType="begin"/>
          </w:r>
          <w:r>
            <w:instrText xml:space="preserve"> PAGEREF _Toc8190 \h </w:instrText>
          </w:r>
          <w:r>
            <w:fldChar w:fldCharType="separate"/>
          </w:r>
          <w:r>
            <w:t>7</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0"/>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_Toc13882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szCs w:val="20"/>
            </w:rPr>
            <w:t>二、环境管理情况</w:t>
          </w:r>
          <w:r>
            <w:tab/>
          </w:r>
          <w:r>
            <w:fldChar w:fldCharType="begin"/>
          </w:r>
          <w:r>
            <w:instrText xml:space="preserve"> PAGEREF _Toc13882 \h </w:instrText>
          </w:r>
          <w:r>
            <w:fldChar w:fldCharType="separate"/>
          </w:r>
          <w:r>
            <w:t>8</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_Toc21763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2.1规划环评批复要求落实情况</w:t>
          </w:r>
          <w:r>
            <w:tab/>
          </w:r>
          <w:r>
            <w:fldChar w:fldCharType="begin"/>
          </w:r>
          <w:r>
            <w:instrText xml:space="preserve"> PAGEREF _Toc21763 \h </w:instrText>
          </w:r>
          <w:r>
            <w:fldChar w:fldCharType="separate"/>
          </w:r>
          <w:r>
            <w:t>8</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_Toc20832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2.2“三线一单”落地应用情况</w:t>
          </w:r>
          <w:r>
            <w:tab/>
          </w:r>
          <w:r>
            <w:fldChar w:fldCharType="begin"/>
          </w:r>
          <w:r>
            <w:instrText xml:space="preserve"> PAGEREF _Toc20832 \h </w:instrText>
          </w:r>
          <w:r>
            <w:fldChar w:fldCharType="separate"/>
          </w:r>
          <w:r>
            <w:t>12</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_Toc6802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2.3水环境管理</w:t>
          </w:r>
          <w:r>
            <w:tab/>
          </w:r>
          <w:r>
            <w:fldChar w:fldCharType="begin"/>
          </w:r>
          <w:r>
            <w:instrText xml:space="preserve"> PAGEREF _Toc6802 \h </w:instrText>
          </w:r>
          <w:r>
            <w:fldChar w:fldCharType="separate"/>
          </w:r>
          <w:r>
            <w:t>21</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_Toc27342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2.4大气环境管理</w:t>
          </w:r>
          <w:r>
            <w:tab/>
          </w:r>
          <w:r>
            <w:fldChar w:fldCharType="begin"/>
          </w:r>
          <w:r>
            <w:instrText xml:space="preserve"> PAGEREF _Toc27342 \h </w:instrText>
          </w:r>
          <w:r>
            <w:fldChar w:fldCharType="separate"/>
          </w:r>
          <w:r>
            <w:t>22</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_Toc658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2.5土壤环境管理</w:t>
          </w:r>
          <w:r>
            <w:tab/>
          </w:r>
          <w:r>
            <w:fldChar w:fldCharType="begin"/>
          </w:r>
          <w:r>
            <w:instrText xml:space="preserve"> PAGEREF _Toc658 \h </w:instrText>
          </w:r>
          <w:r>
            <w:fldChar w:fldCharType="separate"/>
          </w:r>
          <w:r>
            <w:t>23</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_Toc15882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2.6固体废物管理</w:t>
          </w:r>
          <w:r>
            <w:tab/>
          </w:r>
          <w:r>
            <w:fldChar w:fldCharType="begin"/>
          </w:r>
          <w:r>
            <w:instrText xml:space="preserve"> PAGEREF _Toc15882 \h </w:instrText>
          </w:r>
          <w:r>
            <w:fldChar w:fldCharType="separate"/>
          </w:r>
          <w:r>
            <w:t>23</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_Toc28360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2.7投诉管理</w:t>
          </w:r>
          <w:r>
            <w:tab/>
          </w:r>
          <w:r>
            <w:fldChar w:fldCharType="begin"/>
          </w:r>
          <w:r>
            <w:instrText xml:space="preserve"> PAGEREF _Toc28360 \h </w:instrText>
          </w:r>
          <w:r>
            <w:fldChar w:fldCharType="separate"/>
          </w:r>
          <w:r>
            <w:t>24</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_Toc12499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2.8园区信用评价</w:t>
          </w:r>
          <w:r>
            <w:tab/>
          </w:r>
          <w:r>
            <w:fldChar w:fldCharType="begin"/>
          </w:r>
          <w:r>
            <w:instrText xml:space="preserve"> PAGEREF _Toc12499 \h </w:instrText>
          </w:r>
          <w:r>
            <w:fldChar w:fldCharType="separate"/>
          </w:r>
          <w:r>
            <w:t>24</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0"/>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_Toc13522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szCs w:val="20"/>
            </w:rPr>
            <w:t>三、园区环保工作成效、主要措施做法</w:t>
          </w:r>
          <w:r>
            <w:tab/>
          </w:r>
          <w:r>
            <w:fldChar w:fldCharType="begin"/>
          </w:r>
          <w:r>
            <w:instrText xml:space="preserve"> PAGEREF _Toc13522 \h </w:instrText>
          </w:r>
          <w:r>
            <w:fldChar w:fldCharType="separate"/>
          </w:r>
          <w:r>
            <w:t>38</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0"/>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_Toc13728 </w:instrText>
          </w:r>
          <w:r>
            <w:rPr>
              <w:rFonts w:hint="default" w:ascii="Times New Roman" w:hAnsi="Times New Roman" w:eastAsia="宋体" w:cs="Times New Roman"/>
              <w:bCs/>
              <w:spacing w:val="28"/>
              <w:szCs w:val="24"/>
              <w:lang w:val="en-US" w:eastAsia="zh-CN"/>
            </w:rPr>
            <w:fldChar w:fldCharType="separate"/>
          </w:r>
          <w:r>
            <w:rPr>
              <w:rFonts w:hint="default"/>
            </w:rPr>
            <w:t>四、园区生态环境管理存在主要问题和难题</w:t>
          </w:r>
          <w:r>
            <w:tab/>
          </w:r>
          <w:r>
            <w:fldChar w:fldCharType="begin"/>
          </w:r>
          <w:r>
            <w:instrText xml:space="preserve"> PAGEREF _Toc13728 \h </w:instrText>
          </w:r>
          <w:r>
            <w:fldChar w:fldCharType="separate"/>
          </w:r>
          <w:r>
            <w:t>39</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0"/>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_Toc2880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szCs w:val="20"/>
            </w:rPr>
            <w:t>五、下一步工作计划</w:t>
          </w:r>
          <w:r>
            <w:tab/>
          </w:r>
          <w:r>
            <w:fldChar w:fldCharType="begin"/>
          </w:r>
          <w:r>
            <w:instrText xml:space="preserve"> PAGEREF _Toc2880 \h </w:instrText>
          </w:r>
          <w:r>
            <w:fldChar w:fldCharType="separate"/>
          </w:r>
          <w:r>
            <w:t>39</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20"/>
            <w:rPr>
              <w:rFonts w:hint="default" w:ascii="Times New Roman" w:hAnsi="Times New Roman" w:eastAsia="宋体" w:cs="Times New Roman"/>
              <w:b/>
              <w:bCs/>
              <w:color w:val="auto"/>
              <w:spacing w:val="28"/>
              <w:sz w:val="32"/>
              <w:szCs w:val="32"/>
              <w:lang w:val="en-US" w:eastAsia="zh-CN"/>
            </w:rPr>
            <w:sectPr>
              <w:footerReference r:id="rId4" w:type="default"/>
              <w:pgSz w:w="11906" w:h="16838"/>
              <w:pgMar w:top="1440" w:right="1440" w:bottom="1803"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宋体" w:cs="Times New Roman"/>
              <w:bCs/>
              <w:color w:val="auto"/>
              <w:spacing w:val="28"/>
              <w:szCs w:val="24"/>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b/>
          <w:bCs/>
          <w:color w:val="auto"/>
          <w:sz w:val="24"/>
          <w:szCs w:val="22"/>
          <w:lang w:val="en-US" w:eastAsia="zh-CN"/>
        </w:rPr>
      </w:pPr>
      <w:r>
        <w:rPr>
          <w:rFonts w:hint="default" w:ascii="Times New Roman" w:hAnsi="Times New Roman" w:eastAsia="仿宋" w:cs="Times New Roman"/>
          <w:b/>
          <w:bCs/>
          <w:color w:val="auto"/>
          <w:sz w:val="24"/>
          <w:szCs w:val="22"/>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附件1 关于《湖南省新晃工业集中区控制性详细规划》和《湖南省新晃工业集中区化工园区控制性详细规划》的批复（晃政函【2021】19号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附件2 规划环评批复</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附件3 关于《新晃县工业集中区产业发展规划（2020-2030）》的审查意见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附件4 园区设立批复文件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附件5 工业集中区发展方向区批复</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附件6 省发改委关于同意新晃工业集中区开展调区扩区前期工作的函</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附件7 园区应急预案备案表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附件8 污水处理厂环评批复</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附件9 污水处理厂自行监测报告</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b/>
          <w:bCs/>
          <w:color w:val="auto"/>
          <w:sz w:val="24"/>
          <w:szCs w:val="22"/>
          <w:lang w:val="en-US" w:eastAsia="zh-CN"/>
        </w:rPr>
      </w:pPr>
      <w:r>
        <w:rPr>
          <w:rFonts w:hint="default" w:ascii="Times New Roman" w:hAnsi="Times New Roman" w:eastAsia="仿宋" w:cs="Times New Roman"/>
          <w:b/>
          <w:bCs/>
          <w:color w:val="auto"/>
          <w:sz w:val="24"/>
          <w:szCs w:val="22"/>
          <w:lang w:val="en-US" w:eastAsia="zh-CN"/>
        </w:rPr>
        <w:t>附图：</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附图1 地理位置图</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附图2 产业发展规划图</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附图3 调区前后对比图</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附图4 柏树林片区图集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附图5 前锋工业园酒店塘片区图集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附图6 前锋工业园鱼市镇片区图集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附图7 新晃工业集中区雨污管网布置图</w:t>
      </w:r>
    </w:p>
    <w:p>
      <w:pPr>
        <w:pStyle w:val="20"/>
        <w:rPr>
          <w:rFonts w:hint="default" w:ascii="Times New Roman" w:hAnsi="Times New Roman" w:eastAsia="仿宋" w:cs="Times New Roman"/>
          <w:color w:val="auto"/>
          <w:sz w:val="24"/>
          <w:szCs w:val="22"/>
          <w:lang w:val="en-US" w:eastAsia="zh-CN"/>
        </w:rPr>
      </w:pPr>
    </w:p>
    <w:p>
      <w:pPr>
        <w:pStyle w:val="20"/>
        <w:rPr>
          <w:rFonts w:hint="default" w:ascii="Times New Roman" w:hAnsi="Times New Roman" w:eastAsia="仿宋" w:cs="Times New Roman"/>
          <w:color w:val="auto"/>
          <w:sz w:val="24"/>
          <w:szCs w:val="22"/>
          <w:lang w:val="en-US" w:eastAsia="zh-CN"/>
        </w:rPr>
      </w:pPr>
    </w:p>
    <w:p>
      <w:pPr>
        <w:pStyle w:val="20"/>
        <w:rPr>
          <w:rFonts w:hint="default" w:ascii="Times New Roman" w:hAnsi="Times New Roman" w:eastAsia="仿宋" w:cs="Times New Roman"/>
          <w:color w:val="auto"/>
          <w:sz w:val="24"/>
          <w:szCs w:val="22"/>
          <w:lang w:val="en-US" w:eastAsia="zh-CN"/>
        </w:rPr>
      </w:pPr>
    </w:p>
    <w:p>
      <w:pPr>
        <w:pStyle w:val="3"/>
        <w:bidi w:val="0"/>
        <w:rPr>
          <w:rFonts w:hint="default" w:ascii="Times New Roman" w:hAnsi="Times New Roman" w:cs="Times New Roman"/>
          <w:sz w:val="36"/>
          <w:szCs w:val="20"/>
        </w:rPr>
        <w:sectPr>
          <w:footerReference r:id="rId5" w:type="default"/>
          <w:pgSz w:w="11906" w:h="16838"/>
          <w:pgMar w:top="1083" w:right="1440" w:bottom="1083" w:left="1440" w:header="851" w:footer="992" w:gutter="0"/>
          <w:pgBorders>
            <w:top w:val="none" w:sz="0" w:space="0"/>
            <w:left w:val="none" w:sz="0" w:space="0"/>
            <w:bottom w:val="none" w:sz="0" w:space="0"/>
            <w:right w:val="none" w:sz="0" w:space="0"/>
          </w:pgBorders>
          <w:pgNumType w:fmt="decimal"/>
          <w:cols w:space="720" w:num="1"/>
          <w:rtlGutter w:val="0"/>
          <w:docGrid w:type="lines" w:linePitch="451" w:charSpace="0"/>
        </w:sectPr>
      </w:pPr>
    </w:p>
    <w:p>
      <w:pPr>
        <w:pStyle w:val="3"/>
        <w:bidi w:val="0"/>
        <w:rPr>
          <w:rFonts w:hint="default" w:ascii="Times New Roman" w:hAnsi="Times New Roman" w:cs="Times New Roman"/>
          <w:sz w:val="36"/>
          <w:szCs w:val="20"/>
        </w:rPr>
      </w:pPr>
      <w:bookmarkStart w:id="1" w:name="_Toc31622"/>
      <w:r>
        <w:rPr>
          <w:rFonts w:hint="default" w:ascii="Times New Roman" w:hAnsi="Times New Roman" w:cs="Times New Roman"/>
          <w:sz w:val="36"/>
          <w:szCs w:val="20"/>
        </w:rPr>
        <w:t>一、园区概况</w:t>
      </w:r>
      <w:bookmarkEnd w:id="1"/>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lang w:val="en-US" w:eastAsia="zh-CN"/>
        </w:rPr>
      </w:pPr>
      <w:bookmarkStart w:id="2" w:name="_Toc7317"/>
      <w:r>
        <w:rPr>
          <w:rFonts w:hint="default" w:ascii="Times New Roman" w:hAnsi="Times New Roman" w:cs="Times New Roman"/>
          <w:b/>
          <w:lang w:val="en-US" w:eastAsia="zh-CN"/>
        </w:rPr>
        <w:t>1.1园区简介</w:t>
      </w:r>
      <w:bookmarkEnd w:id="2"/>
    </w:p>
    <w:p>
      <w:pPr>
        <w:pStyle w:val="16"/>
        <w:snapToGrid w:val="0"/>
        <w:spacing w:after="0" w:line="600" w:lineRule="exact"/>
        <w:ind w:left="0" w:leftChars="0" w:firstLine="643"/>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新晃工业集中区前身为新晃前锋工业园，园区代码:S439110，2010年新晃县委、县政府决定建设前锋工业园位，选址新晃县鱼市镇，而后为加快园区建设，新晃县规划建设新晃工业集中区，并于2012年11月经湖南省人民政府批准成立省级工业集中区（湘政办函[2012]187号）。2014年取得了湖南省环境保护厅《关于湖南省新晃工业集中区环境影响报告书的批复意见的函》（湘环评函[2014]16号），</w:t>
      </w:r>
      <w:r>
        <w:rPr>
          <w:rFonts w:hint="eastAsia" w:ascii="Times New Roman" w:hAnsi="Times New Roman" w:eastAsia="仿宋" w:cs="Times New Roman"/>
          <w:kern w:val="2"/>
          <w:sz w:val="32"/>
          <w:szCs w:val="32"/>
          <w:lang w:val="en-US" w:eastAsia="zh-CN" w:bidi="ar-SA"/>
        </w:rPr>
        <w:t>2021年10月21日取得湖南省生态环境厅关于《湖南新晃工业集中区调扩区规划环境影响报告书》审查意见的函，调扩区后为“一区两园”架构，具体方案为：</w:t>
      </w:r>
    </w:p>
    <w:p>
      <w:pPr>
        <w:pStyle w:val="16"/>
        <w:snapToGrid w:val="0"/>
        <w:spacing w:after="0" w:line="600" w:lineRule="exact"/>
        <w:ind w:left="0" w:leftChars="0" w:firstLine="643"/>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1、前锋工业园鱼市镇片区：</w:t>
      </w:r>
      <w:r>
        <w:rPr>
          <w:rFonts w:hint="eastAsia" w:ascii="Times New Roman" w:hAnsi="Times New Roman" w:eastAsia="仿宋" w:cs="Times New Roman"/>
          <w:kern w:val="2"/>
          <w:sz w:val="32"/>
          <w:szCs w:val="32"/>
          <w:lang w:val="en-US" w:eastAsia="zh-CN" w:bidi="ar-SA"/>
        </w:rPr>
        <w:t>前锋工业园规划面积341.71公顷，西南临鱼市镇镇界，北至滨江路，东南至乐业路、光明路，</w:t>
      </w:r>
      <w:r>
        <w:rPr>
          <w:rFonts w:hint="default" w:ascii="Times New Roman" w:hAnsi="Times New Roman" w:eastAsia="仿宋" w:cs="Times New Roman"/>
          <w:kern w:val="2"/>
          <w:sz w:val="32"/>
          <w:szCs w:val="32"/>
          <w:lang w:val="en-US" w:eastAsia="zh-CN" w:bidi="ar-SA"/>
        </w:rPr>
        <w:t>主要布局化工产业、金属材料、新能源及装备产业，同时配套发展轻工电子产业，化工产业主要指专业化学品制造、无机盐制造、医药及日用化学品制造、涂料及类似产业制造。</w:t>
      </w:r>
    </w:p>
    <w:p>
      <w:pPr>
        <w:pStyle w:val="16"/>
        <w:pageBreakBefore w:val="0"/>
        <w:widowControl w:val="0"/>
        <w:kinsoku/>
        <w:wordWrap/>
        <w:overflowPunct/>
        <w:topLinePunct w:val="0"/>
        <w:autoSpaceDE/>
        <w:autoSpaceDN/>
        <w:bidi w:val="0"/>
        <w:adjustRightInd/>
        <w:snapToGrid w:val="0"/>
        <w:spacing w:after="0" w:line="600" w:lineRule="exact"/>
        <w:ind w:left="0" w:leftChars="0" w:firstLine="643"/>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w:t>
      </w:r>
      <w:r>
        <w:rPr>
          <w:rFonts w:hint="default" w:ascii="Times New Roman" w:hAnsi="Times New Roman" w:eastAsia="仿宋" w:cs="Times New Roman"/>
          <w:kern w:val="2"/>
          <w:sz w:val="32"/>
          <w:szCs w:val="32"/>
          <w:lang w:val="en-US" w:eastAsia="zh-CN" w:bidi="ar-SA"/>
        </w:rPr>
        <w:t>、柏树林工业园：</w:t>
      </w:r>
      <w:r>
        <w:rPr>
          <w:rFonts w:hint="eastAsia" w:ascii="Times New Roman" w:hAnsi="Times New Roman" w:eastAsia="仿宋" w:cs="Times New Roman"/>
          <w:kern w:val="2"/>
          <w:sz w:val="32"/>
          <w:szCs w:val="32"/>
          <w:lang w:val="en-US" w:eastAsia="zh-CN" w:bidi="ar-SA"/>
        </w:rPr>
        <w:t>柏树林工业</w:t>
      </w:r>
      <w:r>
        <w:rPr>
          <w:rFonts w:hint="default" w:ascii="Times New Roman" w:hAnsi="Times New Roman" w:eastAsia="仿宋" w:cs="Times New Roman"/>
          <w:kern w:val="2"/>
          <w:sz w:val="32"/>
          <w:szCs w:val="32"/>
          <w:lang w:val="en-US" w:eastAsia="zh-CN" w:bidi="ar-SA"/>
        </w:rPr>
        <w:t>园</w:t>
      </w:r>
      <w:r>
        <w:rPr>
          <w:rFonts w:hint="eastAsia" w:ascii="Times New Roman" w:hAnsi="Times New Roman" w:eastAsia="仿宋" w:cs="Times New Roman"/>
          <w:kern w:val="2"/>
          <w:sz w:val="32"/>
          <w:szCs w:val="32"/>
          <w:lang w:val="en-US" w:eastAsia="zh-CN" w:bidi="ar-SA"/>
        </w:rPr>
        <w:t>规划面积31.72公顷，南临舞水河，北至湘黔铁路，省道S232与规划北环路的两侧，重点发展农产品深加工。</w:t>
      </w:r>
      <w:r>
        <w:rPr>
          <w:rFonts w:hint="default" w:ascii="Times New Roman" w:hAnsi="Times New Roman" w:eastAsia="仿宋" w:cs="Times New Roman"/>
          <w:kern w:val="2"/>
          <w:sz w:val="32"/>
          <w:szCs w:val="32"/>
          <w:lang w:val="en-US" w:eastAsia="zh-CN" w:bidi="ar-SA"/>
        </w:rPr>
        <w:t>已现有老蔡、乡土源等企业发展农产品加工产业区。</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lang w:val="en-US" w:eastAsia="zh-CN"/>
        </w:rPr>
      </w:pPr>
      <w:bookmarkStart w:id="3" w:name="_Toc27880"/>
      <w:r>
        <w:rPr>
          <w:rFonts w:hint="default" w:ascii="Times New Roman" w:hAnsi="Times New Roman" w:cs="Times New Roman"/>
          <w:b/>
          <w:lang w:val="en-US" w:eastAsia="zh-CN"/>
        </w:rPr>
        <w:t>1.2园区规划环评批复情况</w:t>
      </w:r>
      <w:bookmarkEnd w:id="3"/>
    </w:p>
    <w:p>
      <w:pPr>
        <w:pStyle w:val="16"/>
        <w:pageBreakBefore w:val="0"/>
        <w:widowControl w:val="0"/>
        <w:kinsoku/>
        <w:wordWrap/>
        <w:overflowPunct/>
        <w:topLinePunct w:val="0"/>
        <w:autoSpaceDE/>
        <w:autoSpaceDN/>
        <w:bidi w:val="0"/>
        <w:adjustRightInd/>
        <w:snapToGrid w:val="0"/>
        <w:spacing w:after="0" w:line="600" w:lineRule="exact"/>
        <w:ind w:left="0" w:leftChars="0" w:firstLine="643"/>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新晃工业集中区均按照国家及湖南省相关管理要求开展了园区规划环评、工业园区突发环境事件应急预案，具体如下：</w:t>
      </w:r>
    </w:p>
    <w:p>
      <w:pPr>
        <w:pStyle w:val="16"/>
        <w:snapToGrid w:val="0"/>
        <w:spacing w:after="0" w:line="600" w:lineRule="exact"/>
        <w:ind w:left="0" w:leftChars="0" w:firstLine="643"/>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2014年，新晃侗族自治县工业集中区管理委员会委托湖南省环科院编制了《湖南省新晃工业集中区环境影响报告书》，并于2014年1月获得湖南省环境保护厅批复（湘环评函〔2014〕16号）且新一轮规划环评已通过评审会</w:t>
      </w:r>
      <w:r>
        <w:rPr>
          <w:rFonts w:hint="eastAsia" w:ascii="Times New Roman" w:hAnsi="Times New Roman" w:eastAsia="仿宋" w:cs="Times New Roman"/>
          <w:kern w:val="2"/>
          <w:sz w:val="32"/>
          <w:szCs w:val="32"/>
          <w:lang w:val="en-US" w:eastAsia="zh-CN" w:bidi="ar-SA"/>
        </w:rPr>
        <w:t>；2021年10月21日完成新晃工业集中区调扩区环评并取得湖南省生态环境厅关于《湖南新晃工业集中区调扩区规划环境影响报告书》审查意见的函</w:t>
      </w:r>
      <w:r>
        <w:rPr>
          <w:rFonts w:hint="default" w:ascii="Times New Roman" w:hAnsi="Times New Roman" w:eastAsia="仿宋" w:cs="Times New Roman"/>
          <w:kern w:val="2"/>
          <w:sz w:val="32"/>
          <w:szCs w:val="32"/>
          <w:lang w:val="en-US" w:eastAsia="zh-CN" w:bidi="ar-SA"/>
        </w:rPr>
        <w:t>（湘环评函〔</w:t>
      </w:r>
      <w:r>
        <w:rPr>
          <w:rFonts w:hint="eastAsia" w:ascii="Times New Roman" w:hAnsi="Times New Roman" w:eastAsia="仿宋" w:cs="Times New Roman"/>
          <w:kern w:val="2"/>
          <w:sz w:val="32"/>
          <w:szCs w:val="32"/>
          <w:lang w:val="en-US" w:eastAsia="zh-CN" w:bidi="ar-SA"/>
        </w:rPr>
        <w:t>2021</w:t>
      </w:r>
      <w:r>
        <w:rPr>
          <w:rFonts w:hint="default" w:ascii="Times New Roman" w:hAnsi="Times New Roman" w:eastAsia="仿宋" w:cs="Times New Roman"/>
          <w:kern w:val="2"/>
          <w:sz w:val="32"/>
          <w:szCs w:val="32"/>
          <w:lang w:val="en-US" w:eastAsia="zh-CN" w:bidi="ar-SA"/>
        </w:rPr>
        <w:t>〕</w:t>
      </w:r>
      <w:r>
        <w:rPr>
          <w:rFonts w:hint="eastAsia" w:ascii="Times New Roman" w:hAnsi="Times New Roman" w:eastAsia="仿宋" w:cs="Times New Roman"/>
          <w:kern w:val="2"/>
          <w:sz w:val="32"/>
          <w:szCs w:val="32"/>
          <w:lang w:val="en-US" w:eastAsia="zh-CN" w:bidi="ar-SA"/>
        </w:rPr>
        <w:t>32</w:t>
      </w:r>
      <w:r>
        <w:rPr>
          <w:rFonts w:hint="default" w:ascii="Times New Roman" w:hAnsi="Times New Roman" w:eastAsia="仿宋" w:cs="Times New Roman"/>
          <w:kern w:val="2"/>
          <w:sz w:val="32"/>
          <w:szCs w:val="32"/>
          <w:lang w:val="en-US" w:eastAsia="zh-CN" w:bidi="ar-SA"/>
        </w:rPr>
        <w:t>号）。</w:t>
      </w:r>
    </w:p>
    <w:p>
      <w:pPr>
        <w:pStyle w:val="16"/>
        <w:pageBreakBefore w:val="0"/>
        <w:widowControl w:val="0"/>
        <w:kinsoku/>
        <w:wordWrap/>
        <w:overflowPunct/>
        <w:topLinePunct w:val="0"/>
        <w:autoSpaceDE/>
        <w:autoSpaceDN/>
        <w:bidi w:val="0"/>
        <w:adjustRightInd/>
        <w:snapToGrid w:val="0"/>
        <w:spacing w:after="0" w:line="600" w:lineRule="exact"/>
        <w:ind w:left="0" w:leftChars="0" w:firstLine="643"/>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2018年2月，新晃侗族自治县工业集中区管理委员会编制《新晃侗族自治县工业集中区突发环境事件应急预案》，并于2018年2月在湖南省环境应急与事故调查中心进行备案</w:t>
      </w:r>
      <w:r>
        <w:rPr>
          <w:rFonts w:hint="eastAsia" w:ascii="Times New Roman" w:hAnsi="Times New Roman" w:eastAsia="仿宋" w:cs="Times New Roman"/>
          <w:kern w:val="2"/>
          <w:sz w:val="32"/>
          <w:szCs w:val="32"/>
          <w:lang w:val="en-US" w:eastAsia="zh-CN" w:bidi="ar-SA"/>
        </w:rPr>
        <w:t>，2021年1月完成新晃县产业开发区突发环境事件应急预案（2022修订）并完成省市县三级备案</w:t>
      </w:r>
      <w:r>
        <w:rPr>
          <w:rFonts w:hint="default" w:ascii="Times New Roman" w:hAnsi="Times New Roman" w:eastAsia="仿宋" w:cs="Times New Roman"/>
          <w:kern w:val="2"/>
          <w:sz w:val="32"/>
          <w:szCs w:val="32"/>
          <w:lang w:val="en-US" w:eastAsia="zh-CN" w:bidi="ar-SA"/>
        </w:rPr>
        <w:t>。</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color w:val="auto"/>
          <w:highlight w:val="none"/>
          <w:lang w:val="en-US" w:eastAsia="zh-CN"/>
        </w:rPr>
      </w:pPr>
      <w:bookmarkStart w:id="4" w:name="_Toc18267"/>
      <w:r>
        <w:rPr>
          <w:rFonts w:hint="default" w:ascii="Times New Roman" w:hAnsi="Times New Roman" w:cs="Times New Roman"/>
          <w:b/>
          <w:color w:val="auto"/>
          <w:highlight w:val="none"/>
          <w:lang w:val="en-US" w:eastAsia="zh-CN"/>
        </w:rPr>
        <w:t>1.3园区经济发展概况</w:t>
      </w:r>
      <w:bookmarkEnd w:id="4"/>
    </w:p>
    <w:p>
      <w:pPr>
        <w:pStyle w:val="16"/>
        <w:pageBreakBefore w:val="0"/>
        <w:widowControl w:val="0"/>
        <w:kinsoku/>
        <w:wordWrap/>
        <w:overflowPunct/>
        <w:topLinePunct w:val="0"/>
        <w:autoSpaceDE/>
        <w:autoSpaceDN/>
        <w:bidi w:val="0"/>
        <w:adjustRightInd/>
        <w:snapToGrid w:val="0"/>
        <w:spacing w:after="0" w:line="600" w:lineRule="exact"/>
        <w:ind w:left="0" w:leftChars="0" w:firstLine="643"/>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202</w:t>
      </w:r>
      <w:r>
        <w:rPr>
          <w:rFonts w:hint="eastAsia" w:ascii="Times New Roman" w:hAnsi="Times New Roman" w:eastAsia="仿宋" w:cs="Times New Roman"/>
          <w:color w:val="auto"/>
          <w:kern w:val="2"/>
          <w:sz w:val="32"/>
          <w:szCs w:val="32"/>
          <w:highlight w:val="none"/>
          <w:lang w:val="en-US" w:eastAsia="zh-CN" w:bidi="ar-SA"/>
        </w:rPr>
        <w:t>3</w:t>
      </w:r>
      <w:r>
        <w:rPr>
          <w:rFonts w:hint="default" w:ascii="Times New Roman" w:hAnsi="Times New Roman" w:eastAsia="仿宋" w:cs="Times New Roman"/>
          <w:color w:val="auto"/>
          <w:kern w:val="2"/>
          <w:sz w:val="32"/>
          <w:szCs w:val="32"/>
          <w:highlight w:val="none"/>
          <w:lang w:val="en-US" w:eastAsia="zh-CN" w:bidi="ar-SA"/>
        </w:rPr>
        <w:t>年，新晃工业集中区园区企业</w:t>
      </w:r>
      <w:r>
        <w:rPr>
          <w:rFonts w:hint="eastAsia" w:ascii="Times New Roman" w:hAnsi="Times New Roman" w:eastAsia="仿宋" w:cs="Times New Roman"/>
          <w:color w:val="auto"/>
          <w:kern w:val="2"/>
          <w:sz w:val="32"/>
          <w:szCs w:val="32"/>
          <w:highlight w:val="none"/>
          <w:lang w:val="en-US" w:eastAsia="zh-CN" w:bidi="ar-SA"/>
        </w:rPr>
        <w:t>37</w:t>
      </w:r>
      <w:r>
        <w:rPr>
          <w:rFonts w:hint="default" w:ascii="Times New Roman" w:hAnsi="Times New Roman" w:eastAsia="仿宋" w:cs="Times New Roman"/>
          <w:color w:val="auto"/>
          <w:kern w:val="2"/>
          <w:sz w:val="32"/>
          <w:szCs w:val="32"/>
          <w:highlight w:val="none"/>
          <w:lang w:val="en-US" w:eastAsia="zh-CN" w:bidi="ar-SA"/>
        </w:rPr>
        <w:t>家，预计完成主营业务收入为</w:t>
      </w:r>
      <w:r>
        <w:rPr>
          <w:rFonts w:hint="eastAsia" w:ascii="Times New Roman" w:hAnsi="Times New Roman" w:eastAsia="仿宋" w:cs="Times New Roman"/>
          <w:color w:val="auto"/>
          <w:kern w:val="2"/>
          <w:sz w:val="32"/>
          <w:szCs w:val="32"/>
          <w:highlight w:val="none"/>
          <w:lang w:val="en-US" w:eastAsia="zh-CN" w:bidi="ar-SA"/>
        </w:rPr>
        <w:t>89.31</w:t>
      </w:r>
      <w:r>
        <w:rPr>
          <w:rFonts w:hint="default" w:ascii="Times New Roman" w:hAnsi="Times New Roman" w:eastAsia="仿宋" w:cs="Times New Roman"/>
          <w:color w:val="auto"/>
          <w:kern w:val="2"/>
          <w:sz w:val="32"/>
          <w:szCs w:val="32"/>
          <w:highlight w:val="none"/>
          <w:lang w:val="en-US" w:eastAsia="zh-CN" w:bidi="ar-SA"/>
        </w:rPr>
        <w:t>亿元，同比增长</w:t>
      </w:r>
      <w:r>
        <w:rPr>
          <w:rFonts w:hint="eastAsia" w:ascii="Times New Roman" w:hAnsi="Times New Roman" w:eastAsia="仿宋" w:cs="Times New Roman"/>
          <w:color w:val="auto"/>
          <w:kern w:val="2"/>
          <w:sz w:val="32"/>
          <w:szCs w:val="32"/>
          <w:highlight w:val="none"/>
          <w:lang w:val="en-US" w:eastAsia="zh-CN" w:bidi="ar-SA"/>
        </w:rPr>
        <w:t>3.50</w:t>
      </w:r>
      <w:r>
        <w:rPr>
          <w:rFonts w:hint="default" w:ascii="Times New Roman" w:hAnsi="Times New Roman" w:eastAsia="仿宋" w:cs="Times New Roman"/>
          <w:color w:val="auto"/>
          <w:kern w:val="2"/>
          <w:sz w:val="32"/>
          <w:szCs w:val="32"/>
          <w:highlight w:val="none"/>
          <w:lang w:val="en-US" w:eastAsia="zh-CN" w:bidi="ar-SA"/>
        </w:rPr>
        <w:t>%。202</w:t>
      </w:r>
      <w:r>
        <w:rPr>
          <w:rFonts w:hint="eastAsia" w:ascii="Times New Roman" w:hAnsi="Times New Roman" w:eastAsia="仿宋" w:cs="Times New Roman"/>
          <w:color w:val="auto"/>
          <w:kern w:val="2"/>
          <w:sz w:val="32"/>
          <w:szCs w:val="32"/>
          <w:highlight w:val="none"/>
          <w:lang w:val="en-US" w:eastAsia="zh-CN" w:bidi="ar-SA"/>
        </w:rPr>
        <w:t>3</w:t>
      </w:r>
      <w:r>
        <w:rPr>
          <w:rFonts w:hint="default" w:ascii="Times New Roman" w:hAnsi="Times New Roman" w:eastAsia="仿宋" w:cs="Times New Roman"/>
          <w:color w:val="auto"/>
          <w:kern w:val="2"/>
          <w:sz w:val="32"/>
          <w:szCs w:val="32"/>
          <w:highlight w:val="none"/>
          <w:lang w:val="en-US" w:eastAsia="zh-CN" w:bidi="ar-SA"/>
        </w:rPr>
        <w:t>年，预计专业化园区上交税金总额为</w:t>
      </w:r>
      <w:r>
        <w:rPr>
          <w:rFonts w:hint="eastAsia" w:ascii="Times New Roman" w:hAnsi="Times New Roman" w:eastAsia="仿宋" w:cs="Times New Roman"/>
          <w:color w:val="auto"/>
          <w:kern w:val="2"/>
          <w:sz w:val="32"/>
          <w:szCs w:val="32"/>
          <w:highlight w:val="none"/>
          <w:lang w:val="en-US" w:eastAsia="zh-CN" w:bidi="ar-SA"/>
        </w:rPr>
        <w:t>13158</w:t>
      </w:r>
      <w:r>
        <w:rPr>
          <w:rFonts w:hint="default" w:ascii="Times New Roman" w:hAnsi="Times New Roman" w:eastAsia="仿宋" w:cs="Times New Roman"/>
          <w:color w:val="auto"/>
          <w:kern w:val="2"/>
          <w:sz w:val="32"/>
          <w:szCs w:val="32"/>
          <w:highlight w:val="none"/>
          <w:lang w:val="en-US" w:eastAsia="zh-CN" w:bidi="ar-SA"/>
        </w:rPr>
        <w:t>万元，同比增长</w:t>
      </w:r>
      <w:r>
        <w:rPr>
          <w:rFonts w:hint="eastAsia" w:ascii="Times New Roman" w:hAnsi="Times New Roman" w:eastAsia="仿宋" w:cs="Times New Roman"/>
          <w:color w:val="auto"/>
          <w:kern w:val="2"/>
          <w:sz w:val="32"/>
          <w:szCs w:val="32"/>
          <w:highlight w:val="none"/>
          <w:lang w:val="en-US" w:eastAsia="zh-CN" w:bidi="ar-SA"/>
        </w:rPr>
        <w:t>3.20</w:t>
      </w:r>
      <w:r>
        <w:rPr>
          <w:rFonts w:hint="default" w:ascii="Times New Roman" w:hAnsi="Times New Roman" w:eastAsia="仿宋" w:cs="Times New Roman"/>
          <w:color w:val="auto"/>
          <w:kern w:val="2"/>
          <w:sz w:val="32"/>
          <w:szCs w:val="32"/>
          <w:highlight w:val="none"/>
          <w:lang w:val="en-US" w:eastAsia="zh-CN" w:bidi="ar-SA"/>
        </w:rPr>
        <w:t>%。</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color w:val="auto"/>
          <w:lang w:val="zh-CN" w:eastAsia="zh-CN"/>
        </w:rPr>
      </w:pPr>
      <w:bookmarkStart w:id="5" w:name="_Toc25576"/>
      <w:r>
        <w:rPr>
          <w:rFonts w:hint="default" w:ascii="Times New Roman" w:hAnsi="Times New Roman" w:cs="Times New Roman"/>
          <w:b/>
          <w:color w:val="auto"/>
          <w:lang w:val="en-US" w:eastAsia="zh-CN"/>
        </w:rPr>
        <w:t>1.4园区企业环保手续情况</w:t>
      </w:r>
      <w:bookmarkEnd w:id="5"/>
    </w:p>
    <w:p>
      <w:pPr>
        <w:pStyle w:val="16"/>
        <w:snapToGrid w:val="0"/>
        <w:spacing w:after="0" w:line="600" w:lineRule="exact"/>
        <w:ind w:left="0" w:leftChars="0" w:firstLine="643"/>
        <w:rPr>
          <w:rFonts w:hint="default" w:ascii="Times New Roman" w:hAnsi="Times New Roman" w:eastAsia="仿宋" w:cs="Times New Roman"/>
          <w:color w:val="auto"/>
          <w:kern w:val="2"/>
          <w:sz w:val="32"/>
          <w:szCs w:val="32"/>
          <w:lang w:val="zh-CN" w:eastAsia="zh-CN" w:bidi="ar-SA"/>
        </w:rPr>
      </w:pPr>
      <w:r>
        <w:rPr>
          <w:rFonts w:hint="default" w:ascii="Times New Roman" w:hAnsi="Times New Roman" w:eastAsia="仿宋" w:cs="Times New Roman"/>
          <w:color w:val="auto"/>
          <w:kern w:val="2"/>
          <w:sz w:val="32"/>
          <w:szCs w:val="32"/>
          <w:lang w:val="zh-CN" w:eastAsia="zh-CN" w:bidi="ar-SA"/>
        </w:rPr>
        <w:t>截至2023年底，园区已入园企业数量37个，本年度内新入园企业数量4个，本年度清退企业数量1个。园区内已完成环评批复手续企业数量37个，本年度新增项目环评批复4个。园区内已完成环保竣工验收手续企业数量24个，本年度新增环保竣工验收企业数量1个,5个环评登记备案无需验收，1个验收整改中，2个未建成，4个试生产，1个停产。</w:t>
      </w:r>
    </w:p>
    <w:p>
      <w:pPr>
        <w:pStyle w:val="16"/>
        <w:snapToGrid w:val="0"/>
        <w:spacing w:after="0" w:line="600" w:lineRule="exact"/>
        <w:ind w:left="0" w:leftChars="0" w:firstLine="643"/>
        <w:rPr>
          <w:rFonts w:hint="default" w:ascii="Times New Roman" w:hAnsi="Times New Roman" w:eastAsia="仿宋" w:cs="Times New Roman"/>
          <w:color w:val="auto"/>
          <w:kern w:val="2"/>
          <w:sz w:val="32"/>
          <w:szCs w:val="32"/>
          <w:lang w:val="zh-CN" w:eastAsia="zh-CN" w:bidi="ar-SA"/>
        </w:rPr>
      </w:pPr>
      <w:r>
        <w:rPr>
          <w:rFonts w:hint="default" w:ascii="Times New Roman" w:hAnsi="Times New Roman" w:eastAsia="仿宋" w:cs="Times New Roman"/>
          <w:color w:val="auto"/>
          <w:kern w:val="2"/>
          <w:sz w:val="32"/>
          <w:szCs w:val="32"/>
          <w:lang w:val="zh-CN" w:eastAsia="zh-CN" w:bidi="ar-SA"/>
        </w:rPr>
        <w:t>园区内已完成应急预案备案手续企业数量29个，本年度新增应急预案备案手续企业数量3个，新增应急预案修编企业数量</w:t>
      </w:r>
      <w:r>
        <w:rPr>
          <w:rFonts w:hint="eastAsia" w:ascii="Times New Roman" w:hAnsi="Times New Roman" w:eastAsia="仿宋" w:cs="Times New Roman"/>
          <w:color w:val="auto"/>
          <w:kern w:val="2"/>
          <w:sz w:val="32"/>
          <w:szCs w:val="32"/>
          <w:lang w:val="en-US" w:eastAsia="zh-CN" w:bidi="ar-SA"/>
        </w:rPr>
        <w:t>1</w:t>
      </w:r>
      <w:r>
        <w:rPr>
          <w:rFonts w:hint="default" w:ascii="Times New Roman" w:hAnsi="Times New Roman" w:eastAsia="仿宋" w:cs="Times New Roman"/>
          <w:color w:val="auto"/>
          <w:kern w:val="2"/>
          <w:sz w:val="32"/>
          <w:szCs w:val="32"/>
          <w:lang w:val="zh-CN" w:eastAsia="zh-CN" w:bidi="ar-SA"/>
        </w:rPr>
        <w:t>个。园区内已取得排污许可证企业数量34个，其中重点管理的企业数量6个，简化管理企业数量11个，登记管理企业数量17个。</w:t>
      </w:r>
    </w:p>
    <w:p>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表1  园区企业环保执行情况汇总表</w:t>
      </w:r>
    </w:p>
    <w:tbl>
      <w:tblPr>
        <w:tblStyle w:val="17"/>
        <w:tblW w:w="513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7"/>
        <w:gridCol w:w="1586"/>
        <w:gridCol w:w="1235"/>
        <w:gridCol w:w="1459"/>
        <w:gridCol w:w="1268"/>
        <w:gridCol w:w="1086"/>
        <w:gridCol w:w="1648"/>
        <w:gridCol w:w="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序号</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企业名称</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行业类别</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环评手续情况</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竣工验收情况</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b/>
                <w:bCs w:val="0"/>
                <w:color w:val="auto"/>
                <w:kern w:val="2"/>
                <w:sz w:val="21"/>
                <w:szCs w:val="21"/>
                <w:highlight w:val="none"/>
                <w:lang w:val="en-US" w:eastAsia="zh-CN" w:bidi="ar-SA"/>
              </w:rPr>
            </w:pPr>
            <w:r>
              <w:rPr>
                <w:rFonts w:hint="eastAsia" w:ascii="仿宋" w:hAnsi="仿宋" w:eastAsia="仿宋" w:cs="仿宋"/>
                <w:b/>
                <w:bCs w:val="0"/>
                <w:color w:val="auto"/>
                <w:sz w:val="21"/>
                <w:szCs w:val="21"/>
                <w:highlight w:val="none"/>
              </w:rPr>
              <w:t>环境应急预案</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排污许可</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管理类型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新晃三鑫钡业有限公司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无机盐制造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湘环评[2011]349号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sz w:val="21"/>
                <w:szCs w:val="21"/>
                <w:highlight w:val="none"/>
                <w:lang w:val="en-US" w:eastAsia="zh-CN"/>
              </w:rPr>
              <w:t>2020年验收</w:t>
            </w:r>
          </w:p>
        </w:tc>
        <w:tc>
          <w:tcPr>
            <w:tcW w:w="584" w:type="pct"/>
            <w:tcBorders>
              <w:tl2br w:val="nil"/>
              <w:tr2bl w:val="nil"/>
            </w:tcBorders>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202</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09</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914312275910197145001V</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怀化长江铜业有限公司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铜压延加工</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怀环表[2010]29号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sz w:val="21"/>
                <w:szCs w:val="21"/>
                <w:highlight w:val="none"/>
              </w:rPr>
              <w:t>怀环审[2015]7号</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2017.06</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914312275701678151001Q</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湖南梓洋科技有限公司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黑色金属压延加工</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sz w:val="21"/>
                <w:szCs w:val="21"/>
                <w:highlight w:val="none"/>
              </w:rPr>
              <w:t>怀环审[2015]119号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0"/>
                <w:sz w:val="21"/>
                <w:szCs w:val="21"/>
                <w:highlight w:val="none"/>
              </w:rPr>
              <w:t>2018年5月完成验收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2019年</w:t>
            </w:r>
          </w:p>
        </w:tc>
        <w:tc>
          <w:tcPr>
            <w:tcW w:w="887" w:type="pct"/>
            <w:tcBorders>
              <w:tl2br w:val="nil"/>
              <w:tr2bl w:val="nil"/>
            </w:tcBorders>
            <w:noWrap w:val="0"/>
            <w:vAlign w:val="center"/>
          </w:tcPr>
          <w:p>
            <w:pPr>
              <w:keepNext w:val="0"/>
              <w:keepLines w:val="0"/>
              <w:widowControl/>
              <w:suppressLineNumbers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hb431200500000728F001X</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新晃都源电子科技有限公司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电线、电缆制造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晃环函[2014]22号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2018年6月完成验收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2019年</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91431227396644741R001X</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怀化市建新建材有限公司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建筑材料制造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晃环函[2015]33号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0"/>
                <w:sz w:val="21"/>
                <w:szCs w:val="21"/>
                <w:highlight w:val="none"/>
              </w:rPr>
              <w:t>建设项目竣工申请登记卡2016-002</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2016.01</w:t>
            </w:r>
          </w:p>
        </w:tc>
        <w:tc>
          <w:tcPr>
            <w:tcW w:w="88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color w:val="auto"/>
                <w:sz w:val="21"/>
                <w:szCs w:val="21"/>
                <w:highlight w:val="none"/>
                <w:lang w:val="en-US" w:eastAsia="zh-CN"/>
              </w:rPr>
              <w:t>hb431200500000726J001W</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湖南南松光电科技有限公司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光学玻璃制造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怀环审[2018]5号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2019年5月完成验收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2019.05</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91431227MA4L22NG76001Z</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湖南锦程新侗新能源汽车有限公司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汽车制造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湘环评[2017]67号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2020年7月完成部分验收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2019.12</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91431227MA4LC61A3N001U</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新晃晃新塑业有限公司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日用塑料制品制造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晃环评[2016]3号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0"/>
                <w:sz w:val="21"/>
                <w:szCs w:val="21"/>
                <w:highlight w:val="none"/>
              </w:rPr>
              <w:t>建设项目竣工申请登记卡2016-008</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2016.11</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9143122733850808X8001Z</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新晃县精亮玻璃加工厂</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特种玻璃制造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rPr>
            </w:pPr>
            <w:r>
              <w:rPr>
                <w:rFonts w:hint="eastAsia" w:ascii="仿宋" w:hAnsi="仿宋" w:eastAsia="仿宋" w:cs="仿宋"/>
                <w:color w:val="auto"/>
                <w:kern w:val="2"/>
                <w:sz w:val="21"/>
                <w:szCs w:val="21"/>
                <w:highlight w:val="none"/>
                <w:lang w:val="en-US" w:eastAsia="zh-CN"/>
              </w:rPr>
              <w:t>晃环评[2017]6号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lang w:val="en-US" w:eastAsia="zh-CN"/>
              </w:rPr>
            </w:pPr>
            <w:r>
              <w:rPr>
                <w:rFonts w:hint="eastAsia" w:ascii="仿宋" w:hAnsi="仿宋" w:eastAsia="仿宋" w:cs="仿宋"/>
                <w:color w:val="auto"/>
                <w:kern w:val="2"/>
                <w:sz w:val="21"/>
                <w:szCs w:val="21"/>
                <w:highlight w:val="none"/>
                <w:lang w:val="en-US" w:eastAsia="zh-CN"/>
              </w:rPr>
              <w:t>2019年6月完成验收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2019.06</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91431227MA4QEUPPX3001P</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新晃白云环保有限公司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非金属矿物制品制造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怀环审[2018]39号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怀环审[2018]55号</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2019.12</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91431227MA4L2LCY6T002R</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新晃远大机械铸造有限公司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钢铁铸件制造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登记表2009-51号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晃环验[2010]2号</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2019.11</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9143122769401633X6001Q</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新晃合创新材料有限公司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无机盐制造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怀环审[2010]67</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0"/>
                <w:sz w:val="21"/>
                <w:szCs w:val="21"/>
                <w:highlight w:val="none"/>
              </w:rPr>
              <w:t>环验[2012]03号</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2019.03</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914312275549</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11893P001R</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2"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新晃县顺发铁合金有限公司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铁合金冶炼</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湘环评2013（41）号</w:t>
            </w:r>
          </w:p>
          <w:p>
            <w:pPr>
              <w:adjustRightInd w:val="0"/>
              <w:snapToGrid w:val="0"/>
              <w:spacing w:line="240" w:lineRule="auto"/>
              <w:jc w:val="center"/>
              <w:rPr>
                <w:rFonts w:hint="eastAsia" w:ascii="仿宋" w:hAnsi="仿宋" w:eastAsia="仿宋" w:cs="仿宋"/>
                <w:color w:val="auto"/>
              </w:rPr>
            </w:pPr>
            <w:r>
              <w:rPr>
                <w:rFonts w:hint="eastAsia" w:ascii="仿宋" w:hAnsi="仿宋" w:eastAsia="仿宋" w:cs="仿宋"/>
                <w:color w:val="auto"/>
                <w:kern w:val="2"/>
                <w:sz w:val="21"/>
                <w:szCs w:val="21"/>
                <w:highlight w:val="none"/>
              </w:rPr>
              <w:t>怀环晃审[2021]1号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湘环评验[2015]19号</w:t>
            </w:r>
          </w:p>
          <w:p>
            <w:pPr>
              <w:adjustRightInd w:val="0"/>
              <w:snapToGrid w:val="0"/>
              <w:spacing w:line="240" w:lineRule="auto"/>
              <w:jc w:val="center"/>
              <w:rPr>
                <w:rFonts w:hint="eastAsia" w:ascii="仿宋" w:hAnsi="仿宋" w:eastAsia="仿宋" w:cs="仿宋"/>
                <w:color w:val="auto"/>
              </w:rPr>
            </w:pPr>
            <w:r>
              <w:rPr>
                <w:rFonts w:hint="eastAsia" w:ascii="仿宋" w:hAnsi="仿宋" w:eastAsia="仿宋" w:cs="仿宋"/>
                <w:color w:val="auto"/>
                <w:kern w:val="2"/>
                <w:sz w:val="21"/>
                <w:szCs w:val="21"/>
                <w:highlight w:val="none"/>
              </w:rPr>
              <w:t>2022年8月验收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2020.06</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914312276940162330001V</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新晃县建恒水泥构建有限公司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水泥制品制造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rPr>
            </w:pPr>
            <w:r>
              <w:rPr>
                <w:rFonts w:hint="eastAsia" w:ascii="仿宋" w:hAnsi="仿宋" w:eastAsia="仿宋" w:cs="仿宋"/>
                <w:color w:val="auto"/>
                <w:kern w:val="2"/>
                <w:sz w:val="21"/>
                <w:szCs w:val="21"/>
                <w:highlight w:val="none"/>
                <w:lang w:val="en-US" w:eastAsia="zh-CN"/>
              </w:rPr>
              <w:t>登记表（编号2014-05号）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lang w:val="en-US" w:eastAsia="zh-CN"/>
              </w:rPr>
            </w:pPr>
            <w:r>
              <w:rPr>
                <w:rFonts w:hint="eastAsia" w:ascii="仿宋" w:hAnsi="仿宋" w:eastAsia="仿宋" w:cs="仿宋"/>
                <w:bCs/>
                <w:color w:val="auto"/>
                <w:kern w:val="2"/>
                <w:sz w:val="21"/>
                <w:szCs w:val="21"/>
                <w:highlight w:val="none"/>
                <w:lang w:val="en-US" w:eastAsia="zh-CN"/>
              </w:rPr>
              <w:t>/</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2019.02</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92431227MA4NPE4N35001X</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新晃协力模压纸制品厂</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其他纸制品制造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登记表（编号2014-37号）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建设项目竣工申请登记卡2015-002</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2020.09</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914312270991106584Y001P</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新晃昇靖</w:t>
            </w:r>
            <w:r>
              <w:rPr>
                <w:rFonts w:hint="eastAsia" w:ascii="仿宋" w:hAnsi="仿宋" w:eastAsia="仿宋" w:cs="仿宋"/>
                <w:color w:val="auto"/>
                <w:sz w:val="21"/>
                <w:szCs w:val="21"/>
                <w:highlight w:val="none"/>
                <w:lang w:val="en-US" w:eastAsia="zh-CN"/>
              </w:rPr>
              <w:t>矿山</w:t>
            </w:r>
            <w:r>
              <w:rPr>
                <w:rFonts w:hint="eastAsia" w:ascii="仿宋" w:hAnsi="仿宋" w:eastAsia="仿宋" w:cs="仿宋"/>
                <w:color w:val="auto"/>
                <w:sz w:val="21"/>
                <w:szCs w:val="21"/>
                <w:highlight w:val="none"/>
              </w:rPr>
              <w:t>机械厂</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铸造机械制造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怀环函[2014]31号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2018年6月完成验收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2017.06</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92431227MA4L8TMY4E001A</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湖南慷筠家具有限公司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家具制造业</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晃环函[2018]11号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2020年验收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2019.01</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Hb431200500000333G001Y</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新晃顺泰电子有限公司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电线、电缆制造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备案号201843122700000021</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2019.06</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91431227MA4PLAAD92001Y</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湖南博雨箱包有限公司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金属制品业</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备案号201943122700000007</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91431227MA4Q4GAB7U001W</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湖南爱家环保科技有限公司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清洁服务业</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备案号201843122700000035</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2019-11</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91431227MA4PNRJY5G001W</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湖南侗业新材料科技有限公司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橡胶制品业</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县晃环（2019）2号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2020年4月完成验收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2019.10</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 xml:space="preserve">91431227MA4Q7NGB0T001Y </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湖南安翔科技有限公司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密封用填料及类似品制造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rPr>
              <w:t>怀环审[2019]47号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2020年完成验收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2018.11</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91431227MA4PUHBQXR001Y</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湖南立昇新材料有限公司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其他非金属矿物制品制造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晃环评[2019]6号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2020年8月完成验收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2020.03</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91431227MA4PXY8P5T00121</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新晃老蔡食品有限责任公司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肉制品加工</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怀环审[2009]61号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怀环函[2017]194号</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2020.9</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91431227L061721728001R</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新晃县乡土源食品有限公司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食品加工</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怀环审[2016]8号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在建</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新晃县清发矿产有限责任公司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非金属矿物加工水泥制造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晃环评[2020]8号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2020年验收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2020.11</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91431227722590997A001X</w:t>
            </w:r>
          </w:p>
          <w:p>
            <w:pPr>
              <w:adjustRightInd w:val="0"/>
              <w:snapToGrid w:val="0"/>
              <w:spacing w:line="240" w:lineRule="auto"/>
              <w:jc w:val="center"/>
              <w:rPr>
                <w:rFonts w:hint="eastAsia" w:ascii="仿宋" w:hAnsi="仿宋" w:eastAsia="仿宋" w:cs="仿宋"/>
                <w:color w:val="auto"/>
                <w:sz w:val="21"/>
                <w:szCs w:val="21"/>
                <w:highlight w:val="none"/>
                <w:lang w:val="en-US" w:eastAsia="zh-CN"/>
              </w:rPr>
            </w:pP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湖南大迈科技有限责任公司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非金属矿物制品</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晃环评[2020]1号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2021年验收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2022.1</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91431227MA4QTYJD6P001X</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新晃县富瑞纺织有限公司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服饰制造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晃环评[2020]2号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91431227MA4T1FMD3N001P</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怀化市新益全新型环保建材有限公司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废弃资源综合利用业</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晃环评[2020]12号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办理中</w:t>
            </w:r>
          </w:p>
        </w:tc>
        <w:tc>
          <w:tcPr>
            <w:tcW w:w="58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color w:val="auto"/>
                <w:sz w:val="21"/>
                <w:szCs w:val="21"/>
                <w:highlight w:val="none"/>
                <w:lang w:val="en-US" w:eastAsia="zh-CN"/>
              </w:rPr>
              <w:t>2023.7</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91431227MA4PQUNA9W001Q</w:t>
            </w:r>
          </w:p>
        </w:tc>
        <w:tc>
          <w:tcPr>
            <w:tcW w:w="330"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怀化鸿泰混凝土有限公司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水泥制造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晃环评[2019]7号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2021年验收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2021.10</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91431227MA4QJDGA0X001Y</w:t>
            </w:r>
          </w:p>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新晃三堡矿业有限公司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非金属矿物加工</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怀</w:t>
            </w:r>
            <w:r>
              <w:rPr>
                <w:rFonts w:hint="eastAsia" w:ascii="仿宋" w:hAnsi="仿宋" w:eastAsia="仿宋" w:cs="仿宋"/>
                <w:color w:val="auto"/>
                <w:kern w:val="2"/>
                <w:sz w:val="21"/>
                <w:szCs w:val="21"/>
                <w:highlight w:val="none"/>
                <w:lang w:val="en-US" w:eastAsia="zh-CN"/>
              </w:rPr>
              <w:t>环晃</w:t>
            </w:r>
            <w:r>
              <w:rPr>
                <w:rFonts w:hint="eastAsia" w:ascii="仿宋" w:hAnsi="仿宋" w:eastAsia="仿宋" w:cs="仿宋"/>
                <w:color w:val="auto"/>
                <w:kern w:val="2"/>
                <w:sz w:val="21"/>
                <w:szCs w:val="21"/>
                <w:highlight w:val="none"/>
              </w:rPr>
              <w:t>审[20</w:t>
            </w:r>
            <w:r>
              <w:rPr>
                <w:rFonts w:hint="eastAsia" w:ascii="仿宋" w:hAnsi="仿宋" w:eastAsia="仿宋" w:cs="仿宋"/>
                <w:color w:val="auto"/>
                <w:kern w:val="2"/>
                <w:sz w:val="21"/>
                <w:szCs w:val="21"/>
                <w:highlight w:val="none"/>
                <w:lang w:val="en-US" w:eastAsia="zh-CN"/>
              </w:rPr>
              <w:t>22</w:t>
            </w:r>
            <w:r>
              <w:rPr>
                <w:rFonts w:hint="eastAsia" w:ascii="仿宋" w:hAnsi="仿宋" w:eastAsia="仿宋" w:cs="仿宋"/>
                <w:color w:val="auto"/>
                <w:kern w:val="2"/>
                <w:sz w:val="21"/>
                <w:szCs w:val="21"/>
                <w:highlight w:val="none"/>
              </w:rPr>
              <w:t>]</w:t>
            </w:r>
            <w:r>
              <w:rPr>
                <w:rFonts w:hint="eastAsia" w:ascii="仿宋" w:hAnsi="仿宋" w:eastAsia="仿宋" w:cs="仿宋"/>
                <w:color w:val="auto"/>
                <w:kern w:val="2"/>
                <w:sz w:val="21"/>
                <w:szCs w:val="21"/>
                <w:highlight w:val="none"/>
                <w:lang w:val="en-US" w:eastAsia="zh-CN"/>
              </w:rPr>
              <w:t>1</w:t>
            </w:r>
            <w:r>
              <w:rPr>
                <w:rFonts w:hint="eastAsia" w:ascii="仿宋" w:hAnsi="仿宋" w:eastAsia="仿宋" w:cs="仿宋"/>
                <w:color w:val="auto"/>
                <w:kern w:val="2"/>
                <w:sz w:val="21"/>
                <w:szCs w:val="21"/>
                <w:highlight w:val="none"/>
              </w:rPr>
              <w:t>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在建</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怀化汇巨环保科技有限公司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非金属矿物制品</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怀环晃审[2022]7号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退出</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湖南阳阳食品科技有限公司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方便食品制造</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怀</w:t>
            </w:r>
            <w:r>
              <w:rPr>
                <w:rFonts w:hint="eastAsia" w:ascii="仿宋" w:hAnsi="仿宋" w:eastAsia="仿宋" w:cs="仿宋"/>
                <w:color w:val="auto"/>
                <w:kern w:val="2"/>
                <w:sz w:val="21"/>
                <w:szCs w:val="21"/>
                <w:highlight w:val="none"/>
                <w:lang w:val="en-US" w:eastAsia="zh-CN"/>
              </w:rPr>
              <w:t>环晃</w:t>
            </w:r>
            <w:r>
              <w:rPr>
                <w:rFonts w:hint="eastAsia" w:ascii="仿宋" w:hAnsi="仿宋" w:eastAsia="仿宋" w:cs="仿宋"/>
                <w:color w:val="auto"/>
                <w:kern w:val="2"/>
                <w:sz w:val="21"/>
                <w:szCs w:val="21"/>
                <w:highlight w:val="none"/>
              </w:rPr>
              <w:t>审[20</w:t>
            </w:r>
            <w:r>
              <w:rPr>
                <w:rFonts w:hint="eastAsia" w:ascii="仿宋" w:hAnsi="仿宋" w:eastAsia="仿宋" w:cs="仿宋"/>
                <w:color w:val="auto"/>
                <w:kern w:val="2"/>
                <w:sz w:val="21"/>
                <w:szCs w:val="21"/>
                <w:highlight w:val="none"/>
                <w:lang w:val="en-US" w:eastAsia="zh-CN"/>
              </w:rPr>
              <w:t>22</w:t>
            </w:r>
            <w:r>
              <w:rPr>
                <w:rFonts w:hint="eastAsia" w:ascii="仿宋" w:hAnsi="仿宋" w:eastAsia="仿宋" w:cs="仿宋"/>
                <w:color w:val="auto"/>
                <w:kern w:val="2"/>
                <w:sz w:val="21"/>
                <w:szCs w:val="21"/>
                <w:highlight w:val="none"/>
              </w:rPr>
              <w:t>]</w:t>
            </w:r>
            <w:r>
              <w:rPr>
                <w:rFonts w:hint="eastAsia" w:ascii="仿宋" w:hAnsi="仿宋" w:eastAsia="仿宋" w:cs="仿宋"/>
                <w:color w:val="auto"/>
                <w:kern w:val="2"/>
                <w:sz w:val="21"/>
                <w:szCs w:val="21"/>
                <w:highlight w:val="none"/>
                <w:lang w:val="en-US" w:eastAsia="zh-CN"/>
              </w:rPr>
              <w:t>3</w:t>
            </w:r>
            <w:r>
              <w:rPr>
                <w:rFonts w:hint="eastAsia" w:ascii="仿宋" w:hAnsi="仿宋" w:eastAsia="仿宋" w:cs="仿宋"/>
                <w:color w:val="auto"/>
                <w:kern w:val="2"/>
                <w:sz w:val="21"/>
                <w:szCs w:val="21"/>
                <w:highlight w:val="none"/>
              </w:rPr>
              <w:t>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停产</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c>
          <w:tcPr>
            <w:tcW w:w="887"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91431227MA7EX9W436001U</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长沙道尚循环科技有限公司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金属废料和碎屑加工处理</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怀环晃审[2022]7号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试生产</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2023.9</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91430124MA4R2WDF2E001V</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新晃新冉科技有限公司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印刷</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怀环晃审[2023]10号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试生产</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环保设施安装调试</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办理中</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湖南英宏再生资源有限责任公司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废弃资源综合利用业</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怀环晃审[2023]6号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试生产</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环保设施安装调试</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91431227MAC93GFE7E001U</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37</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湖南麦金德环保科技有限公司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非金属矿物制品</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怀环晃审[2023]8号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试生产</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环保设施安装调试</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91431227MACDHAGL4C001Z</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jc w:val="center"/>
        </w:trPr>
        <w:tc>
          <w:tcPr>
            <w:tcW w:w="208"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38</w:t>
            </w:r>
          </w:p>
        </w:tc>
        <w:tc>
          <w:tcPr>
            <w:tcW w:w="854"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湖南美蓝环保科技有限公司</w:t>
            </w:r>
          </w:p>
        </w:tc>
        <w:tc>
          <w:tcPr>
            <w:tcW w:w="665"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危险废物治理</w:t>
            </w:r>
          </w:p>
        </w:tc>
        <w:tc>
          <w:tcPr>
            <w:tcW w:w="785"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怀环评[2023]36号</w:t>
            </w:r>
          </w:p>
        </w:tc>
        <w:tc>
          <w:tcPr>
            <w:tcW w:w="683"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2023年验收</w:t>
            </w:r>
          </w:p>
        </w:tc>
        <w:tc>
          <w:tcPr>
            <w:tcW w:w="584"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2023.12</w:t>
            </w:r>
          </w:p>
        </w:tc>
        <w:tc>
          <w:tcPr>
            <w:tcW w:w="887"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91431227MAC05BPH4R001V</w:t>
            </w:r>
          </w:p>
        </w:tc>
        <w:tc>
          <w:tcPr>
            <w:tcW w:w="330"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重点</w:t>
            </w:r>
          </w:p>
        </w:tc>
      </w:tr>
    </w:tbl>
    <w:p>
      <w:pPr>
        <w:rPr>
          <w:rFonts w:hint="default"/>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lang w:val="zh-CN" w:eastAsia="zh-CN"/>
        </w:rPr>
      </w:pPr>
      <w:bookmarkStart w:id="6" w:name="_Toc8190"/>
      <w:r>
        <w:rPr>
          <w:rFonts w:hint="default" w:ascii="Times New Roman" w:hAnsi="Times New Roman" w:cs="Times New Roman"/>
          <w:b/>
          <w:lang w:val="en-US" w:eastAsia="zh-CN"/>
        </w:rPr>
        <w:t>1.5园区主要污染物总量控制情况</w:t>
      </w:r>
      <w:bookmarkEnd w:id="6"/>
    </w:p>
    <w:p>
      <w:pPr>
        <w:keepNext w:val="0"/>
        <w:keepLines w:val="0"/>
        <w:pageBreakBefore w:val="0"/>
        <w:widowControl w:val="0"/>
        <w:kinsoku/>
        <w:wordWrap/>
        <w:overflowPunct/>
        <w:topLinePunct w:val="0"/>
        <w:autoSpaceDE/>
        <w:autoSpaceDN/>
        <w:bidi w:val="0"/>
        <w:adjustRightInd/>
        <w:snapToGrid/>
        <w:spacing w:line="600" w:lineRule="exact"/>
        <w:ind w:firstLine="546" w:firstLineChars="200"/>
        <w:jc w:val="left"/>
        <w:textAlignment w:val="auto"/>
        <w:rPr>
          <w:rFonts w:hint="default"/>
          <w:b/>
          <w:color w:val="auto"/>
          <w:spacing w:val="-4"/>
          <w:kern w:val="20"/>
          <w:highlight w:val="none"/>
          <w:lang w:val="en-US" w:eastAsia="zh-CN"/>
        </w:rPr>
      </w:pPr>
      <w:r>
        <w:rPr>
          <w:rFonts w:hint="eastAsia"/>
          <w:b/>
          <w:color w:val="auto"/>
          <w:spacing w:val="-4"/>
          <w:kern w:val="20"/>
          <w:highlight w:val="none"/>
          <w:lang w:val="en-US" w:eastAsia="zh-CN"/>
        </w:rPr>
        <w:t>一、</w:t>
      </w:r>
      <w:r>
        <w:rPr>
          <w:rFonts w:hint="default"/>
          <w:b/>
          <w:color w:val="auto"/>
          <w:spacing w:val="-4"/>
          <w:kern w:val="20"/>
          <w:highlight w:val="none"/>
          <w:lang w:val="en-US" w:eastAsia="zh-CN"/>
        </w:rPr>
        <w:t>园区主要污染物总量控制指标：</w:t>
      </w:r>
    </w:p>
    <w:p>
      <w:pPr>
        <w:pStyle w:val="13"/>
        <w:widowControl/>
        <w:spacing w:beforeAutospacing="0" w:afterAutospacing="0" w:line="30" w:lineRule="atLeast"/>
        <w:jc w:val="center"/>
        <w:rPr>
          <w:rFonts w:hint="default" w:ascii="Times New Roman" w:hAnsi="Times New Roman" w:eastAsia="仿宋" w:cs="Times New Roman"/>
          <w:b w:val="0"/>
          <w:bCs/>
          <w:color w:val="333333"/>
          <w:sz w:val="28"/>
          <w:szCs w:val="40"/>
          <w:shd w:val="clear" w:color="auto" w:fill="FFFFFF"/>
          <w:lang w:val="zh-CN"/>
        </w:rPr>
      </w:pPr>
      <w:r>
        <w:rPr>
          <w:rFonts w:hint="default" w:ascii="Times New Roman" w:hAnsi="Times New Roman" w:eastAsia="仿宋" w:cs="Times New Roman"/>
          <w:b w:val="0"/>
          <w:bCs/>
          <w:color w:val="333333"/>
          <w:sz w:val="28"/>
          <w:szCs w:val="40"/>
          <w:shd w:val="clear" w:color="auto" w:fill="FFFFFF"/>
          <w:lang w:val="zh-CN"/>
        </w:rPr>
        <w:t>表</w:t>
      </w:r>
      <w:r>
        <w:rPr>
          <w:rFonts w:hint="eastAsia" w:ascii="Times New Roman" w:hAnsi="Times New Roman" w:eastAsia="仿宋" w:cs="Times New Roman"/>
          <w:b w:val="0"/>
          <w:bCs/>
          <w:color w:val="333333"/>
          <w:sz w:val="28"/>
          <w:szCs w:val="40"/>
          <w:shd w:val="clear" w:color="auto" w:fill="FFFFFF"/>
          <w:lang w:val="en-US" w:eastAsia="zh-CN"/>
        </w:rPr>
        <w:t xml:space="preserve">2 </w:t>
      </w:r>
      <w:r>
        <w:rPr>
          <w:rFonts w:hint="eastAsia" w:ascii="Times New Roman" w:hAnsi="Times New Roman" w:eastAsia="仿宋" w:cs="Times New Roman"/>
          <w:b w:val="0"/>
          <w:bCs/>
          <w:color w:val="333333"/>
          <w:sz w:val="28"/>
          <w:szCs w:val="40"/>
          <w:shd w:val="clear" w:color="auto" w:fill="FFFFFF"/>
          <w:lang w:val="zh-CN"/>
        </w:rPr>
        <w:t>园区</w:t>
      </w:r>
      <w:r>
        <w:rPr>
          <w:rFonts w:hint="default" w:ascii="Times New Roman" w:hAnsi="Times New Roman" w:eastAsia="仿宋" w:cs="Times New Roman"/>
          <w:b w:val="0"/>
          <w:bCs/>
          <w:color w:val="333333"/>
          <w:sz w:val="28"/>
          <w:szCs w:val="40"/>
          <w:shd w:val="clear" w:color="auto" w:fill="FFFFFF"/>
          <w:lang w:val="zh-CN"/>
        </w:rPr>
        <w:t>区污染物总量控制清单  单位：t/a</w:t>
      </w:r>
    </w:p>
    <w:tbl>
      <w:tblPr>
        <w:tblStyle w:val="17"/>
        <w:tblW w:w="82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069"/>
        <w:gridCol w:w="1671"/>
        <w:gridCol w:w="2464"/>
        <w:gridCol w:w="20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8" w:hRule="atLeast"/>
        </w:trPr>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片区</w:t>
            </w:r>
          </w:p>
        </w:tc>
        <w:tc>
          <w:tcPr>
            <w:tcW w:w="1671"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类型</w:t>
            </w:r>
          </w:p>
        </w:tc>
        <w:tc>
          <w:tcPr>
            <w:tcW w:w="2464"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污染因子</w:t>
            </w:r>
          </w:p>
        </w:tc>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总量控制指标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2069" w:type="dxa"/>
            <w:vMerge w:val="restart"/>
            <w:shd w:val="clear" w:color="auto" w:fill="auto"/>
            <w:tcMar>
              <w:top w:w="72" w:type="dxa"/>
              <w:left w:w="144" w:type="dxa"/>
              <w:bottom w:w="72" w:type="dxa"/>
              <w:right w:w="144"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全园区</w:t>
            </w:r>
          </w:p>
        </w:tc>
        <w:tc>
          <w:tcPr>
            <w:tcW w:w="1671" w:type="dxa"/>
            <w:vMerge w:val="restart"/>
            <w:shd w:val="clear" w:color="auto" w:fill="auto"/>
            <w:tcMar>
              <w:top w:w="72" w:type="dxa"/>
              <w:left w:w="144" w:type="dxa"/>
              <w:bottom w:w="72" w:type="dxa"/>
              <w:right w:w="144"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大气污染物</w:t>
            </w:r>
          </w:p>
        </w:tc>
        <w:tc>
          <w:tcPr>
            <w:tcW w:w="2464"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二氧化硫</w:t>
            </w:r>
          </w:p>
        </w:tc>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249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2464"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氮氧化物</w:t>
            </w:r>
          </w:p>
        </w:tc>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228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2464"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颗粒物</w:t>
            </w:r>
          </w:p>
        </w:tc>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982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2464"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挥发性有机物</w:t>
            </w:r>
          </w:p>
        </w:tc>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5" w:hRule="atLeast"/>
        </w:trPr>
        <w:tc>
          <w:tcPr>
            <w:tcW w:w="2069" w:type="dxa"/>
            <w:vMerge w:val="restart"/>
            <w:shd w:val="clear" w:color="auto" w:fill="auto"/>
            <w:tcMar>
              <w:top w:w="72" w:type="dxa"/>
              <w:left w:w="144" w:type="dxa"/>
              <w:bottom w:w="72" w:type="dxa"/>
              <w:right w:w="144"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全园区</w:t>
            </w:r>
          </w:p>
        </w:tc>
        <w:tc>
          <w:tcPr>
            <w:tcW w:w="1671" w:type="dxa"/>
            <w:vMerge w:val="restart"/>
            <w:shd w:val="clear" w:color="auto" w:fill="auto"/>
            <w:tcMar>
              <w:top w:w="72" w:type="dxa"/>
              <w:left w:w="144" w:type="dxa"/>
              <w:bottom w:w="72" w:type="dxa"/>
              <w:right w:w="144"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水污染物</w:t>
            </w:r>
          </w:p>
        </w:tc>
        <w:tc>
          <w:tcPr>
            <w:tcW w:w="2464"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化学需氧量</w:t>
            </w:r>
          </w:p>
        </w:tc>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137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2464"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氨氮</w:t>
            </w:r>
          </w:p>
        </w:tc>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33</w:t>
            </w:r>
          </w:p>
        </w:tc>
      </w:tr>
    </w:tbl>
    <w:p>
      <w:pPr>
        <w:keepNext w:val="0"/>
        <w:keepLines w:val="0"/>
        <w:pageBreakBefore w:val="0"/>
        <w:widowControl w:val="0"/>
        <w:kinsoku/>
        <w:wordWrap/>
        <w:overflowPunct/>
        <w:topLinePunct w:val="0"/>
        <w:autoSpaceDE/>
        <w:autoSpaceDN/>
        <w:bidi w:val="0"/>
        <w:adjustRightInd/>
        <w:snapToGrid/>
        <w:spacing w:line="600" w:lineRule="exact"/>
        <w:ind w:firstLine="546" w:firstLineChars="200"/>
        <w:jc w:val="left"/>
        <w:textAlignment w:val="auto"/>
        <w:rPr>
          <w:rFonts w:hint="default" w:eastAsiaTheme="minorEastAsia"/>
          <w:b/>
          <w:color w:val="auto"/>
          <w:spacing w:val="-4"/>
          <w:kern w:val="20"/>
          <w:highlight w:val="none"/>
          <w:lang w:val="en-US" w:eastAsia="zh-CN"/>
        </w:rPr>
      </w:pPr>
      <w:r>
        <w:rPr>
          <w:rFonts w:hint="eastAsia"/>
          <w:b/>
          <w:color w:val="auto"/>
          <w:spacing w:val="-4"/>
          <w:kern w:val="20"/>
          <w:highlight w:val="none"/>
          <w:lang w:val="en-US" w:eastAsia="zh-CN"/>
        </w:rPr>
        <w:t>二、园区环境容量现状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1、大气环境容量。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根据大气环境容量计算结果：前锋工业园鱼市片区、柏树林工业园近期大气污染物排放量均未超过相应区域允许排放总量，大气环境容量充足。</w:t>
      </w:r>
    </w:p>
    <w:p>
      <w:pPr>
        <w:pStyle w:val="13"/>
        <w:widowControl/>
        <w:spacing w:beforeAutospacing="0" w:afterAutospacing="0" w:line="30" w:lineRule="atLeast"/>
        <w:jc w:val="center"/>
        <w:rPr>
          <w:rFonts w:hint="default" w:ascii="Times New Roman" w:hAnsi="Times New Roman" w:eastAsia="仿宋" w:cs="Times New Roman"/>
          <w:b w:val="0"/>
          <w:bCs/>
          <w:color w:val="333333"/>
          <w:sz w:val="28"/>
          <w:szCs w:val="40"/>
          <w:shd w:val="clear" w:color="auto" w:fill="FFFFFF"/>
          <w:lang w:val="zh-CN"/>
        </w:rPr>
      </w:pPr>
      <w:r>
        <w:rPr>
          <w:rFonts w:hint="default" w:ascii="Times New Roman" w:hAnsi="Times New Roman" w:eastAsia="仿宋" w:cs="Times New Roman"/>
          <w:b w:val="0"/>
          <w:bCs/>
          <w:color w:val="333333"/>
          <w:sz w:val="28"/>
          <w:szCs w:val="40"/>
          <w:shd w:val="clear" w:color="auto" w:fill="FFFFFF"/>
          <w:lang w:val="zh-CN"/>
        </w:rPr>
        <w:t>表</w:t>
      </w:r>
      <w:r>
        <w:rPr>
          <w:rFonts w:hint="eastAsia" w:ascii="Times New Roman" w:hAnsi="Times New Roman" w:eastAsia="仿宋" w:cs="Times New Roman"/>
          <w:b w:val="0"/>
          <w:bCs/>
          <w:color w:val="333333"/>
          <w:sz w:val="28"/>
          <w:szCs w:val="40"/>
          <w:shd w:val="clear" w:color="auto" w:fill="FFFFFF"/>
          <w:lang w:val="en-US" w:eastAsia="zh-CN"/>
        </w:rPr>
        <w:t>3</w:t>
      </w:r>
      <w:r>
        <w:rPr>
          <w:rFonts w:hint="eastAsia" w:ascii="Times New Roman" w:hAnsi="Times New Roman" w:eastAsia="仿宋" w:cs="Times New Roman"/>
          <w:b w:val="0"/>
          <w:bCs/>
          <w:color w:val="333333"/>
          <w:sz w:val="28"/>
          <w:szCs w:val="40"/>
          <w:shd w:val="clear" w:color="auto" w:fill="FFFFFF"/>
          <w:lang w:val="zh-CN"/>
        </w:rPr>
        <w:t xml:space="preserve">    </w:t>
      </w:r>
      <w:r>
        <w:rPr>
          <w:rFonts w:hint="default" w:ascii="Times New Roman" w:hAnsi="Times New Roman" w:eastAsia="仿宋" w:cs="Times New Roman"/>
          <w:b w:val="0"/>
          <w:bCs/>
          <w:color w:val="333333"/>
          <w:sz w:val="28"/>
          <w:szCs w:val="40"/>
          <w:shd w:val="clear" w:color="auto" w:fill="FFFFFF"/>
          <w:lang w:val="zh-CN"/>
        </w:rPr>
        <w:t>大气环境容量计算结果  单位：t/a</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5"/>
        <w:gridCol w:w="2520"/>
        <w:gridCol w:w="908"/>
        <w:gridCol w:w="941"/>
        <w:gridCol w:w="908"/>
        <w:gridCol w:w="1015"/>
        <w:gridCol w:w="589"/>
        <w:gridCol w:w="10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0" w:type="auto"/>
            <w:gridSpan w:val="2"/>
            <w:vMerge w:val="restart"/>
            <w:shd w:val="clear" w:color="auto" w:fill="auto"/>
            <w:vAlign w:val="center"/>
          </w:tcPr>
          <w:p>
            <w:pPr>
              <w:adjustRightInd w:val="0"/>
              <w:snapToGrid w:val="0"/>
              <w:jc w:val="center"/>
              <w:rPr>
                <w:color w:val="auto"/>
                <w:sz w:val="21"/>
                <w:szCs w:val="21"/>
                <w:highlight w:val="none"/>
              </w:rPr>
            </w:pPr>
            <w:r>
              <w:rPr>
                <w:rFonts w:hint="eastAsia"/>
                <w:color w:val="auto"/>
                <w:sz w:val="21"/>
                <w:szCs w:val="21"/>
                <w:highlight w:val="none"/>
              </w:rPr>
              <w:t>区域类别</w:t>
            </w:r>
          </w:p>
        </w:tc>
        <w:tc>
          <w:tcPr>
            <w:tcW w:w="0" w:type="auto"/>
            <w:gridSpan w:val="6"/>
            <w:shd w:val="clear" w:color="auto" w:fill="auto"/>
            <w:vAlign w:val="center"/>
          </w:tcPr>
          <w:p>
            <w:pPr>
              <w:adjustRightInd w:val="0"/>
              <w:snapToGrid w:val="0"/>
              <w:jc w:val="center"/>
              <w:rPr>
                <w:color w:val="auto"/>
                <w:sz w:val="21"/>
                <w:szCs w:val="21"/>
                <w:highlight w:val="none"/>
              </w:rPr>
            </w:pPr>
            <w:r>
              <w:rPr>
                <w:color w:val="auto"/>
                <w:sz w:val="21"/>
                <w:szCs w:val="21"/>
                <w:highlight w:val="none"/>
              </w:rPr>
              <w:t>总量控制因子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0" w:type="auto"/>
            <w:gridSpan w:val="2"/>
            <w:vMerge w:val="continue"/>
            <w:shd w:val="clear" w:color="auto" w:fill="auto"/>
            <w:vAlign w:val="center"/>
          </w:tcPr>
          <w:p>
            <w:pPr>
              <w:adjustRightInd w:val="0"/>
              <w:snapToGrid w:val="0"/>
              <w:rPr>
                <w:color w:val="auto"/>
                <w:sz w:val="21"/>
                <w:szCs w:val="21"/>
                <w:highlight w:val="none"/>
              </w:rPr>
            </w:pPr>
          </w:p>
        </w:tc>
        <w:tc>
          <w:tcPr>
            <w:tcW w:w="0" w:type="auto"/>
            <w:shd w:val="clear" w:color="auto" w:fill="auto"/>
            <w:vAlign w:val="center"/>
          </w:tcPr>
          <w:p>
            <w:pPr>
              <w:adjustRightInd w:val="0"/>
              <w:snapToGrid w:val="0"/>
              <w:jc w:val="center"/>
              <w:rPr>
                <w:color w:val="auto"/>
                <w:sz w:val="21"/>
                <w:szCs w:val="21"/>
                <w:highlight w:val="none"/>
              </w:rPr>
            </w:pPr>
            <w:r>
              <w:rPr>
                <w:color w:val="auto"/>
                <w:sz w:val="21"/>
                <w:szCs w:val="21"/>
                <w:highlight w:val="none"/>
              </w:rPr>
              <w:t>PM</w:t>
            </w:r>
            <w:r>
              <w:rPr>
                <w:color w:val="auto"/>
                <w:sz w:val="21"/>
                <w:szCs w:val="21"/>
                <w:highlight w:val="none"/>
                <w:vertAlign w:val="subscript"/>
              </w:rPr>
              <w:t>10</w:t>
            </w:r>
          </w:p>
        </w:tc>
        <w:tc>
          <w:tcPr>
            <w:tcW w:w="0" w:type="auto"/>
            <w:shd w:val="clear" w:color="auto" w:fill="auto"/>
            <w:vAlign w:val="center"/>
          </w:tcPr>
          <w:p>
            <w:pPr>
              <w:adjustRightInd w:val="0"/>
              <w:snapToGrid w:val="0"/>
              <w:jc w:val="center"/>
              <w:rPr>
                <w:color w:val="auto"/>
                <w:sz w:val="21"/>
                <w:szCs w:val="21"/>
                <w:highlight w:val="none"/>
              </w:rPr>
            </w:pPr>
            <w:r>
              <w:rPr>
                <w:color w:val="auto"/>
                <w:sz w:val="21"/>
                <w:szCs w:val="21"/>
                <w:highlight w:val="none"/>
              </w:rPr>
              <w:t>SO</w:t>
            </w:r>
            <w:r>
              <w:rPr>
                <w:color w:val="auto"/>
                <w:sz w:val="21"/>
                <w:szCs w:val="21"/>
                <w:highlight w:val="none"/>
                <w:vertAlign w:val="subscript"/>
              </w:rPr>
              <w:t>2</w:t>
            </w:r>
          </w:p>
        </w:tc>
        <w:tc>
          <w:tcPr>
            <w:tcW w:w="0" w:type="auto"/>
            <w:shd w:val="clear" w:color="auto" w:fill="auto"/>
            <w:vAlign w:val="center"/>
          </w:tcPr>
          <w:p>
            <w:pPr>
              <w:adjustRightInd w:val="0"/>
              <w:snapToGrid w:val="0"/>
              <w:jc w:val="center"/>
              <w:rPr>
                <w:color w:val="auto"/>
                <w:sz w:val="21"/>
                <w:szCs w:val="21"/>
                <w:highlight w:val="none"/>
              </w:rPr>
            </w:pPr>
            <w:r>
              <w:rPr>
                <w:color w:val="auto"/>
                <w:sz w:val="21"/>
                <w:szCs w:val="21"/>
                <w:highlight w:val="none"/>
              </w:rPr>
              <w:t>NO</w:t>
            </w:r>
            <w:r>
              <w:rPr>
                <w:rFonts w:hint="eastAsia"/>
                <w:color w:val="auto"/>
                <w:sz w:val="21"/>
                <w:szCs w:val="21"/>
                <w:highlight w:val="none"/>
                <w:vertAlign w:val="subscript"/>
              </w:rPr>
              <w:t>x</w:t>
            </w:r>
          </w:p>
        </w:tc>
        <w:tc>
          <w:tcPr>
            <w:tcW w:w="0" w:type="auto"/>
            <w:shd w:val="clear" w:color="auto" w:fill="auto"/>
            <w:vAlign w:val="center"/>
          </w:tcPr>
          <w:p>
            <w:pPr>
              <w:adjustRightInd w:val="0"/>
              <w:snapToGrid w:val="0"/>
              <w:jc w:val="center"/>
              <w:rPr>
                <w:color w:val="auto"/>
                <w:sz w:val="21"/>
                <w:szCs w:val="21"/>
                <w:highlight w:val="none"/>
              </w:rPr>
            </w:pPr>
            <w:r>
              <w:rPr>
                <w:rFonts w:hint="eastAsia"/>
                <w:color w:val="auto"/>
                <w:sz w:val="21"/>
                <w:szCs w:val="21"/>
                <w:highlight w:val="none"/>
              </w:rPr>
              <w:t>V</w:t>
            </w:r>
            <w:r>
              <w:rPr>
                <w:color w:val="auto"/>
                <w:sz w:val="21"/>
                <w:szCs w:val="21"/>
                <w:highlight w:val="none"/>
              </w:rPr>
              <w:t>OCs</w:t>
            </w:r>
          </w:p>
        </w:tc>
        <w:tc>
          <w:tcPr>
            <w:tcW w:w="0" w:type="auto"/>
            <w:vAlign w:val="center"/>
          </w:tcPr>
          <w:p>
            <w:pPr>
              <w:spacing w:line="240" w:lineRule="auto"/>
              <w:jc w:val="center"/>
              <w:rPr>
                <w:color w:val="auto"/>
                <w:sz w:val="21"/>
                <w:szCs w:val="21"/>
                <w:highlight w:val="none"/>
              </w:rPr>
            </w:pPr>
            <w:r>
              <w:rPr>
                <w:rFonts w:hint="eastAsia"/>
                <w:color w:val="auto"/>
                <w:sz w:val="21"/>
                <w:szCs w:val="21"/>
                <w:highlight w:val="none"/>
              </w:rPr>
              <w:t>Hg</w:t>
            </w:r>
          </w:p>
        </w:tc>
        <w:tc>
          <w:tcPr>
            <w:tcW w:w="0" w:type="auto"/>
            <w:vAlign w:val="center"/>
          </w:tcPr>
          <w:p>
            <w:pPr>
              <w:spacing w:line="240" w:lineRule="auto"/>
              <w:jc w:val="center"/>
              <w:rPr>
                <w:color w:val="auto"/>
                <w:sz w:val="21"/>
                <w:szCs w:val="21"/>
                <w:highlight w:val="none"/>
              </w:rPr>
            </w:pPr>
            <w:r>
              <w:rPr>
                <w:rFonts w:hint="eastAsia"/>
                <w:color w:val="auto"/>
                <w:sz w:val="21"/>
                <w:szCs w:val="21"/>
                <w:highlight w:val="none"/>
              </w:rPr>
              <w:t>Cr</w:t>
            </w:r>
            <w:r>
              <w:rPr>
                <w:rFonts w:hint="eastAsia"/>
                <w:color w:val="auto"/>
                <w:sz w:val="21"/>
                <w:szCs w:val="21"/>
                <w:highlight w:val="none"/>
                <w:vertAlign w:val="superscript"/>
              </w:rPr>
              <w:t>6+</w:t>
            </w:r>
            <w:r>
              <w:rPr>
                <w:rFonts w:hint="eastAsia"/>
                <w:color w:val="auto"/>
                <w:sz w:val="21"/>
                <w:szCs w:val="21"/>
                <w:highlight w:val="none"/>
              </w:rPr>
              <w:t>（kg</w:t>
            </w:r>
            <w:r>
              <w:rPr>
                <w:color w:val="auto"/>
                <w:sz w:val="21"/>
                <w:szCs w:val="21"/>
                <w:highlight w:val="none"/>
              </w:rPr>
              <w:t>/</w:t>
            </w:r>
            <w:r>
              <w:rPr>
                <w:rFonts w:hint="eastAsia"/>
                <w:color w:val="auto"/>
                <w:sz w:val="21"/>
                <w:szCs w:val="21"/>
                <w:highlight w:val="none"/>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90" w:type="pct"/>
            <w:vMerge w:val="restart"/>
            <w:shd w:val="clear" w:color="auto" w:fill="auto"/>
            <w:vAlign w:val="center"/>
          </w:tcPr>
          <w:p>
            <w:pPr>
              <w:adjustRightInd w:val="0"/>
              <w:snapToGrid w:val="0"/>
              <w:rPr>
                <w:color w:val="auto"/>
                <w:sz w:val="21"/>
                <w:szCs w:val="21"/>
                <w:highlight w:val="none"/>
              </w:rPr>
            </w:pPr>
            <w:r>
              <w:rPr>
                <w:color w:val="auto"/>
                <w:kern w:val="0"/>
                <w:sz w:val="21"/>
                <w:szCs w:val="21"/>
                <w:highlight w:val="none"/>
              </w:rPr>
              <w:t>前锋工业园</w:t>
            </w:r>
          </w:p>
        </w:tc>
        <w:tc>
          <w:tcPr>
            <w:tcW w:w="1363" w:type="pct"/>
            <w:shd w:val="clear" w:color="auto" w:fill="auto"/>
            <w:vAlign w:val="center"/>
          </w:tcPr>
          <w:p>
            <w:pPr>
              <w:adjustRightInd w:val="0"/>
              <w:snapToGrid w:val="0"/>
              <w:rPr>
                <w:color w:val="auto"/>
                <w:sz w:val="21"/>
                <w:szCs w:val="21"/>
                <w:highlight w:val="none"/>
              </w:rPr>
            </w:pPr>
            <w:r>
              <w:rPr>
                <w:color w:val="auto"/>
                <w:sz w:val="21"/>
                <w:szCs w:val="21"/>
                <w:highlight w:val="none"/>
              </w:rPr>
              <w:t>计算总环境容量</w:t>
            </w:r>
          </w:p>
        </w:tc>
        <w:tc>
          <w:tcPr>
            <w:tcW w:w="0" w:type="auto"/>
            <w:shd w:val="clear" w:color="auto" w:fill="auto"/>
            <w:vAlign w:val="center"/>
          </w:tcPr>
          <w:p>
            <w:pPr>
              <w:jc w:val="center"/>
              <w:rPr>
                <w:color w:val="auto"/>
                <w:sz w:val="21"/>
                <w:szCs w:val="21"/>
                <w:highlight w:val="none"/>
              </w:rPr>
            </w:pPr>
            <w:r>
              <w:rPr>
                <w:color w:val="auto"/>
                <w:sz w:val="21"/>
                <w:szCs w:val="21"/>
                <w:highlight w:val="none"/>
              </w:rPr>
              <w:t>1428.55</w:t>
            </w:r>
          </w:p>
        </w:tc>
        <w:tc>
          <w:tcPr>
            <w:tcW w:w="0" w:type="auto"/>
            <w:shd w:val="clear" w:color="auto" w:fill="auto"/>
            <w:vAlign w:val="center"/>
          </w:tcPr>
          <w:p>
            <w:pPr>
              <w:jc w:val="center"/>
              <w:rPr>
                <w:color w:val="auto"/>
                <w:sz w:val="21"/>
                <w:szCs w:val="21"/>
                <w:highlight w:val="none"/>
              </w:rPr>
            </w:pPr>
            <w:r>
              <w:rPr>
                <w:color w:val="auto"/>
                <w:sz w:val="21"/>
                <w:szCs w:val="21"/>
                <w:highlight w:val="none"/>
              </w:rPr>
              <w:t>3291.88</w:t>
            </w:r>
          </w:p>
        </w:tc>
        <w:tc>
          <w:tcPr>
            <w:tcW w:w="0" w:type="auto"/>
            <w:shd w:val="clear" w:color="auto" w:fill="auto"/>
            <w:vAlign w:val="center"/>
          </w:tcPr>
          <w:p>
            <w:pPr>
              <w:jc w:val="center"/>
              <w:rPr>
                <w:color w:val="auto"/>
                <w:sz w:val="21"/>
                <w:szCs w:val="21"/>
                <w:highlight w:val="none"/>
              </w:rPr>
            </w:pPr>
            <w:r>
              <w:rPr>
                <w:color w:val="auto"/>
                <w:sz w:val="21"/>
                <w:szCs w:val="21"/>
                <w:highlight w:val="none"/>
              </w:rPr>
              <w:t>2173.88</w:t>
            </w:r>
          </w:p>
        </w:tc>
        <w:tc>
          <w:tcPr>
            <w:tcW w:w="0" w:type="auto"/>
            <w:shd w:val="clear" w:color="auto" w:fill="auto"/>
            <w:vAlign w:val="center"/>
          </w:tcPr>
          <w:p>
            <w:pPr>
              <w:jc w:val="center"/>
              <w:rPr>
                <w:color w:val="auto"/>
                <w:sz w:val="21"/>
                <w:szCs w:val="21"/>
                <w:highlight w:val="none"/>
              </w:rPr>
            </w:pPr>
            <w:r>
              <w:rPr>
                <w:color w:val="auto"/>
                <w:sz w:val="21"/>
                <w:szCs w:val="21"/>
                <w:highlight w:val="none"/>
              </w:rPr>
              <w:t>11204.81</w:t>
            </w:r>
          </w:p>
        </w:tc>
        <w:tc>
          <w:tcPr>
            <w:tcW w:w="0" w:type="auto"/>
            <w:vAlign w:val="center"/>
          </w:tcPr>
          <w:p>
            <w:pPr>
              <w:jc w:val="center"/>
              <w:rPr>
                <w:color w:val="auto"/>
                <w:sz w:val="21"/>
                <w:szCs w:val="21"/>
                <w:highlight w:val="none"/>
              </w:rPr>
            </w:pPr>
            <w:r>
              <w:rPr>
                <w:color w:val="auto"/>
                <w:sz w:val="21"/>
                <w:szCs w:val="21"/>
                <w:highlight w:val="none"/>
              </w:rPr>
              <w:t>3.10</w:t>
            </w:r>
          </w:p>
        </w:tc>
        <w:tc>
          <w:tcPr>
            <w:tcW w:w="0" w:type="auto"/>
            <w:vAlign w:val="center"/>
          </w:tcPr>
          <w:p>
            <w:pPr>
              <w:jc w:val="center"/>
              <w:rPr>
                <w:color w:val="auto"/>
                <w:sz w:val="21"/>
                <w:szCs w:val="21"/>
                <w:highlight w:val="none"/>
              </w:rPr>
            </w:pPr>
            <w:r>
              <w:rPr>
                <w:color w:val="auto"/>
                <w:sz w:val="21"/>
                <w:szCs w:val="21"/>
                <w:highlight w:val="none"/>
              </w:rPr>
              <w:t>1.55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90" w:type="pct"/>
            <w:vMerge w:val="continue"/>
            <w:shd w:val="clear" w:color="auto" w:fill="auto"/>
            <w:vAlign w:val="center"/>
          </w:tcPr>
          <w:p>
            <w:pPr>
              <w:adjustRightInd w:val="0"/>
              <w:snapToGrid w:val="0"/>
              <w:rPr>
                <w:color w:val="auto"/>
                <w:sz w:val="21"/>
                <w:szCs w:val="21"/>
                <w:highlight w:val="none"/>
              </w:rPr>
            </w:pPr>
          </w:p>
        </w:tc>
        <w:tc>
          <w:tcPr>
            <w:tcW w:w="1363" w:type="pct"/>
            <w:shd w:val="clear" w:color="auto" w:fill="auto"/>
            <w:vAlign w:val="center"/>
          </w:tcPr>
          <w:p>
            <w:pPr>
              <w:adjustRightInd w:val="0"/>
              <w:snapToGrid w:val="0"/>
              <w:rPr>
                <w:color w:val="auto"/>
                <w:sz w:val="21"/>
                <w:szCs w:val="21"/>
                <w:highlight w:val="none"/>
              </w:rPr>
            </w:pPr>
            <w:r>
              <w:rPr>
                <w:color w:val="auto"/>
                <w:sz w:val="21"/>
                <w:szCs w:val="21"/>
                <w:highlight w:val="none"/>
              </w:rPr>
              <w:t>2025年预测</w:t>
            </w:r>
            <w:r>
              <w:rPr>
                <w:rFonts w:hint="eastAsia"/>
                <w:color w:val="auto"/>
                <w:sz w:val="21"/>
                <w:szCs w:val="21"/>
                <w:highlight w:val="none"/>
              </w:rPr>
              <w:t>新增</w:t>
            </w:r>
            <w:r>
              <w:rPr>
                <w:color w:val="auto"/>
                <w:sz w:val="21"/>
                <w:szCs w:val="21"/>
                <w:highlight w:val="none"/>
              </w:rPr>
              <w:t>排放量</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652</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179.82</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202.29</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12.27</w:t>
            </w:r>
          </w:p>
        </w:tc>
        <w:tc>
          <w:tcPr>
            <w:tcW w:w="0" w:type="auto"/>
            <w:vAlign w:val="center"/>
          </w:tcPr>
          <w:p>
            <w:pPr>
              <w:jc w:val="center"/>
              <w:rPr>
                <w:color w:val="auto"/>
                <w:sz w:val="21"/>
                <w:szCs w:val="21"/>
                <w:highlight w:val="none"/>
              </w:rPr>
            </w:pPr>
            <w:r>
              <w:rPr>
                <w:color w:val="auto"/>
                <w:sz w:val="21"/>
                <w:szCs w:val="21"/>
                <w:highlight w:val="none"/>
              </w:rPr>
              <w:t>0</w:t>
            </w:r>
          </w:p>
        </w:tc>
        <w:tc>
          <w:tcPr>
            <w:tcW w:w="0" w:type="auto"/>
            <w:vAlign w:val="center"/>
          </w:tcPr>
          <w:p>
            <w:pPr>
              <w:jc w:val="center"/>
              <w:rPr>
                <w:color w:val="auto"/>
                <w:sz w:val="21"/>
                <w:szCs w:val="21"/>
                <w:highlight w:val="none"/>
              </w:rPr>
            </w:pPr>
            <w:r>
              <w:rPr>
                <w:color w:val="auto"/>
                <w:sz w:val="21"/>
                <w:szCs w:val="21"/>
                <w:highlight w:val="non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90" w:type="pct"/>
            <w:vMerge w:val="continue"/>
            <w:shd w:val="clear" w:color="auto" w:fill="auto"/>
            <w:vAlign w:val="center"/>
          </w:tcPr>
          <w:p>
            <w:pPr>
              <w:adjustRightInd w:val="0"/>
              <w:snapToGrid w:val="0"/>
              <w:rPr>
                <w:color w:val="auto"/>
                <w:sz w:val="21"/>
                <w:szCs w:val="21"/>
                <w:highlight w:val="none"/>
              </w:rPr>
            </w:pPr>
          </w:p>
        </w:tc>
        <w:tc>
          <w:tcPr>
            <w:tcW w:w="1363" w:type="pct"/>
            <w:shd w:val="clear" w:color="auto" w:fill="auto"/>
            <w:vAlign w:val="center"/>
          </w:tcPr>
          <w:p>
            <w:pPr>
              <w:adjustRightInd w:val="0"/>
              <w:snapToGrid w:val="0"/>
              <w:rPr>
                <w:color w:val="auto"/>
                <w:sz w:val="21"/>
                <w:szCs w:val="21"/>
                <w:highlight w:val="none"/>
              </w:rPr>
            </w:pPr>
            <w:r>
              <w:rPr>
                <w:color w:val="auto"/>
                <w:sz w:val="21"/>
                <w:szCs w:val="21"/>
                <w:highlight w:val="none"/>
              </w:rPr>
              <w:t>剩余环境容量</w:t>
            </w:r>
          </w:p>
        </w:tc>
        <w:tc>
          <w:tcPr>
            <w:tcW w:w="0" w:type="auto"/>
            <w:shd w:val="clear" w:color="auto" w:fill="auto"/>
            <w:vAlign w:val="center"/>
          </w:tcPr>
          <w:p>
            <w:pPr>
              <w:jc w:val="center"/>
              <w:rPr>
                <w:color w:val="auto"/>
                <w:sz w:val="21"/>
                <w:szCs w:val="21"/>
                <w:highlight w:val="none"/>
              </w:rPr>
            </w:pPr>
            <w:r>
              <w:rPr>
                <w:color w:val="auto"/>
                <w:sz w:val="21"/>
                <w:szCs w:val="21"/>
                <w:highlight w:val="none"/>
              </w:rPr>
              <w:t>776.55</w:t>
            </w:r>
          </w:p>
        </w:tc>
        <w:tc>
          <w:tcPr>
            <w:tcW w:w="0" w:type="auto"/>
            <w:shd w:val="clear" w:color="auto" w:fill="auto"/>
            <w:vAlign w:val="center"/>
          </w:tcPr>
          <w:p>
            <w:pPr>
              <w:jc w:val="center"/>
              <w:rPr>
                <w:color w:val="auto"/>
                <w:sz w:val="21"/>
                <w:szCs w:val="21"/>
                <w:highlight w:val="none"/>
              </w:rPr>
            </w:pPr>
            <w:r>
              <w:rPr>
                <w:color w:val="auto"/>
                <w:sz w:val="21"/>
                <w:szCs w:val="21"/>
                <w:highlight w:val="none"/>
              </w:rPr>
              <w:t>3112.06</w:t>
            </w:r>
          </w:p>
        </w:tc>
        <w:tc>
          <w:tcPr>
            <w:tcW w:w="0" w:type="auto"/>
            <w:shd w:val="clear" w:color="auto" w:fill="auto"/>
            <w:vAlign w:val="center"/>
          </w:tcPr>
          <w:p>
            <w:pPr>
              <w:jc w:val="center"/>
              <w:rPr>
                <w:color w:val="auto"/>
                <w:sz w:val="21"/>
                <w:szCs w:val="21"/>
                <w:highlight w:val="none"/>
              </w:rPr>
            </w:pPr>
            <w:r>
              <w:rPr>
                <w:color w:val="auto"/>
                <w:sz w:val="21"/>
                <w:szCs w:val="21"/>
                <w:highlight w:val="none"/>
              </w:rPr>
              <w:t>1971.59</w:t>
            </w:r>
          </w:p>
        </w:tc>
        <w:tc>
          <w:tcPr>
            <w:tcW w:w="0" w:type="auto"/>
            <w:shd w:val="clear" w:color="auto" w:fill="auto"/>
            <w:vAlign w:val="center"/>
          </w:tcPr>
          <w:p>
            <w:pPr>
              <w:jc w:val="center"/>
              <w:rPr>
                <w:color w:val="auto"/>
                <w:sz w:val="21"/>
                <w:szCs w:val="21"/>
                <w:highlight w:val="none"/>
              </w:rPr>
            </w:pPr>
            <w:r>
              <w:rPr>
                <w:color w:val="auto"/>
                <w:sz w:val="21"/>
                <w:szCs w:val="21"/>
                <w:highlight w:val="none"/>
              </w:rPr>
              <w:t>11192.54</w:t>
            </w:r>
          </w:p>
        </w:tc>
        <w:tc>
          <w:tcPr>
            <w:tcW w:w="0" w:type="auto"/>
            <w:vAlign w:val="center"/>
          </w:tcPr>
          <w:p>
            <w:pPr>
              <w:jc w:val="center"/>
              <w:rPr>
                <w:color w:val="auto"/>
                <w:sz w:val="21"/>
                <w:szCs w:val="21"/>
                <w:highlight w:val="none"/>
              </w:rPr>
            </w:pPr>
            <w:r>
              <w:rPr>
                <w:color w:val="auto"/>
                <w:sz w:val="21"/>
                <w:szCs w:val="21"/>
                <w:highlight w:val="none"/>
              </w:rPr>
              <w:t>3.10</w:t>
            </w:r>
          </w:p>
        </w:tc>
        <w:tc>
          <w:tcPr>
            <w:tcW w:w="0" w:type="auto"/>
            <w:vAlign w:val="center"/>
          </w:tcPr>
          <w:p>
            <w:pPr>
              <w:jc w:val="center"/>
              <w:rPr>
                <w:color w:val="auto"/>
                <w:sz w:val="21"/>
                <w:szCs w:val="21"/>
                <w:highlight w:val="none"/>
              </w:rPr>
            </w:pPr>
            <w:r>
              <w:rPr>
                <w:color w:val="auto"/>
                <w:sz w:val="21"/>
                <w:szCs w:val="21"/>
                <w:highlight w:val="none"/>
              </w:rPr>
              <w:t>1.55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90" w:type="pct"/>
            <w:vMerge w:val="restart"/>
            <w:shd w:val="clear" w:color="auto" w:fill="auto"/>
            <w:vAlign w:val="center"/>
          </w:tcPr>
          <w:p>
            <w:pPr>
              <w:adjustRightInd w:val="0"/>
              <w:snapToGrid w:val="0"/>
              <w:rPr>
                <w:color w:val="auto"/>
                <w:sz w:val="21"/>
                <w:szCs w:val="21"/>
                <w:highlight w:val="none"/>
              </w:rPr>
            </w:pPr>
            <w:r>
              <w:rPr>
                <w:color w:val="auto"/>
                <w:kern w:val="0"/>
                <w:sz w:val="21"/>
                <w:szCs w:val="21"/>
                <w:highlight w:val="none"/>
              </w:rPr>
              <w:t>柏树林工业园</w:t>
            </w:r>
          </w:p>
        </w:tc>
        <w:tc>
          <w:tcPr>
            <w:tcW w:w="1363" w:type="pct"/>
            <w:shd w:val="clear" w:color="auto" w:fill="auto"/>
            <w:vAlign w:val="center"/>
          </w:tcPr>
          <w:p>
            <w:pPr>
              <w:adjustRightInd w:val="0"/>
              <w:snapToGrid w:val="0"/>
              <w:rPr>
                <w:color w:val="auto"/>
                <w:sz w:val="21"/>
                <w:szCs w:val="21"/>
                <w:highlight w:val="none"/>
              </w:rPr>
            </w:pPr>
            <w:r>
              <w:rPr>
                <w:color w:val="auto"/>
                <w:sz w:val="21"/>
                <w:szCs w:val="21"/>
                <w:highlight w:val="none"/>
              </w:rPr>
              <w:t>计算总环境容量</w:t>
            </w:r>
          </w:p>
        </w:tc>
        <w:tc>
          <w:tcPr>
            <w:tcW w:w="0" w:type="auto"/>
            <w:shd w:val="clear" w:color="auto" w:fill="auto"/>
            <w:vAlign w:val="center"/>
          </w:tcPr>
          <w:p>
            <w:pPr>
              <w:jc w:val="center"/>
              <w:rPr>
                <w:color w:val="auto"/>
                <w:sz w:val="21"/>
                <w:szCs w:val="21"/>
                <w:highlight w:val="none"/>
              </w:rPr>
            </w:pPr>
            <w:r>
              <w:rPr>
                <w:color w:val="auto"/>
                <w:sz w:val="21"/>
                <w:szCs w:val="21"/>
                <w:highlight w:val="none"/>
              </w:rPr>
              <w:t>435.24</w:t>
            </w:r>
          </w:p>
        </w:tc>
        <w:tc>
          <w:tcPr>
            <w:tcW w:w="0" w:type="auto"/>
            <w:shd w:val="clear" w:color="auto" w:fill="auto"/>
            <w:vAlign w:val="center"/>
          </w:tcPr>
          <w:p>
            <w:pPr>
              <w:jc w:val="center"/>
              <w:rPr>
                <w:color w:val="auto"/>
                <w:sz w:val="21"/>
                <w:szCs w:val="21"/>
                <w:highlight w:val="none"/>
              </w:rPr>
            </w:pPr>
            <w:r>
              <w:rPr>
                <w:color w:val="auto"/>
                <w:sz w:val="21"/>
                <w:szCs w:val="21"/>
                <w:highlight w:val="none"/>
              </w:rPr>
              <w:t>1002.96</w:t>
            </w:r>
          </w:p>
        </w:tc>
        <w:tc>
          <w:tcPr>
            <w:tcW w:w="0" w:type="auto"/>
            <w:shd w:val="clear" w:color="auto" w:fill="auto"/>
            <w:vAlign w:val="center"/>
          </w:tcPr>
          <w:p>
            <w:pPr>
              <w:jc w:val="center"/>
              <w:rPr>
                <w:color w:val="auto"/>
                <w:sz w:val="21"/>
                <w:szCs w:val="21"/>
                <w:highlight w:val="none"/>
              </w:rPr>
            </w:pPr>
            <w:r>
              <w:rPr>
                <w:color w:val="auto"/>
                <w:sz w:val="21"/>
                <w:szCs w:val="21"/>
                <w:highlight w:val="none"/>
              </w:rPr>
              <w:t>662.33</w:t>
            </w:r>
          </w:p>
        </w:tc>
        <w:tc>
          <w:tcPr>
            <w:tcW w:w="0" w:type="auto"/>
            <w:shd w:val="clear" w:color="auto" w:fill="auto"/>
            <w:vAlign w:val="center"/>
          </w:tcPr>
          <w:p>
            <w:pPr>
              <w:jc w:val="center"/>
              <w:rPr>
                <w:color w:val="auto"/>
                <w:sz w:val="21"/>
                <w:szCs w:val="21"/>
                <w:highlight w:val="none"/>
              </w:rPr>
            </w:pPr>
            <w:r>
              <w:rPr>
                <w:color w:val="auto"/>
                <w:sz w:val="21"/>
                <w:szCs w:val="21"/>
                <w:highlight w:val="none"/>
              </w:rPr>
              <w:t>3413.83</w:t>
            </w:r>
          </w:p>
        </w:tc>
        <w:tc>
          <w:tcPr>
            <w:tcW w:w="0" w:type="auto"/>
            <w:vAlign w:val="center"/>
          </w:tcPr>
          <w:p>
            <w:pPr>
              <w:jc w:val="center"/>
              <w:rPr>
                <w:color w:val="auto"/>
                <w:sz w:val="21"/>
                <w:szCs w:val="21"/>
                <w:highlight w:val="none"/>
              </w:rPr>
            </w:pPr>
            <w:r>
              <w:rPr>
                <w:color w:val="auto"/>
                <w:sz w:val="21"/>
                <w:szCs w:val="21"/>
                <w:highlight w:val="none"/>
              </w:rPr>
              <w:t>/</w:t>
            </w:r>
          </w:p>
        </w:tc>
        <w:tc>
          <w:tcPr>
            <w:tcW w:w="0" w:type="auto"/>
            <w:vAlign w:val="center"/>
          </w:tcPr>
          <w:p>
            <w:pPr>
              <w:jc w:val="center"/>
              <w:rPr>
                <w:color w:val="auto"/>
                <w:sz w:val="21"/>
                <w:szCs w:val="21"/>
                <w:highlight w:val="none"/>
              </w:rPr>
            </w:pPr>
            <w:r>
              <w:rPr>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90" w:type="pct"/>
            <w:vMerge w:val="continue"/>
            <w:shd w:val="clear" w:color="auto" w:fill="auto"/>
            <w:vAlign w:val="center"/>
          </w:tcPr>
          <w:p>
            <w:pPr>
              <w:adjustRightInd w:val="0"/>
              <w:snapToGrid w:val="0"/>
              <w:rPr>
                <w:color w:val="auto"/>
                <w:sz w:val="21"/>
                <w:szCs w:val="21"/>
                <w:highlight w:val="none"/>
              </w:rPr>
            </w:pPr>
          </w:p>
        </w:tc>
        <w:tc>
          <w:tcPr>
            <w:tcW w:w="1363" w:type="pct"/>
            <w:shd w:val="clear" w:color="auto" w:fill="auto"/>
            <w:vAlign w:val="center"/>
          </w:tcPr>
          <w:p>
            <w:pPr>
              <w:adjustRightInd w:val="0"/>
              <w:snapToGrid w:val="0"/>
              <w:rPr>
                <w:color w:val="auto"/>
                <w:sz w:val="21"/>
                <w:szCs w:val="21"/>
                <w:highlight w:val="none"/>
              </w:rPr>
            </w:pPr>
            <w:r>
              <w:rPr>
                <w:color w:val="auto"/>
                <w:sz w:val="21"/>
                <w:szCs w:val="21"/>
                <w:highlight w:val="none"/>
              </w:rPr>
              <w:t>2025年预测</w:t>
            </w:r>
            <w:r>
              <w:rPr>
                <w:rFonts w:hint="eastAsia"/>
                <w:color w:val="auto"/>
                <w:sz w:val="21"/>
                <w:szCs w:val="21"/>
                <w:highlight w:val="none"/>
              </w:rPr>
              <w:t>新增</w:t>
            </w:r>
            <w:r>
              <w:rPr>
                <w:color w:val="auto"/>
                <w:sz w:val="21"/>
                <w:szCs w:val="21"/>
                <w:highlight w:val="none"/>
              </w:rPr>
              <w:t>排放量</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4.11</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2.43</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2.41</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w:t>
            </w:r>
          </w:p>
        </w:tc>
        <w:tc>
          <w:tcPr>
            <w:tcW w:w="0" w:type="auto"/>
            <w:vAlign w:val="center"/>
          </w:tcPr>
          <w:p>
            <w:pPr>
              <w:jc w:val="center"/>
              <w:rPr>
                <w:color w:val="auto"/>
                <w:sz w:val="21"/>
                <w:szCs w:val="21"/>
                <w:highlight w:val="none"/>
              </w:rPr>
            </w:pPr>
            <w:r>
              <w:rPr>
                <w:color w:val="auto"/>
                <w:sz w:val="21"/>
                <w:szCs w:val="21"/>
                <w:highlight w:val="none"/>
              </w:rPr>
              <w:t>/</w:t>
            </w:r>
          </w:p>
        </w:tc>
        <w:tc>
          <w:tcPr>
            <w:tcW w:w="0" w:type="auto"/>
            <w:vAlign w:val="center"/>
          </w:tcPr>
          <w:p>
            <w:pPr>
              <w:jc w:val="center"/>
              <w:rPr>
                <w:color w:val="auto"/>
                <w:sz w:val="21"/>
                <w:szCs w:val="21"/>
                <w:highlight w:val="none"/>
              </w:rPr>
            </w:pPr>
            <w:r>
              <w:rPr>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90" w:type="pct"/>
            <w:vMerge w:val="continue"/>
            <w:shd w:val="clear" w:color="auto" w:fill="auto"/>
            <w:vAlign w:val="center"/>
          </w:tcPr>
          <w:p>
            <w:pPr>
              <w:adjustRightInd w:val="0"/>
              <w:snapToGrid w:val="0"/>
              <w:rPr>
                <w:color w:val="auto"/>
                <w:sz w:val="21"/>
                <w:szCs w:val="21"/>
                <w:highlight w:val="none"/>
              </w:rPr>
            </w:pPr>
          </w:p>
        </w:tc>
        <w:tc>
          <w:tcPr>
            <w:tcW w:w="1363" w:type="pct"/>
            <w:shd w:val="clear" w:color="auto" w:fill="auto"/>
            <w:vAlign w:val="center"/>
          </w:tcPr>
          <w:p>
            <w:pPr>
              <w:adjustRightInd w:val="0"/>
              <w:snapToGrid w:val="0"/>
              <w:rPr>
                <w:color w:val="auto"/>
                <w:sz w:val="21"/>
                <w:szCs w:val="21"/>
                <w:highlight w:val="none"/>
              </w:rPr>
            </w:pPr>
            <w:r>
              <w:rPr>
                <w:color w:val="auto"/>
                <w:sz w:val="21"/>
                <w:szCs w:val="21"/>
                <w:highlight w:val="none"/>
              </w:rPr>
              <w:t>剩余环境容量</w:t>
            </w:r>
          </w:p>
        </w:tc>
        <w:tc>
          <w:tcPr>
            <w:tcW w:w="0" w:type="auto"/>
            <w:shd w:val="clear" w:color="auto" w:fill="auto"/>
            <w:vAlign w:val="center"/>
          </w:tcPr>
          <w:p>
            <w:pPr>
              <w:jc w:val="right"/>
              <w:rPr>
                <w:rFonts w:ascii="宋体" w:hAnsi="宋体" w:cs="宋体"/>
                <w:color w:val="auto"/>
                <w:sz w:val="22"/>
                <w:szCs w:val="22"/>
                <w:highlight w:val="none"/>
              </w:rPr>
            </w:pPr>
            <w:r>
              <w:rPr>
                <w:rFonts w:hint="eastAsia"/>
                <w:color w:val="auto"/>
                <w:sz w:val="22"/>
                <w:szCs w:val="22"/>
                <w:highlight w:val="none"/>
              </w:rPr>
              <w:t>431.13</w:t>
            </w:r>
          </w:p>
        </w:tc>
        <w:tc>
          <w:tcPr>
            <w:tcW w:w="0" w:type="auto"/>
            <w:shd w:val="clear" w:color="auto" w:fill="auto"/>
            <w:vAlign w:val="center"/>
          </w:tcPr>
          <w:p>
            <w:pPr>
              <w:jc w:val="right"/>
              <w:rPr>
                <w:rFonts w:ascii="宋体" w:hAnsi="宋体" w:cs="宋体"/>
                <w:color w:val="auto"/>
                <w:sz w:val="22"/>
                <w:szCs w:val="22"/>
                <w:highlight w:val="none"/>
              </w:rPr>
            </w:pPr>
            <w:r>
              <w:rPr>
                <w:rFonts w:hint="eastAsia"/>
                <w:color w:val="auto"/>
                <w:sz w:val="22"/>
                <w:szCs w:val="22"/>
                <w:highlight w:val="none"/>
              </w:rPr>
              <w:t>1000.53</w:t>
            </w:r>
          </w:p>
        </w:tc>
        <w:tc>
          <w:tcPr>
            <w:tcW w:w="0" w:type="auto"/>
            <w:shd w:val="clear" w:color="auto" w:fill="auto"/>
            <w:vAlign w:val="center"/>
          </w:tcPr>
          <w:p>
            <w:pPr>
              <w:jc w:val="right"/>
              <w:rPr>
                <w:rFonts w:ascii="宋体" w:hAnsi="宋体" w:cs="宋体"/>
                <w:color w:val="auto"/>
                <w:sz w:val="22"/>
                <w:szCs w:val="22"/>
                <w:highlight w:val="none"/>
              </w:rPr>
            </w:pPr>
            <w:r>
              <w:rPr>
                <w:rFonts w:hint="eastAsia"/>
                <w:color w:val="auto"/>
                <w:sz w:val="22"/>
                <w:szCs w:val="22"/>
                <w:highlight w:val="none"/>
              </w:rPr>
              <w:t>659.92</w:t>
            </w:r>
          </w:p>
        </w:tc>
        <w:tc>
          <w:tcPr>
            <w:tcW w:w="0" w:type="auto"/>
            <w:shd w:val="clear" w:color="auto" w:fill="auto"/>
            <w:vAlign w:val="center"/>
          </w:tcPr>
          <w:p>
            <w:pPr>
              <w:jc w:val="right"/>
              <w:rPr>
                <w:rFonts w:ascii="宋体" w:hAnsi="宋体" w:cs="宋体"/>
                <w:color w:val="auto"/>
                <w:sz w:val="22"/>
                <w:szCs w:val="22"/>
                <w:highlight w:val="none"/>
              </w:rPr>
            </w:pPr>
            <w:r>
              <w:rPr>
                <w:rFonts w:hint="eastAsia"/>
                <w:color w:val="auto"/>
                <w:sz w:val="22"/>
                <w:szCs w:val="22"/>
                <w:highlight w:val="none"/>
              </w:rPr>
              <w:t>3431.13</w:t>
            </w:r>
          </w:p>
        </w:tc>
        <w:tc>
          <w:tcPr>
            <w:tcW w:w="0" w:type="auto"/>
            <w:vAlign w:val="center"/>
          </w:tcPr>
          <w:p>
            <w:pPr>
              <w:jc w:val="center"/>
              <w:rPr>
                <w:color w:val="auto"/>
                <w:sz w:val="21"/>
                <w:szCs w:val="21"/>
                <w:highlight w:val="none"/>
              </w:rPr>
            </w:pPr>
            <w:r>
              <w:rPr>
                <w:color w:val="auto"/>
                <w:sz w:val="21"/>
                <w:szCs w:val="21"/>
                <w:highlight w:val="none"/>
              </w:rPr>
              <w:t>/</w:t>
            </w:r>
          </w:p>
        </w:tc>
        <w:tc>
          <w:tcPr>
            <w:tcW w:w="0" w:type="auto"/>
            <w:vAlign w:val="center"/>
          </w:tcPr>
          <w:p>
            <w:pPr>
              <w:jc w:val="center"/>
              <w:rPr>
                <w:color w:val="auto"/>
                <w:sz w:val="21"/>
                <w:szCs w:val="21"/>
                <w:highlight w:val="none"/>
              </w:rPr>
            </w:pPr>
            <w:r>
              <w:rPr>
                <w:color w:val="auto"/>
                <w:sz w:val="21"/>
                <w:szCs w:val="21"/>
                <w:highlight w:val="none"/>
              </w:rPr>
              <w:t>/</w:t>
            </w:r>
          </w:p>
        </w:tc>
      </w:tr>
    </w:tbl>
    <w:p>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2、水环境容量</w:t>
      </w:r>
    </w:p>
    <w:p>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zh-CN" w:eastAsia="zh-CN" w:bidi="ar-SA"/>
        </w:rPr>
        <w:t>新晃工业集中区</w:t>
      </w:r>
      <w:r>
        <w:rPr>
          <w:rFonts w:hint="eastAsia" w:ascii="Times New Roman" w:hAnsi="Times New Roman" w:eastAsia="仿宋" w:cs="Times New Roman"/>
          <w:kern w:val="2"/>
          <w:sz w:val="32"/>
          <w:szCs w:val="32"/>
          <w:highlight w:val="none"/>
          <w:lang w:val="en-US" w:eastAsia="zh-CN" w:bidi="ar-SA"/>
        </w:rPr>
        <w:t>废水经污水处理厂处理达标排放后，前锋工业园受纳水体舞水枯水期COD、氨氮的剩余环境容量分别为1131.74</w:t>
      </w:r>
      <w:r>
        <w:rPr>
          <w:rFonts w:hint="default" w:ascii="Times New Roman" w:hAnsi="Times New Roman" w:eastAsia="仿宋" w:cs="Times New Roman"/>
          <w:kern w:val="2"/>
          <w:sz w:val="32"/>
          <w:szCs w:val="32"/>
          <w:highlight w:val="none"/>
          <w:lang w:val="en-US" w:eastAsia="zh-CN" w:bidi="ar-SA"/>
        </w:rPr>
        <w:t xml:space="preserve"> t/a</w:t>
      </w:r>
      <w:r>
        <w:rPr>
          <w:rFonts w:hint="eastAsia" w:ascii="Times New Roman" w:hAnsi="Times New Roman" w:eastAsia="仿宋" w:cs="Times New Roman"/>
          <w:kern w:val="2"/>
          <w:sz w:val="32"/>
          <w:szCs w:val="32"/>
          <w:highlight w:val="none"/>
          <w:lang w:val="en-US" w:eastAsia="zh-CN" w:bidi="ar-SA"/>
        </w:rPr>
        <w:t>、145.05</w:t>
      </w:r>
      <w:r>
        <w:rPr>
          <w:rFonts w:hint="default" w:ascii="Times New Roman" w:hAnsi="Times New Roman" w:eastAsia="仿宋" w:cs="Times New Roman"/>
          <w:kern w:val="2"/>
          <w:sz w:val="32"/>
          <w:szCs w:val="32"/>
          <w:highlight w:val="none"/>
          <w:lang w:val="en-US" w:eastAsia="zh-CN" w:bidi="ar-SA"/>
        </w:rPr>
        <w:t>t/a</w:t>
      </w:r>
      <w:r>
        <w:rPr>
          <w:rFonts w:hint="eastAsia" w:ascii="Times New Roman" w:hAnsi="Times New Roman" w:eastAsia="仿宋" w:cs="Times New Roman"/>
          <w:kern w:val="2"/>
          <w:sz w:val="32"/>
          <w:szCs w:val="32"/>
          <w:highlight w:val="none"/>
          <w:lang w:val="en-US" w:eastAsia="zh-CN" w:bidi="ar-SA"/>
        </w:rPr>
        <w:t>；柏树林工业园（新晃县城污水处理厂区域）受纳水体舞水枯水期COD、氨氮的剩余环境容量分别为</w:t>
      </w:r>
      <w:r>
        <w:rPr>
          <w:rFonts w:hint="default" w:ascii="Times New Roman" w:hAnsi="Times New Roman" w:eastAsia="仿宋" w:cs="Times New Roman"/>
          <w:kern w:val="2"/>
          <w:sz w:val="32"/>
          <w:szCs w:val="32"/>
          <w:highlight w:val="none"/>
          <w:lang w:val="en-US" w:eastAsia="zh-CN" w:bidi="ar-SA"/>
        </w:rPr>
        <w:t>4</w:t>
      </w:r>
      <w:r>
        <w:rPr>
          <w:rFonts w:hint="eastAsia" w:ascii="Times New Roman" w:hAnsi="Times New Roman" w:eastAsia="仿宋" w:cs="Times New Roman"/>
          <w:kern w:val="2"/>
          <w:sz w:val="32"/>
          <w:szCs w:val="32"/>
          <w:highlight w:val="none"/>
          <w:lang w:val="en-US" w:eastAsia="zh-CN" w:bidi="ar-SA"/>
        </w:rPr>
        <w:t>88.75</w:t>
      </w:r>
      <w:r>
        <w:rPr>
          <w:rFonts w:hint="default" w:ascii="Times New Roman" w:hAnsi="Times New Roman" w:eastAsia="仿宋" w:cs="Times New Roman"/>
          <w:kern w:val="2"/>
          <w:sz w:val="32"/>
          <w:szCs w:val="32"/>
          <w:highlight w:val="none"/>
          <w:lang w:val="en-US" w:eastAsia="zh-CN" w:bidi="ar-SA"/>
        </w:rPr>
        <w:t>t/a</w:t>
      </w:r>
      <w:r>
        <w:rPr>
          <w:rFonts w:hint="eastAsia" w:ascii="Times New Roman" w:hAnsi="Times New Roman" w:eastAsia="仿宋" w:cs="Times New Roman"/>
          <w:kern w:val="2"/>
          <w:sz w:val="32"/>
          <w:szCs w:val="32"/>
          <w:highlight w:val="none"/>
          <w:lang w:val="en-US" w:eastAsia="zh-CN" w:bidi="ar-SA"/>
        </w:rPr>
        <w:t>、</w:t>
      </w:r>
      <w:r>
        <w:rPr>
          <w:rFonts w:hint="default" w:ascii="Times New Roman" w:hAnsi="Times New Roman" w:eastAsia="仿宋" w:cs="Times New Roman"/>
          <w:kern w:val="2"/>
          <w:sz w:val="32"/>
          <w:szCs w:val="32"/>
          <w:highlight w:val="none"/>
          <w:lang w:val="en-US" w:eastAsia="zh-CN" w:bidi="ar-SA"/>
        </w:rPr>
        <w:t>14</w:t>
      </w:r>
      <w:r>
        <w:rPr>
          <w:rFonts w:hint="eastAsia" w:ascii="Times New Roman" w:hAnsi="Times New Roman" w:eastAsia="仿宋" w:cs="Times New Roman"/>
          <w:kern w:val="2"/>
          <w:sz w:val="32"/>
          <w:szCs w:val="32"/>
          <w:highlight w:val="none"/>
          <w:lang w:val="en-US" w:eastAsia="zh-CN" w:bidi="ar-SA"/>
        </w:rPr>
        <w:t>7.67</w:t>
      </w:r>
      <w:r>
        <w:rPr>
          <w:rFonts w:hint="default" w:ascii="Times New Roman" w:hAnsi="Times New Roman" w:eastAsia="仿宋" w:cs="Times New Roman"/>
          <w:kern w:val="2"/>
          <w:sz w:val="32"/>
          <w:szCs w:val="32"/>
          <w:highlight w:val="none"/>
          <w:lang w:val="en-US" w:eastAsia="zh-CN" w:bidi="ar-SA"/>
        </w:rPr>
        <w:t>t/a</w:t>
      </w:r>
      <w:r>
        <w:rPr>
          <w:rFonts w:hint="eastAsia" w:ascii="Times New Roman" w:hAnsi="Times New Roman" w:eastAsia="仿宋" w:cs="Times New Roman"/>
          <w:kern w:val="2"/>
          <w:sz w:val="32"/>
          <w:szCs w:val="32"/>
          <w:highlight w:val="none"/>
          <w:lang w:val="en-US" w:eastAsia="zh-CN" w:bidi="ar-SA"/>
        </w:rPr>
        <w:t>；因此</w:t>
      </w:r>
      <w:r>
        <w:rPr>
          <w:rFonts w:hint="eastAsia" w:ascii="Times New Roman" w:hAnsi="Times New Roman" w:eastAsia="仿宋" w:cs="Times New Roman"/>
          <w:kern w:val="2"/>
          <w:sz w:val="32"/>
          <w:szCs w:val="32"/>
          <w:highlight w:val="none"/>
          <w:lang w:val="zh-CN" w:eastAsia="zh-CN" w:bidi="ar-SA"/>
        </w:rPr>
        <w:t>新晃工业集中区</w:t>
      </w:r>
      <w:r>
        <w:rPr>
          <w:rFonts w:hint="eastAsia" w:ascii="Times New Roman" w:hAnsi="Times New Roman" w:eastAsia="仿宋" w:cs="Times New Roman"/>
          <w:kern w:val="2"/>
          <w:sz w:val="32"/>
          <w:szCs w:val="32"/>
          <w:highlight w:val="none"/>
          <w:lang w:val="en-US" w:eastAsia="zh-CN" w:bidi="ar-SA"/>
        </w:rPr>
        <w:t>水环境容量能满足区域排污的承载力需求。</w:t>
      </w:r>
    </w:p>
    <w:p>
      <w:pPr>
        <w:pStyle w:val="3"/>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b/>
          <w:sz w:val="36"/>
          <w:szCs w:val="20"/>
        </w:rPr>
      </w:pPr>
      <w:bookmarkStart w:id="7" w:name="_Toc13882"/>
      <w:r>
        <w:rPr>
          <w:rFonts w:hint="default" w:ascii="Times New Roman" w:hAnsi="Times New Roman" w:cs="Times New Roman"/>
          <w:b/>
          <w:sz w:val="36"/>
          <w:szCs w:val="20"/>
        </w:rPr>
        <w:t>二、环境管理情况</w:t>
      </w:r>
      <w:bookmarkEnd w:id="7"/>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highlight w:val="none"/>
          <w:lang w:val="en-US" w:eastAsia="zh-CN"/>
        </w:rPr>
      </w:pPr>
      <w:bookmarkStart w:id="8" w:name="_Toc21763"/>
      <w:r>
        <w:rPr>
          <w:rFonts w:hint="default" w:ascii="Times New Roman" w:hAnsi="Times New Roman" w:cs="Times New Roman"/>
          <w:b/>
          <w:highlight w:val="none"/>
          <w:lang w:val="en-US" w:eastAsia="zh-CN"/>
        </w:rPr>
        <w:t>2.1规划环评批复要求落实情况</w:t>
      </w:r>
      <w:bookmarkEnd w:id="8"/>
    </w:p>
    <w:p>
      <w:pPr>
        <w:pStyle w:val="16"/>
        <w:pageBreakBefore w:val="0"/>
        <w:widowControl w:val="0"/>
        <w:kinsoku/>
        <w:wordWrap/>
        <w:overflowPunct/>
        <w:topLinePunct w:val="0"/>
        <w:autoSpaceDE/>
        <w:autoSpaceDN/>
        <w:bidi w:val="0"/>
        <w:adjustRightInd/>
        <w:snapToGrid w:val="0"/>
        <w:spacing w:after="0" w:line="600" w:lineRule="exact"/>
        <w:ind w:left="0" w:leftChars="0" w:firstLine="643"/>
        <w:textAlignment w:val="auto"/>
        <w:rPr>
          <w:rFonts w:hint="default"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因新轮规划环评批复时间距今较短故，2022年环评批复落实情况以</w:t>
      </w:r>
      <w:r>
        <w:rPr>
          <w:rFonts w:hint="default" w:ascii="Times New Roman" w:hAnsi="Times New Roman" w:eastAsia="仿宋" w:cs="Times New Roman"/>
          <w:kern w:val="2"/>
          <w:sz w:val="32"/>
          <w:szCs w:val="32"/>
          <w:highlight w:val="none"/>
          <w:lang w:val="en-US" w:eastAsia="zh-CN" w:bidi="ar-SA"/>
        </w:rPr>
        <w:t>2014年1月27日湖南省环境保护厅</w:t>
      </w:r>
      <w:r>
        <w:rPr>
          <w:rFonts w:hint="eastAsia" w:ascii="Times New Roman" w:hAnsi="Times New Roman" w:eastAsia="仿宋" w:cs="Times New Roman"/>
          <w:kern w:val="2"/>
          <w:sz w:val="32"/>
          <w:szCs w:val="32"/>
          <w:highlight w:val="none"/>
          <w:lang w:val="en-US" w:eastAsia="zh-CN" w:bidi="ar-SA"/>
        </w:rPr>
        <w:t>批复的</w:t>
      </w:r>
      <w:r>
        <w:rPr>
          <w:rFonts w:hint="default" w:ascii="Times New Roman" w:hAnsi="Times New Roman" w:eastAsia="仿宋" w:cs="Times New Roman"/>
          <w:kern w:val="2"/>
          <w:sz w:val="32"/>
          <w:szCs w:val="32"/>
          <w:highlight w:val="none"/>
          <w:lang w:val="en-US" w:eastAsia="zh-CN" w:bidi="ar-SA"/>
        </w:rPr>
        <w:t>“湘环评[2014]16号”《关于湖南省新晃工业集中区环境影响报告书的批复意见的函》</w:t>
      </w:r>
      <w:r>
        <w:rPr>
          <w:rFonts w:hint="eastAsia" w:ascii="Times New Roman" w:hAnsi="Times New Roman" w:eastAsia="仿宋" w:cs="Times New Roman"/>
          <w:kern w:val="2"/>
          <w:sz w:val="32"/>
          <w:szCs w:val="32"/>
          <w:highlight w:val="none"/>
          <w:lang w:val="en-US" w:eastAsia="zh-CN" w:bidi="ar-SA"/>
        </w:rPr>
        <w:t>予以执行，</w:t>
      </w:r>
      <w:r>
        <w:rPr>
          <w:rFonts w:hint="default" w:ascii="Times New Roman" w:hAnsi="Times New Roman" w:eastAsia="仿宋" w:cs="Times New Roman"/>
          <w:kern w:val="2"/>
          <w:sz w:val="32"/>
          <w:szCs w:val="32"/>
          <w:highlight w:val="none"/>
          <w:lang w:val="en-US" w:eastAsia="zh-CN" w:bidi="ar-SA"/>
        </w:rPr>
        <w:t>具体批复要点及其执行情况见表3。</w:t>
      </w:r>
    </w:p>
    <w:p>
      <w:pPr>
        <w:pStyle w:val="13"/>
        <w:widowControl/>
        <w:spacing w:beforeAutospacing="0" w:afterAutospacing="0" w:line="30" w:lineRule="atLeast"/>
        <w:jc w:val="center"/>
        <w:rPr>
          <w:rFonts w:hint="default" w:ascii="Times New Roman" w:hAnsi="Times New Roman" w:eastAsia="仿宋" w:cs="Times New Roman"/>
          <w:b w:val="0"/>
          <w:bCs/>
          <w:color w:val="333333"/>
          <w:sz w:val="28"/>
          <w:szCs w:val="40"/>
          <w:highlight w:val="none"/>
          <w:shd w:val="clear" w:color="auto" w:fill="FFFFFF"/>
          <w:lang w:val="zh-CN"/>
        </w:rPr>
      </w:pPr>
      <w:r>
        <w:rPr>
          <w:rFonts w:hint="default" w:ascii="Times New Roman" w:hAnsi="Times New Roman" w:eastAsia="仿宋" w:cs="Times New Roman"/>
          <w:b w:val="0"/>
          <w:bCs/>
          <w:color w:val="333333"/>
          <w:sz w:val="28"/>
          <w:szCs w:val="40"/>
          <w:highlight w:val="none"/>
          <w:shd w:val="clear" w:color="auto" w:fill="FFFFFF"/>
          <w:lang w:val="zh-CN"/>
        </w:rPr>
        <w:t>表</w:t>
      </w:r>
      <w:r>
        <w:rPr>
          <w:rFonts w:hint="eastAsia" w:ascii="Times New Roman" w:hAnsi="Times New Roman" w:eastAsia="仿宋" w:cs="Times New Roman"/>
          <w:b w:val="0"/>
          <w:bCs/>
          <w:color w:val="333333"/>
          <w:sz w:val="28"/>
          <w:szCs w:val="40"/>
          <w:highlight w:val="none"/>
          <w:shd w:val="clear" w:color="auto" w:fill="FFFFFF"/>
          <w:lang w:val="en-US" w:eastAsia="zh-CN"/>
        </w:rPr>
        <w:t>4</w:t>
      </w:r>
      <w:r>
        <w:rPr>
          <w:rFonts w:hint="default" w:ascii="Times New Roman" w:hAnsi="Times New Roman" w:eastAsia="仿宋" w:cs="Times New Roman"/>
          <w:b w:val="0"/>
          <w:bCs/>
          <w:color w:val="333333"/>
          <w:sz w:val="28"/>
          <w:szCs w:val="40"/>
          <w:highlight w:val="none"/>
          <w:shd w:val="clear" w:color="auto" w:fill="FFFFFF"/>
          <w:lang w:val="zh-CN"/>
        </w:rPr>
        <w:t xml:space="preserve">  新晃工业集中区环评批复前后落实情况一览表</w:t>
      </w:r>
    </w:p>
    <w:tbl>
      <w:tblPr>
        <w:tblStyle w:val="17"/>
        <w:tblW w:w="53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4469"/>
        <w:gridCol w:w="385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序号</w:t>
            </w:r>
          </w:p>
        </w:tc>
        <w:tc>
          <w:tcPr>
            <w:tcW w:w="2258"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环评批复</w:t>
            </w:r>
          </w:p>
        </w:tc>
        <w:tc>
          <w:tcPr>
            <w:tcW w:w="1948"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园区目前情况</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225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（1）将前锋工业园位于新能源产业组团中现有大部分矿产品精深加工企业的地块以及中北部两块新能源用地都调整为矿产品精深加工产业区，将其二类工业用地和一类工业用地调整为三类工业用地；</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将前锋工业园南部四块矿产品精深加工用地以及中部与中北部的两块新能源用地调整为机械加工产业用地，将靠近贵州玉屏县的两块三类用地调整为二类工业用地；前锋工业园区东北部与鱼市镇相邻区域布设一类工业用地，该区域禁止废气、噪声污染的企业引进；</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（3）对园区内220KV高压线两侧设一定距离的防护带；</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将柏树林工业园区内的商业用地、居住用地调整为二类工业用地，园区内原规划的居民安置点调整至新晃县城规划的居住用地上；对柏树林园区在建的两家牛肉加工企业要求将其屠宰加工区尽量布置在靠近北侧铁路的区域，以减缓对周边居民的影响；</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（5）柏树林园区西侧靠近安置区和森林公园的区域布设污染程度轻的一类工业，同时在边界处做好绿化防护隔离。</w:t>
            </w:r>
          </w:p>
        </w:tc>
        <w:tc>
          <w:tcPr>
            <w:tcW w:w="194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（1）前锋园区内未布置一类工业用地，矿产品精深加工企业均为三类工业用地，其余企业均布置在二类工业用地上；</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前锋园区南部地块处于未开发状态，维持原状，本次规划为二类工业用地，靠近玉屏县地块也为二类工业用地，实际建设中，园区东北部与鱼市镇相邻地块未引进企业，本次规划将该地块调出园区，以远离鱼市镇镇区；</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（3）园区内220KV高压线两侧尚未进行开发，维持原状；</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（4）柏树林园区内</w:t>
            </w:r>
            <w:r>
              <w:rPr>
                <w:rFonts w:hint="default" w:ascii="Times New Roman" w:hAnsi="Times New Roman" w:eastAsia="仿宋" w:cs="Times New Roman"/>
                <w:sz w:val="24"/>
                <w:szCs w:val="24"/>
                <w:highlight w:val="none"/>
                <w:lang w:val="en-US" w:eastAsia="zh-CN"/>
              </w:rPr>
              <w:t>已调整为工业用地</w:t>
            </w:r>
            <w:r>
              <w:rPr>
                <w:rFonts w:hint="default" w:ascii="Times New Roman" w:hAnsi="Times New Roman" w:eastAsia="仿宋" w:cs="Times New Roman"/>
                <w:sz w:val="24"/>
                <w:szCs w:val="24"/>
                <w:highlight w:val="none"/>
              </w:rPr>
              <w:t>，园区内部分居民点已搬迁安置至县城，园区内的小肥牛公司屠宰车间布置在靠近北侧铁路区域，已停用，老蔡公司屠宰车间布置在厂区中部，采用全封闭厂房设计，屠宰量较小，已通过竣工环保验收，未对周边环境产生不良影响；</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（5）柏树林园区全部为一类工业用地，同时在边界处做好绿化防护隔离。</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225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严格执行集中区入园企业准入制度，入园项目选址必须符合集中区各片区总体发展规划、用地规划、环保规划及主导产业定位要求，不得引进国家明令淘汰和禁止发展的能耗物耗高、环境污染严重、不符合产业政策的建设项目；</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（2）柏树林片区禁止新建气型污染企业、不再引进屠宰加工类项目；</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（3）酒店塘工业园保留现有四家企业，不得扩大规模和新引进企业；</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（4）前锋工业园禁止铅、锌、铬等重污染冶炼行业、制革工业、电镀工业，基础化工有机合成、生物医药企业以及耗水量大、排水量大，排放一类污染物或持久性、难降解污染物的企业进入园区。</w:t>
            </w:r>
          </w:p>
        </w:tc>
        <w:tc>
          <w:tcPr>
            <w:tcW w:w="194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（1）园区招商过程中严格执行集中区入园企业准入制度，符合各项规划，未引进国家明令淘汰和禁止发展的能耗物耗高、环境污染严重、不符合产业政策的建设项目；</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（2）柏树林片区未新建气型污染企业、保持原规划的3家食品企业，另新建一家面条加工企业，未新引进屠宰加工类项目；</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（3）酒店塘片区保留原有四家企业，未扩大规模和新引进企业，本次规划将缩减该片区范围，企业数量减少为3家；</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（4）前锋园区主要为无机盐制造、材料产业和装备制造业企业，未引进批复中明确禁止的企业。</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225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（1）集中区排水实施雨污分流，截污、排污管网必须与道路建设、区域开发、项目引进同步进行</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（2）按排水规划要求，柏树林工业园和酒店塘工业园废水接入新晃县城污水处理厂进行处理后达《城镇污水处理厂污染物排放标准》(GB18918-2002)一级B 标准排入舞水；</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在鱼市镇下游新建污水处理厂兼顾处理前锋工业园废水和鱼市镇生活污水要求，污水处理厂尾水排放满足《城镇污水处理厂污染物排放标准》(GB18918-2002)一级B标准，通过管道排至鱼市镇电站大坝下游，避开鱼市镇电站库区。</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集中区管委会应加快协调和实施县城污水处理厂扩建、前锋工业园污水处理厂建设以及配套排水管网工程等基础设施建设，在相应污水处理厂建设(扩建)和配套污水管网建成投入运行前，集中区内严格控制引进水型污染企业，现有企业上工业废水及生活污水应经处理达到《污水综合排放标准》(GB8978-1996)一级标准或相应的行业标准后方可外排。</w:t>
            </w:r>
          </w:p>
        </w:tc>
        <w:tc>
          <w:tcPr>
            <w:tcW w:w="194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（1）集中区排水已实施雨污分流，截污、排污管网与道路建设、区域开发、项目引进同步进行；</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（2）柏树林园区废水接入新晃县城污水处理厂进行处理后达《城镇污水处理厂污染物排放标准》(GB18918-2002)一级A 标准排入舞水；酒店塘片区污水由酒店塘污水处理站统一收集处理后达一级A标准后排放。</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（3）鱼市镇工业园污水处理厂已建成并通过竣工环保验收，一期处理规模2500m</w:t>
            </w:r>
            <w:r>
              <w:rPr>
                <w:rFonts w:hint="default" w:ascii="Times New Roman" w:hAnsi="Times New Roman" w:eastAsia="仿宋" w:cs="Times New Roman"/>
                <w:sz w:val="24"/>
                <w:szCs w:val="24"/>
                <w:highlight w:val="none"/>
                <w:vertAlign w:val="superscript"/>
              </w:rPr>
              <w:t>3</w:t>
            </w:r>
            <w:r>
              <w:rPr>
                <w:rFonts w:hint="default" w:ascii="Times New Roman" w:hAnsi="Times New Roman" w:eastAsia="仿宋" w:cs="Times New Roman"/>
                <w:sz w:val="24"/>
                <w:szCs w:val="24"/>
                <w:highlight w:val="none"/>
              </w:rPr>
              <w:t>/d，污水排放达到一级B标准；</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（4）县城污水处理厂已完成提质扩建工程，处理规模为2万m3/d，污水排放可达一级A标准。</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225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（1）集中区应严格控制4吨以下的燃煤锅炉建设，管委会应统一协调园区内低硫煤的稳定供应，积板推广清洁能源，逐步减少燃煤用量。</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（2）地方政府规划部门和管委会应按报告书要求对前锋工业园矿产品精深加工企业周边1km 范围进行规划控制，不得新建居住、学校、医院等环境敏感建筑或生态敏感区，并做好现有居民住宅等敏感目标的搬迁工作。</w:t>
            </w:r>
          </w:p>
        </w:tc>
        <w:tc>
          <w:tcPr>
            <w:tcW w:w="194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（1）园区按批复要求落实了工业园大气污染控制措施，园区已淘汰4t/h以下的燃煤锅炉，大部分企业使用电能、生物质燃料作为能源，并配有相应的锅炉废气处理设施。</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（2）当地政府和管委会对前锋工业园矿产品精深加工企业周边1km范围内进行了规划控制，未新建居住、学校、医院等环境敏感建筑或生态敏感区，并根据规划和项目实施情况，逐步对现有居民住宅进行了搬迁。</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225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（1）做好集中区工业固体废物和生活垃圾的分类收集、转运、综合利用和无害化处理，建立统一的固废收集、贮存、运输、综合利用和安全处置的运营管理体系。</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（2）对集中区拟建的工业固废处理场明确固废准入要求，不得堆放危险废物；对拟建固废处理场应立即启动地勘、设计和环评工作，进一步优化选址，确保与周边环境合理兼容。</w:t>
            </w:r>
          </w:p>
        </w:tc>
        <w:tc>
          <w:tcPr>
            <w:tcW w:w="194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（1）园区内固体废物和生活垃圾分类收集、转运、综合利用和无害化处理。危险固废由企业暂存，委托有资质单位进行处理。</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（2）集中区工业固废填埋场已建设完成，并通过竣工环保验收。</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225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集中区要建立专职环境监督管理机构，建立健全环境风险事故防范措施和应急预案，严防环境风险事故发生。</w:t>
            </w:r>
          </w:p>
        </w:tc>
        <w:tc>
          <w:tcPr>
            <w:tcW w:w="194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园区已建立专职环境监督管理机构，并编制了突发环境事件应急预案，严防发生环境风险事故。</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7</w:t>
            </w:r>
          </w:p>
        </w:tc>
        <w:tc>
          <w:tcPr>
            <w:tcW w:w="225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按集中区开发规划统筹制定拆迁安置方案，妥善落实移民生产生活安置措施，防止移民再次安置和次生环境问题。</w:t>
            </w:r>
          </w:p>
        </w:tc>
        <w:tc>
          <w:tcPr>
            <w:tcW w:w="194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规划实施过程中，已按开发区规划统筹制定了拆迁安置方案，建设了安置小区，未发生移民再次安置和次生环境问题。</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w:t>
            </w:r>
          </w:p>
        </w:tc>
      </w:tr>
    </w:tbl>
    <w:p>
      <w:pPr>
        <w:pStyle w:val="16"/>
        <w:snapToGrid w:val="0"/>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园区定期由管委会委托有资质的环境监测机构承担水环境、环境空气和环境噪声的监测工作</w:t>
      </w:r>
      <w:r>
        <w:rPr>
          <w:rFonts w:hint="eastAsia" w:ascii="Times New Roman" w:hAnsi="Times New Roman" w:eastAsia="仿宋" w:cs="Times New Roman"/>
          <w:kern w:val="2"/>
          <w:sz w:val="32"/>
          <w:szCs w:val="32"/>
          <w:lang w:val="en-US" w:eastAsia="zh-CN" w:bidi="ar-SA"/>
        </w:rPr>
        <w:t>或通过在线监控对污染源进行监测</w:t>
      </w:r>
      <w:r>
        <w:rPr>
          <w:rFonts w:hint="default" w:ascii="Times New Roman" w:hAnsi="Times New Roman" w:eastAsia="仿宋" w:cs="Times New Roman"/>
          <w:kern w:val="2"/>
          <w:sz w:val="32"/>
          <w:szCs w:val="32"/>
          <w:lang w:val="en-US" w:eastAsia="zh-CN" w:bidi="ar-SA"/>
        </w:rPr>
        <w:t>，监测结果定期向新晃县生态环境局报告。</w:t>
      </w:r>
      <w:bookmarkStart w:id="9" w:name="_Toc512431405"/>
      <w:bookmarkStart w:id="10" w:name="_Toc513194826"/>
      <w:bookmarkStart w:id="11" w:name="_Toc513195170"/>
    </w:p>
    <w:p>
      <w:pPr>
        <w:pStyle w:val="16"/>
        <w:snapToGrid w:val="0"/>
        <w:spacing w:after="0" w:line="600" w:lineRule="exact"/>
        <w:ind w:left="0" w:leftChars="0" w:firstLine="643"/>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1、环境空气监测</w:t>
      </w:r>
      <w:bookmarkEnd w:id="9"/>
      <w:bookmarkEnd w:id="10"/>
      <w:bookmarkEnd w:id="11"/>
    </w:p>
    <w:p>
      <w:pPr>
        <w:pStyle w:val="16"/>
        <w:snapToGrid w:val="0"/>
        <w:spacing w:after="0" w:line="600" w:lineRule="exact"/>
        <w:ind w:left="0" w:leftChars="0" w:firstLine="643"/>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新晃工业集中区建设</w:t>
      </w:r>
      <w:r>
        <w:rPr>
          <w:rFonts w:hint="eastAsia" w:ascii="Times New Roman" w:hAnsi="Times New Roman" w:eastAsia="仿宋" w:cs="Times New Roman"/>
          <w:kern w:val="2"/>
          <w:sz w:val="32"/>
          <w:szCs w:val="32"/>
          <w:lang w:val="en-US" w:eastAsia="zh-CN" w:bidi="ar-SA"/>
        </w:rPr>
        <w:t>了</w:t>
      </w:r>
      <w:r>
        <w:rPr>
          <w:rFonts w:hint="default" w:ascii="Times New Roman" w:hAnsi="Times New Roman" w:eastAsia="仿宋" w:cs="Times New Roman"/>
          <w:kern w:val="2"/>
          <w:sz w:val="32"/>
          <w:szCs w:val="32"/>
          <w:lang w:val="en-US" w:eastAsia="zh-CN" w:bidi="ar-SA"/>
        </w:rPr>
        <w:t>一个空气</w:t>
      </w:r>
      <w:r>
        <w:rPr>
          <w:rFonts w:hint="eastAsia" w:ascii="Times New Roman" w:hAnsi="Times New Roman" w:eastAsia="仿宋" w:cs="Times New Roman"/>
          <w:kern w:val="2"/>
          <w:sz w:val="32"/>
          <w:szCs w:val="32"/>
          <w:lang w:val="en-US" w:eastAsia="zh-CN" w:bidi="ar-SA"/>
        </w:rPr>
        <w:t>微</w:t>
      </w:r>
      <w:r>
        <w:rPr>
          <w:rFonts w:hint="default" w:ascii="Times New Roman" w:hAnsi="Times New Roman" w:eastAsia="仿宋" w:cs="Times New Roman"/>
          <w:kern w:val="2"/>
          <w:sz w:val="32"/>
          <w:szCs w:val="32"/>
          <w:lang w:val="en-US" w:eastAsia="zh-CN" w:bidi="ar-SA"/>
        </w:rPr>
        <w:t>站，用于实时监测园区空气质量，主要监测SO</w:t>
      </w:r>
      <w:r>
        <w:rPr>
          <w:rFonts w:hint="default" w:ascii="Times New Roman" w:hAnsi="Times New Roman" w:eastAsia="仿宋" w:cs="Times New Roman"/>
          <w:kern w:val="2"/>
          <w:sz w:val="32"/>
          <w:szCs w:val="32"/>
          <w:vertAlign w:val="subscript"/>
          <w:lang w:val="en-US" w:eastAsia="zh-CN" w:bidi="ar-SA"/>
        </w:rPr>
        <w:t>2</w:t>
      </w:r>
      <w:r>
        <w:rPr>
          <w:rFonts w:hint="default" w:ascii="Times New Roman" w:hAnsi="Times New Roman" w:eastAsia="仿宋" w:cs="Times New Roman"/>
          <w:kern w:val="2"/>
          <w:sz w:val="32"/>
          <w:szCs w:val="32"/>
          <w:lang w:val="en-US" w:eastAsia="zh-CN" w:bidi="ar-SA"/>
        </w:rPr>
        <w:t>、NO</w:t>
      </w:r>
      <w:r>
        <w:rPr>
          <w:rFonts w:hint="default" w:ascii="Times New Roman" w:hAnsi="Times New Roman" w:eastAsia="仿宋" w:cs="Times New Roman"/>
          <w:kern w:val="2"/>
          <w:sz w:val="32"/>
          <w:szCs w:val="32"/>
          <w:vertAlign w:val="subscript"/>
          <w:lang w:val="en-US" w:eastAsia="zh-CN" w:bidi="ar-SA"/>
        </w:rPr>
        <w:t>2</w:t>
      </w:r>
      <w:r>
        <w:rPr>
          <w:rFonts w:hint="default" w:ascii="Times New Roman" w:hAnsi="Times New Roman" w:eastAsia="仿宋" w:cs="Times New Roman"/>
          <w:kern w:val="2"/>
          <w:sz w:val="32"/>
          <w:szCs w:val="32"/>
          <w:lang w:val="en-US" w:eastAsia="zh-CN" w:bidi="ar-SA"/>
        </w:rPr>
        <w:t>、PM</w:t>
      </w:r>
      <w:r>
        <w:rPr>
          <w:rFonts w:hint="default" w:ascii="Times New Roman" w:hAnsi="Times New Roman" w:eastAsia="仿宋" w:cs="Times New Roman"/>
          <w:kern w:val="2"/>
          <w:sz w:val="32"/>
          <w:szCs w:val="32"/>
          <w:vertAlign w:val="subscript"/>
          <w:lang w:val="en-US" w:eastAsia="zh-CN" w:bidi="ar-SA"/>
        </w:rPr>
        <w:t>2.5</w:t>
      </w:r>
      <w:r>
        <w:rPr>
          <w:rFonts w:hint="default" w:ascii="Times New Roman" w:hAnsi="Times New Roman" w:eastAsia="仿宋" w:cs="Times New Roman"/>
          <w:kern w:val="2"/>
          <w:sz w:val="32"/>
          <w:szCs w:val="32"/>
          <w:lang w:val="en-US" w:eastAsia="zh-CN" w:bidi="ar-SA"/>
        </w:rPr>
        <w:t>、PM</w:t>
      </w:r>
      <w:r>
        <w:rPr>
          <w:rFonts w:hint="default" w:ascii="Times New Roman" w:hAnsi="Times New Roman" w:eastAsia="仿宋" w:cs="Times New Roman"/>
          <w:kern w:val="2"/>
          <w:sz w:val="32"/>
          <w:szCs w:val="32"/>
          <w:vertAlign w:val="subscript"/>
          <w:lang w:val="en-US" w:eastAsia="zh-CN" w:bidi="ar-SA"/>
        </w:rPr>
        <w:t>10</w:t>
      </w:r>
      <w:r>
        <w:rPr>
          <w:rFonts w:hint="default" w:ascii="Times New Roman" w:hAnsi="Times New Roman" w:eastAsia="仿宋" w:cs="Times New Roman"/>
          <w:kern w:val="2"/>
          <w:sz w:val="32"/>
          <w:szCs w:val="32"/>
          <w:lang w:val="en-US" w:eastAsia="zh-CN" w:bidi="ar-SA"/>
        </w:rPr>
        <w:t>因子，监测数据能稳定上传怀化市环境监测信息平台</w:t>
      </w:r>
      <w:r>
        <w:rPr>
          <w:rFonts w:hint="eastAsia" w:ascii="Times New Roman" w:hAnsi="Times New Roman" w:eastAsia="仿宋" w:cs="Times New Roman"/>
          <w:kern w:val="2"/>
          <w:sz w:val="32"/>
          <w:szCs w:val="32"/>
          <w:lang w:val="en-US" w:eastAsia="zh-CN" w:bidi="ar-SA"/>
        </w:rPr>
        <w:t>，新晃产业开发区</w:t>
      </w:r>
      <w:r>
        <w:rPr>
          <w:rFonts w:hint="eastAsia" w:ascii="Times New Roman" w:hAnsi="Times New Roman" w:eastAsia="仿宋" w:cs="Times New Roman"/>
          <w:color w:val="auto"/>
          <w:kern w:val="2"/>
          <w:sz w:val="32"/>
          <w:szCs w:val="32"/>
          <w:lang w:val="en-US" w:eastAsia="zh-CN" w:bidi="ar-SA"/>
        </w:rPr>
        <w:t>2023</w:t>
      </w:r>
      <w:r>
        <w:rPr>
          <w:rFonts w:hint="default" w:ascii="Times New Roman" w:hAnsi="Times New Roman" w:eastAsia="仿宋" w:cs="Times New Roman"/>
          <w:color w:val="auto"/>
          <w:kern w:val="2"/>
          <w:sz w:val="32"/>
          <w:szCs w:val="32"/>
          <w:lang w:val="en-US" w:eastAsia="zh-CN" w:bidi="ar-SA"/>
        </w:rPr>
        <w:t>年空气质量累积优良天数</w:t>
      </w:r>
      <w:r>
        <w:rPr>
          <w:rFonts w:hint="eastAsia" w:ascii="Times New Roman" w:hAnsi="Times New Roman" w:eastAsia="仿宋" w:cs="Times New Roman"/>
          <w:color w:val="auto"/>
          <w:kern w:val="2"/>
          <w:sz w:val="32"/>
          <w:szCs w:val="32"/>
          <w:lang w:val="en-US" w:eastAsia="zh-CN" w:bidi="ar-SA"/>
        </w:rPr>
        <w:t>359</w:t>
      </w:r>
      <w:r>
        <w:rPr>
          <w:rFonts w:hint="default" w:ascii="Times New Roman" w:hAnsi="Times New Roman" w:eastAsia="仿宋" w:cs="Times New Roman"/>
          <w:color w:val="auto"/>
          <w:kern w:val="2"/>
          <w:sz w:val="32"/>
          <w:szCs w:val="32"/>
          <w:lang w:val="en-US" w:eastAsia="zh-CN" w:bidi="ar-SA"/>
        </w:rPr>
        <w:t>天</w:t>
      </w:r>
      <w:r>
        <w:rPr>
          <w:rFonts w:hint="eastAsia" w:ascii="Times New Roman" w:hAnsi="Times New Roman" w:eastAsia="仿宋" w:cs="Times New Roman"/>
          <w:color w:val="auto"/>
          <w:kern w:val="2"/>
          <w:sz w:val="32"/>
          <w:szCs w:val="32"/>
          <w:lang w:val="en-US" w:eastAsia="zh-CN" w:bidi="ar-SA"/>
        </w:rPr>
        <w:t>，优良率98.4%。</w:t>
      </w:r>
      <w:r>
        <w:rPr>
          <w:rFonts w:hint="default" w:ascii="Times New Roman" w:hAnsi="Times New Roman" w:eastAsia="仿宋" w:cs="Times New Roman"/>
          <w:color w:val="auto"/>
          <w:kern w:val="2"/>
          <w:sz w:val="32"/>
          <w:szCs w:val="32"/>
          <w:lang w:val="en-US" w:eastAsia="zh-CN" w:bidi="ar-SA"/>
        </w:rPr>
        <w:t>主要</w:t>
      </w:r>
      <w:r>
        <w:rPr>
          <w:rFonts w:hint="default" w:ascii="Times New Roman" w:hAnsi="Times New Roman" w:eastAsia="仿宋" w:cs="Times New Roman"/>
          <w:kern w:val="2"/>
          <w:sz w:val="32"/>
          <w:szCs w:val="32"/>
          <w:lang w:val="en-US" w:eastAsia="zh-CN" w:bidi="ar-SA"/>
        </w:rPr>
        <w:t>污染物为PM</w:t>
      </w:r>
      <w:r>
        <w:rPr>
          <w:rFonts w:hint="default" w:ascii="Times New Roman" w:hAnsi="Times New Roman" w:eastAsia="仿宋" w:cs="Times New Roman"/>
          <w:kern w:val="2"/>
          <w:sz w:val="32"/>
          <w:szCs w:val="32"/>
          <w:vertAlign w:val="subscript"/>
          <w:lang w:val="en-US" w:eastAsia="zh-CN" w:bidi="ar-SA"/>
        </w:rPr>
        <w:t>10</w:t>
      </w:r>
      <w:r>
        <w:rPr>
          <w:rFonts w:hint="default" w:ascii="Times New Roman" w:hAnsi="Times New Roman" w:eastAsia="仿宋" w:cs="Times New Roman"/>
          <w:kern w:val="2"/>
          <w:sz w:val="32"/>
          <w:szCs w:val="32"/>
          <w:lang w:val="en-US" w:eastAsia="zh-CN" w:bidi="ar-SA"/>
        </w:rPr>
        <w:t>，PM</w:t>
      </w:r>
      <w:r>
        <w:rPr>
          <w:rFonts w:hint="default" w:ascii="Times New Roman" w:hAnsi="Times New Roman" w:eastAsia="仿宋" w:cs="Times New Roman"/>
          <w:kern w:val="2"/>
          <w:sz w:val="32"/>
          <w:szCs w:val="32"/>
          <w:vertAlign w:val="subscript"/>
          <w:lang w:val="en-US" w:eastAsia="zh-CN" w:bidi="ar-SA"/>
        </w:rPr>
        <w:t>2.5</w:t>
      </w:r>
      <w:r>
        <w:rPr>
          <w:rFonts w:hint="default" w:ascii="Times New Roman" w:hAnsi="Times New Roman" w:eastAsia="仿宋" w:cs="Times New Roman"/>
          <w:kern w:val="2"/>
          <w:sz w:val="32"/>
          <w:szCs w:val="32"/>
          <w:lang w:val="en-US" w:eastAsia="zh-CN" w:bidi="ar-SA"/>
        </w:rPr>
        <w:t>浓度为</w:t>
      </w:r>
      <w:r>
        <w:rPr>
          <w:rFonts w:hint="eastAsia" w:ascii="Times New Roman" w:hAnsi="Times New Roman" w:eastAsia="仿宋" w:cs="Times New Roman"/>
          <w:color w:val="auto"/>
          <w:kern w:val="2"/>
          <w:sz w:val="32"/>
          <w:szCs w:val="32"/>
          <w:lang w:val="en-US" w:eastAsia="zh-CN" w:bidi="ar-SA"/>
        </w:rPr>
        <w:t>8</w:t>
      </w:r>
      <w:r>
        <w:rPr>
          <w:rFonts w:hint="default" w:ascii="Times New Roman" w:hAnsi="Times New Roman" w:eastAsia="仿宋" w:cs="Times New Roman"/>
          <w:kern w:val="2"/>
          <w:sz w:val="32"/>
          <w:szCs w:val="32"/>
          <w:lang w:val="en-US" w:eastAsia="zh-CN" w:bidi="ar-SA"/>
        </w:rPr>
        <w:t>ug/m³,PM</w:t>
      </w:r>
      <w:r>
        <w:rPr>
          <w:rFonts w:hint="default" w:ascii="Times New Roman" w:hAnsi="Times New Roman" w:eastAsia="仿宋" w:cs="Times New Roman"/>
          <w:kern w:val="2"/>
          <w:sz w:val="32"/>
          <w:szCs w:val="32"/>
          <w:vertAlign w:val="subscript"/>
          <w:lang w:val="en-US" w:eastAsia="zh-CN" w:bidi="ar-SA"/>
        </w:rPr>
        <w:t>10</w:t>
      </w:r>
      <w:r>
        <w:rPr>
          <w:rFonts w:hint="default" w:ascii="Times New Roman" w:hAnsi="Times New Roman" w:eastAsia="仿宋" w:cs="Times New Roman"/>
          <w:kern w:val="2"/>
          <w:sz w:val="32"/>
          <w:szCs w:val="32"/>
          <w:lang w:val="en-US" w:eastAsia="zh-CN" w:bidi="ar-SA"/>
        </w:rPr>
        <w:t>浓度为</w:t>
      </w:r>
      <w:r>
        <w:rPr>
          <w:rFonts w:hint="eastAsia" w:ascii="Times New Roman" w:hAnsi="Times New Roman" w:eastAsia="仿宋" w:cs="Times New Roman"/>
          <w:kern w:val="2"/>
          <w:sz w:val="32"/>
          <w:szCs w:val="32"/>
          <w:lang w:val="en-US" w:eastAsia="zh-CN" w:bidi="ar-SA"/>
        </w:rPr>
        <w:t>19</w:t>
      </w:r>
      <w:r>
        <w:rPr>
          <w:rFonts w:hint="default" w:ascii="Times New Roman" w:hAnsi="Times New Roman" w:eastAsia="仿宋" w:cs="Times New Roman"/>
          <w:kern w:val="2"/>
          <w:sz w:val="32"/>
          <w:szCs w:val="32"/>
          <w:lang w:val="en-US" w:eastAsia="zh-CN" w:bidi="ar-SA"/>
        </w:rPr>
        <w:t>ug/m³,SO</w:t>
      </w:r>
      <w:r>
        <w:rPr>
          <w:rFonts w:hint="default" w:ascii="Times New Roman" w:hAnsi="Times New Roman" w:eastAsia="仿宋" w:cs="Times New Roman"/>
          <w:kern w:val="2"/>
          <w:sz w:val="32"/>
          <w:szCs w:val="32"/>
          <w:vertAlign w:val="subscript"/>
          <w:lang w:val="en-US" w:eastAsia="zh-CN" w:bidi="ar-SA"/>
        </w:rPr>
        <w:t>2</w:t>
      </w:r>
      <w:r>
        <w:rPr>
          <w:rFonts w:hint="default" w:ascii="Times New Roman" w:hAnsi="Times New Roman" w:eastAsia="仿宋" w:cs="Times New Roman"/>
          <w:kern w:val="2"/>
          <w:sz w:val="32"/>
          <w:szCs w:val="32"/>
          <w:lang w:val="en-US" w:eastAsia="zh-CN" w:bidi="ar-SA"/>
        </w:rPr>
        <w:t>浓度为</w:t>
      </w:r>
      <w:r>
        <w:rPr>
          <w:rFonts w:hint="eastAsia" w:ascii="Times New Roman" w:hAnsi="Times New Roman" w:eastAsia="仿宋" w:cs="Times New Roman"/>
          <w:kern w:val="2"/>
          <w:sz w:val="32"/>
          <w:szCs w:val="32"/>
          <w:lang w:val="en-US" w:eastAsia="zh-CN" w:bidi="ar-SA"/>
        </w:rPr>
        <w:t>5</w:t>
      </w:r>
      <w:r>
        <w:rPr>
          <w:rFonts w:hint="default" w:ascii="Times New Roman" w:hAnsi="Times New Roman" w:eastAsia="仿宋" w:cs="Times New Roman"/>
          <w:kern w:val="2"/>
          <w:sz w:val="32"/>
          <w:szCs w:val="32"/>
          <w:lang w:val="en-US" w:eastAsia="zh-CN" w:bidi="ar-SA"/>
        </w:rPr>
        <w:t>ug/m³,NO</w:t>
      </w:r>
      <w:r>
        <w:rPr>
          <w:rFonts w:hint="default" w:ascii="Times New Roman" w:hAnsi="Times New Roman" w:eastAsia="仿宋" w:cs="Times New Roman"/>
          <w:kern w:val="2"/>
          <w:sz w:val="32"/>
          <w:szCs w:val="32"/>
          <w:vertAlign w:val="subscript"/>
          <w:lang w:val="en-US" w:eastAsia="zh-CN" w:bidi="ar-SA"/>
        </w:rPr>
        <w:t>2</w:t>
      </w:r>
      <w:r>
        <w:rPr>
          <w:rFonts w:hint="default" w:ascii="Times New Roman" w:hAnsi="Times New Roman" w:eastAsia="仿宋" w:cs="Times New Roman"/>
          <w:kern w:val="2"/>
          <w:sz w:val="32"/>
          <w:szCs w:val="32"/>
          <w:lang w:val="en-US" w:eastAsia="zh-CN" w:bidi="ar-SA"/>
        </w:rPr>
        <w:t>浓度为</w:t>
      </w:r>
      <w:r>
        <w:rPr>
          <w:rFonts w:hint="eastAsia" w:ascii="Times New Roman" w:hAnsi="Times New Roman" w:eastAsia="仿宋" w:cs="Times New Roman"/>
          <w:kern w:val="2"/>
          <w:sz w:val="32"/>
          <w:szCs w:val="32"/>
          <w:lang w:val="en-US" w:eastAsia="zh-CN" w:bidi="ar-SA"/>
        </w:rPr>
        <w:t>9</w:t>
      </w:r>
      <w:r>
        <w:rPr>
          <w:rFonts w:hint="default" w:ascii="Times New Roman" w:hAnsi="Times New Roman" w:eastAsia="仿宋" w:cs="Times New Roman"/>
          <w:kern w:val="2"/>
          <w:sz w:val="32"/>
          <w:szCs w:val="32"/>
          <w:lang w:val="en-US" w:eastAsia="zh-CN" w:bidi="ar-SA"/>
        </w:rPr>
        <w:t>ug/m³,CO浓度为0.</w:t>
      </w:r>
      <w:r>
        <w:rPr>
          <w:rFonts w:hint="eastAsia" w:ascii="Times New Roman" w:hAnsi="Times New Roman" w:eastAsia="仿宋" w:cs="Times New Roman"/>
          <w:kern w:val="2"/>
          <w:sz w:val="32"/>
          <w:szCs w:val="32"/>
          <w:lang w:val="en-US" w:eastAsia="zh-CN" w:bidi="ar-SA"/>
        </w:rPr>
        <w:t>65</w:t>
      </w:r>
      <w:r>
        <w:rPr>
          <w:rFonts w:hint="default" w:ascii="Times New Roman" w:hAnsi="Times New Roman" w:eastAsia="仿宋" w:cs="Times New Roman"/>
          <w:kern w:val="2"/>
          <w:sz w:val="32"/>
          <w:szCs w:val="32"/>
          <w:lang w:val="en-US" w:eastAsia="zh-CN" w:bidi="ar-SA"/>
        </w:rPr>
        <w:t>mg/m³,O</w:t>
      </w:r>
      <w:r>
        <w:rPr>
          <w:rFonts w:hint="default" w:ascii="Times New Roman" w:hAnsi="Times New Roman" w:eastAsia="仿宋" w:cs="Times New Roman"/>
          <w:kern w:val="2"/>
          <w:sz w:val="32"/>
          <w:szCs w:val="32"/>
          <w:vertAlign w:val="subscript"/>
          <w:lang w:val="en-US" w:eastAsia="zh-CN" w:bidi="ar-SA"/>
        </w:rPr>
        <w:t>3</w:t>
      </w:r>
      <w:r>
        <w:rPr>
          <w:rFonts w:hint="default" w:ascii="Times New Roman" w:hAnsi="Times New Roman" w:eastAsia="仿宋" w:cs="Times New Roman"/>
          <w:kern w:val="2"/>
          <w:sz w:val="32"/>
          <w:szCs w:val="32"/>
          <w:lang w:val="en-US" w:eastAsia="zh-CN" w:bidi="ar-SA"/>
        </w:rPr>
        <w:t>浓度为</w:t>
      </w:r>
      <w:r>
        <w:rPr>
          <w:rFonts w:hint="eastAsia" w:ascii="Times New Roman" w:hAnsi="Times New Roman" w:eastAsia="仿宋" w:cs="Times New Roman"/>
          <w:kern w:val="2"/>
          <w:sz w:val="32"/>
          <w:szCs w:val="32"/>
          <w:lang w:val="en-US" w:eastAsia="zh-CN" w:bidi="ar-SA"/>
        </w:rPr>
        <w:t>35</w:t>
      </w:r>
      <w:r>
        <w:rPr>
          <w:rFonts w:hint="default" w:ascii="Times New Roman" w:hAnsi="Times New Roman" w:eastAsia="仿宋" w:cs="Times New Roman"/>
          <w:kern w:val="2"/>
          <w:sz w:val="32"/>
          <w:szCs w:val="32"/>
          <w:lang w:val="en-US" w:eastAsia="zh-CN" w:bidi="ar-SA"/>
        </w:rPr>
        <w:t>ug/m³。</w:t>
      </w:r>
    </w:p>
    <w:p>
      <w:pPr>
        <w:pStyle w:val="16"/>
        <w:snapToGrid w:val="0"/>
        <w:spacing w:after="0" w:line="600" w:lineRule="exact"/>
        <w:ind w:left="0" w:leftChars="0" w:firstLine="643"/>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w:t>
      </w:r>
      <w:r>
        <w:rPr>
          <w:rFonts w:hint="default" w:ascii="Times New Roman" w:hAnsi="Times New Roman" w:eastAsia="仿宋" w:cs="Times New Roman"/>
          <w:kern w:val="2"/>
          <w:sz w:val="32"/>
          <w:szCs w:val="32"/>
          <w:lang w:val="en-US" w:eastAsia="zh-CN" w:bidi="ar-SA"/>
        </w:rPr>
        <w:t>土壤环境监测</w:t>
      </w:r>
    </w:p>
    <w:p>
      <w:pPr>
        <w:pStyle w:val="16"/>
        <w:snapToGrid w:val="0"/>
        <w:spacing w:after="0" w:line="600" w:lineRule="exact"/>
        <w:ind w:left="0" w:leftChars="0" w:firstLine="643"/>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在工业园</w:t>
      </w:r>
      <w:r>
        <w:rPr>
          <w:rFonts w:hint="eastAsia" w:ascii="Times New Roman" w:hAnsi="Times New Roman" w:eastAsia="仿宋" w:cs="Times New Roman"/>
          <w:kern w:val="2"/>
          <w:sz w:val="32"/>
          <w:szCs w:val="32"/>
          <w:lang w:val="en-US" w:eastAsia="zh-CN" w:bidi="ar-SA"/>
        </w:rPr>
        <w:t>内的土壤重点管理企业进行了土壤检测，分别在白云环保厂界边界南侧、白云环保厂界边界东南侧、</w:t>
      </w:r>
      <w:r>
        <w:rPr>
          <w:rFonts w:hint="default" w:ascii="Times New Roman" w:hAnsi="Times New Roman" w:eastAsia="仿宋" w:cs="Times New Roman"/>
          <w:kern w:val="2"/>
          <w:sz w:val="32"/>
          <w:szCs w:val="32"/>
          <w:lang w:val="en-US" w:eastAsia="zh-CN" w:bidi="ar-SA"/>
        </w:rPr>
        <w:t>进行土壤环境质量监测</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监测因子：pH、镉、汞、砷、铅、铜、镍、锌。</w:t>
      </w:r>
      <w:r>
        <w:rPr>
          <w:rFonts w:hint="eastAsia" w:ascii="Times New Roman" w:hAnsi="Times New Roman" w:eastAsia="仿宋" w:cs="Times New Roman"/>
          <w:kern w:val="2"/>
          <w:sz w:val="32"/>
          <w:szCs w:val="32"/>
          <w:lang w:val="en-US" w:eastAsia="zh-CN" w:bidi="ar-SA"/>
        </w:rPr>
        <w:t>并且园区于2023年根据规划环评要求进行了园区跟踪监测，监测内容包括环境空气、地表水、地下水、土壤、固废、噪声，土壤监测结果符合《土壤环境质量 建设用地土壤污染风险管控标致（试行）》（GB36600-2018）中第一类用地和第二类用地的标准。</w:t>
      </w:r>
    </w:p>
    <w:p>
      <w:pPr>
        <w:pStyle w:val="16"/>
        <w:snapToGrid w:val="0"/>
        <w:spacing w:after="0" w:line="600" w:lineRule="exact"/>
        <w:ind w:left="0" w:leftChars="0" w:firstLine="643"/>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3、水环境</w:t>
      </w:r>
      <w:r>
        <w:rPr>
          <w:rFonts w:hint="default" w:ascii="Times New Roman" w:hAnsi="Times New Roman" w:eastAsia="仿宋" w:cs="Times New Roman"/>
          <w:kern w:val="2"/>
          <w:sz w:val="32"/>
          <w:szCs w:val="32"/>
          <w:lang w:val="en-US" w:eastAsia="zh-CN" w:bidi="ar-SA"/>
        </w:rPr>
        <w:t>监测</w:t>
      </w:r>
    </w:p>
    <w:p>
      <w:pPr>
        <w:pStyle w:val="16"/>
        <w:snapToGrid w:val="0"/>
        <w:spacing w:after="0" w:line="600" w:lineRule="exact"/>
        <w:ind w:left="0" w:leftChars="0" w:firstLine="643"/>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园区污染源监测计划见表</w:t>
      </w:r>
      <w:r>
        <w:rPr>
          <w:rFonts w:hint="eastAsia" w:ascii="Times New Roman" w:hAnsi="Times New Roman" w:eastAsia="仿宋" w:cs="Times New Roman"/>
          <w:kern w:val="2"/>
          <w:sz w:val="32"/>
          <w:szCs w:val="32"/>
          <w:lang w:val="en-US" w:eastAsia="zh-CN" w:bidi="ar-SA"/>
        </w:rPr>
        <w:t>5</w:t>
      </w:r>
      <w:r>
        <w:rPr>
          <w:rFonts w:hint="default" w:ascii="Times New Roman" w:hAnsi="Times New Roman" w:eastAsia="仿宋" w:cs="Times New Roman"/>
          <w:kern w:val="2"/>
          <w:sz w:val="32"/>
          <w:szCs w:val="32"/>
          <w:lang w:val="en-US" w:eastAsia="zh-CN" w:bidi="ar-SA"/>
        </w:rPr>
        <w:t>。</w:t>
      </w:r>
    </w:p>
    <w:p>
      <w:pPr>
        <w:pStyle w:val="13"/>
        <w:widowControl/>
        <w:spacing w:beforeAutospacing="0" w:afterAutospacing="0" w:line="30" w:lineRule="atLeast"/>
        <w:jc w:val="center"/>
        <w:rPr>
          <w:rFonts w:hint="default" w:ascii="Times New Roman" w:hAnsi="Times New Roman" w:eastAsia="仿宋" w:cs="Times New Roman"/>
          <w:b w:val="0"/>
          <w:bCs/>
          <w:color w:val="333333"/>
          <w:sz w:val="28"/>
          <w:szCs w:val="40"/>
          <w:highlight w:val="none"/>
          <w:shd w:val="clear" w:color="auto" w:fill="FFFFFF"/>
          <w:lang w:val="zh-CN"/>
        </w:rPr>
      </w:pPr>
      <w:r>
        <w:rPr>
          <w:rFonts w:hint="default" w:ascii="Times New Roman" w:hAnsi="Times New Roman" w:eastAsia="仿宋" w:cs="Times New Roman"/>
          <w:b w:val="0"/>
          <w:bCs/>
          <w:color w:val="333333"/>
          <w:sz w:val="28"/>
          <w:szCs w:val="40"/>
          <w:highlight w:val="none"/>
          <w:shd w:val="clear" w:color="auto" w:fill="FFFFFF"/>
          <w:lang w:val="zh-CN"/>
        </w:rPr>
        <w:t>表</w:t>
      </w:r>
      <w:r>
        <w:rPr>
          <w:rFonts w:hint="eastAsia" w:ascii="Times New Roman" w:hAnsi="Times New Roman" w:eastAsia="仿宋" w:cs="Times New Roman"/>
          <w:b w:val="0"/>
          <w:bCs/>
          <w:color w:val="333333"/>
          <w:sz w:val="28"/>
          <w:szCs w:val="40"/>
          <w:highlight w:val="none"/>
          <w:shd w:val="clear" w:color="auto" w:fill="FFFFFF"/>
          <w:lang w:val="en-US" w:eastAsia="zh-CN"/>
        </w:rPr>
        <w:t>5</w:t>
      </w:r>
      <w:r>
        <w:rPr>
          <w:rFonts w:hint="default" w:ascii="Times New Roman" w:hAnsi="Times New Roman" w:eastAsia="仿宋" w:cs="Times New Roman"/>
          <w:b w:val="0"/>
          <w:bCs/>
          <w:color w:val="333333"/>
          <w:sz w:val="28"/>
          <w:szCs w:val="40"/>
          <w:highlight w:val="none"/>
          <w:shd w:val="clear" w:color="auto" w:fill="FFFFFF"/>
          <w:lang w:val="zh-CN"/>
        </w:rPr>
        <w:t xml:space="preserve"> 地表水</w:t>
      </w:r>
      <w:r>
        <w:rPr>
          <w:rFonts w:hint="eastAsia" w:ascii="Times New Roman" w:hAnsi="Times New Roman" w:eastAsia="仿宋" w:cs="Times New Roman"/>
          <w:b w:val="0"/>
          <w:bCs/>
          <w:color w:val="333333"/>
          <w:sz w:val="28"/>
          <w:szCs w:val="40"/>
          <w:highlight w:val="none"/>
          <w:shd w:val="clear" w:color="auto" w:fill="FFFFFF"/>
          <w:lang w:val="en-US" w:eastAsia="zh-CN"/>
        </w:rPr>
        <w:t>及地下水</w:t>
      </w:r>
      <w:r>
        <w:rPr>
          <w:rFonts w:hint="default" w:ascii="Times New Roman" w:hAnsi="Times New Roman" w:eastAsia="仿宋" w:cs="Times New Roman"/>
          <w:b w:val="0"/>
          <w:bCs/>
          <w:color w:val="333333"/>
          <w:sz w:val="28"/>
          <w:szCs w:val="40"/>
          <w:highlight w:val="none"/>
          <w:shd w:val="clear" w:color="auto" w:fill="FFFFFF"/>
          <w:lang w:val="zh-CN"/>
        </w:rPr>
        <w:t>水环境监测</w:t>
      </w:r>
      <w:r>
        <w:rPr>
          <w:rFonts w:hint="eastAsia" w:ascii="Times New Roman" w:hAnsi="Times New Roman" w:eastAsia="仿宋" w:cs="Times New Roman"/>
          <w:b w:val="0"/>
          <w:bCs/>
          <w:color w:val="333333"/>
          <w:sz w:val="28"/>
          <w:szCs w:val="40"/>
          <w:highlight w:val="none"/>
          <w:shd w:val="clear" w:color="auto" w:fill="FFFFFF"/>
          <w:lang w:val="en-US" w:eastAsia="zh-CN"/>
        </w:rPr>
        <w:t>点</w:t>
      </w:r>
      <w:r>
        <w:rPr>
          <w:rFonts w:hint="default" w:ascii="Times New Roman" w:hAnsi="Times New Roman" w:eastAsia="仿宋" w:cs="Times New Roman"/>
          <w:b w:val="0"/>
          <w:bCs/>
          <w:color w:val="333333"/>
          <w:sz w:val="28"/>
          <w:szCs w:val="40"/>
          <w:highlight w:val="none"/>
          <w:shd w:val="clear" w:color="auto" w:fill="FFFFFF"/>
          <w:lang w:val="zh-CN"/>
        </w:rPr>
        <w:t>位置、项目与频次</w:t>
      </w:r>
    </w:p>
    <w:tbl>
      <w:tblPr>
        <w:tblStyle w:val="17"/>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943"/>
        <w:gridCol w:w="1630"/>
        <w:gridCol w:w="2511"/>
        <w:gridCol w:w="1648"/>
        <w:gridCol w:w="1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694" w:type="dxa"/>
            <w:vAlign w:val="center"/>
          </w:tcPr>
          <w:p>
            <w:pPr>
              <w:spacing w:line="240" w:lineRule="auto"/>
              <w:jc w:val="center"/>
              <w:rPr>
                <w:color w:val="auto"/>
                <w:sz w:val="21"/>
                <w:szCs w:val="21"/>
                <w:highlight w:val="none"/>
              </w:rPr>
            </w:pPr>
            <w:r>
              <w:rPr>
                <w:color w:val="auto"/>
                <w:sz w:val="21"/>
                <w:szCs w:val="21"/>
                <w:highlight w:val="none"/>
              </w:rPr>
              <w:t>序号</w:t>
            </w:r>
          </w:p>
        </w:tc>
        <w:tc>
          <w:tcPr>
            <w:tcW w:w="5084" w:type="dxa"/>
            <w:gridSpan w:val="3"/>
            <w:vAlign w:val="center"/>
          </w:tcPr>
          <w:p>
            <w:pPr>
              <w:spacing w:line="240" w:lineRule="auto"/>
              <w:jc w:val="center"/>
              <w:rPr>
                <w:color w:val="auto"/>
                <w:sz w:val="21"/>
                <w:szCs w:val="21"/>
                <w:highlight w:val="none"/>
              </w:rPr>
            </w:pPr>
            <w:r>
              <w:rPr>
                <w:color w:val="auto"/>
                <w:sz w:val="21"/>
                <w:szCs w:val="21"/>
                <w:highlight w:val="none"/>
              </w:rPr>
              <w:t>名称</w:t>
            </w:r>
          </w:p>
        </w:tc>
        <w:tc>
          <w:tcPr>
            <w:tcW w:w="1648" w:type="dxa"/>
            <w:vAlign w:val="center"/>
          </w:tcPr>
          <w:p>
            <w:pPr>
              <w:spacing w:line="240" w:lineRule="auto"/>
              <w:jc w:val="center"/>
              <w:rPr>
                <w:color w:val="auto"/>
                <w:spacing w:val="4"/>
                <w:sz w:val="21"/>
                <w:szCs w:val="21"/>
                <w:highlight w:val="none"/>
              </w:rPr>
            </w:pPr>
            <w:r>
              <w:rPr>
                <w:color w:val="auto"/>
                <w:spacing w:val="4"/>
                <w:sz w:val="21"/>
                <w:szCs w:val="21"/>
                <w:highlight w:val="none"/>
              </w:rPr>
              <w:t>监测因子</w:t>
            </w:r>
          </w:p>
        </w:tc>
        <w:tc>
          <w:tcPr>
            <w:tcW w:w="1096" w:type="dxa"/>
            <w:vAlign w:val="center"/>
          </w:tcPr>
          <w:p>
            <w:pPr>
              <w:spacing w:line="240" w:lineRule="auto"/>
              <w:jc w:val="center"/>
              <w:rPr>
                <w:color w:val="auto"/>
                <w:spacing w:val="4"/>
                <w:sz w:val="21"/>
                <w:szCs w:val="21"/>
                <w:highlight w:val="none"/>
              </w:rPr>
            </w:pPr>
            <w:r>
              <w:rPr>
                <w:color w:val="auto"/>
                <w:spacing w:val="4"/>
                <w:sz w:val="21"/>
                <w:szCs w:val="21"/>
                <w:highlight w:val="none"/>
              </w:rPr>
              <w:t>监测频率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694" w:type="dxa"/>
            <w:vAlign w:val="center"/>
          </w:tcPr>
          <w:p>
            <w:pPr>
              <w:spacing w:line="240" w:lineRule="auto"/>
              <w:jc w:val="center"/>
              <w:rPr>
                <w:color w:val="auto"/>
                <w:sz w:val="21"/>
                <w:szCs w:val="21"/>
                <w:highlight w:val="none"/>
              </w:rPr>
            </w:pPr>
            <w:r>
              <w:rPr>
                <w:color w:val="auto"/>
                <w:sz w:val="21"/>
                <w:szCs w:val="21"/>
                <w:highlight w:val="none"/>
              </w:rPr>
              <w:t>1</w:t>
            </w:r>
          </w:p>
        </w:tc>
        <w:tc>
          <w:tcPr>
            <w:tcW w:w="943" w:type="dxa"/>
            <w:vMerge w:val="restart"/>
            <w:vAlign w:val="center"/>
          </w:tcPr>
          <w:p>
            <w:pPr>
              <w:spacing w:line="240" w:lineRule="auto"/>
              <w:jc w:val="center"/>
              <w:rPr>
                <w:color w:val="auto"/>
                <w:sz w:val="21"/>
                <w:szCs w:val="21"/>
                <w:highlight w:val="none"/>
              </w:rPr>
            </w:pPr>
            <w:r>
              <w:rPr>
                <w:rFonts w:hint="eastAsia"/>
                <w:color w:val="auto"/>
                <w:sz w:val="21"/>
                <w:szCs w:val="21"/>
                <w:highlight w:val="none"/>
              </w:rPr>
              <w:t>舞水</w:t>
            </w:r>
          </w:p>
        </w:tc>
        <w:tc>
          <w:tcPr>
            <w:tcW w:w="4141" w:type="dxa"/>
            <w:gridSpan w:val="2"/>
            <w:vAlign w:val="center"/>
          </w:tcPr>
          <w:p>
            <w:pPr>
              <w:pStyle w:val="29"/>
              <w:rPr>
                <w:color w:val="auto"/>
                <w:sz w:val="21"/>
                <w:szCs w:val="21"/>
                <w:highlight w:val="none"/>
              </w:rPr>
            </w:pPr>
            <w:r>
              <w:rPr>
                <w:rFonts w:hint="eastAsia"/>
                <w:color w:val="auto"/>
                <w:sz w:val="21"/>
                <w:szCs w:val="21"/>
                <w:highlight w:val="none"/>
              </w:rPr>
              <w:t>前锋片区舞水上游边界处</w:t>
            </w:r>
          </w:p>
        </w:tc>
        <w:tc>
          <w:tcPr>
            <w:tcW w:w="1648" w:type="dxa"/>
            <w:vMerge w:val="restart"/>
            <w:vAlign w:val="center"/>
          </w:tcPr>
          <w:p>
            <w:pPr>
              <w:pStyle w:val="29"/>
              <w:spacing w:line="240" w:lineRule="auto"/>
              <w:rPr>
                <w:color w:val="auto"/>
                <w:sz w:val="21"/>
                <w:szCs w:val="21"/>
                <w:highlight w:val="none"/>
              </w:rPr>
            </w:pPr>
            <w:r>
              <w:rPr>
                <w:rFonts w:hint="eastAsia"/>
                <w:color w:val="auto"/>
                <w:sz w:val="21"/>
                <w:szCs w:val="21"/>
                <w:highlight w:val="none"/>
              </w:rPr>
              <w:t>pH、SS、COD、氨氮、总氮、BOD</w:t>
            </w:r>
            <w:r>
              <w:rPr>
                <w:rFonts w:hint="eastAsia"/>
                <w:color w:val="auto"/>
                <w:sz w:val="21"/>
                <w:szCs w:val="21"/>
                <w:highlight w:val="none"/>
                <w:vertAlign w:val="subscript"/>
              </w:rPr>
              <w:t>5</w:t>
            </w:r>
            <w:r>
              <w:rPr>
                <w:rFonts w:hint="eastAsia"/>
                <w:color w:val="auto"/>
                <w:sz w:val="21"/>
                <w:szCs w:val="21"/>
                <w:highlight w:val="none"/>
              </w:rPr>
              <w:t>、总磷、氰化物、氟化物、硫化物、挥发酚、石油类、阴离子表面活性剂、粪大肠菌群、Cr</w:t>
            </w:r>
            <w:r>
              <w:rPr>
                <w:rFonts w:hint="eastAsia"/>
                <w:color w:val="auto"/>
                <w:sz w:val="21"/>
                <w:szCs w:val="21"/>
                <w:highlight w:val="none"/>
                <w:vertAlign w:val="superscript"/>
              </w:rPr>
              <w:t>6+</w:t>
            </w:r>
            <w:r>
              <w:rPr>
                <w:rFonts w:hint="eastAsia"/>
                <w:color w:val="auto"/>
                <w:sz w:val="21"/>
                <w:szCs w:val="21"/>
                <w:highlight w:val="none"/>
              </w:rPr>
              <w:t>、铜、铅、锌、镉、砷、锑、镍、汞、锰</w:t>
            </w:r>
          </w:p>
        </w:tc>
        <w:tc>
          <w:tcPr>
            <w:tcW w:w="1096" w:type="dxa"/>
            <w:vMerge w:val="restart"/>
            <w:vAlign w:val="center"/>
          </w:tcPr>
          <w:p>
            <w:pPr>
              <w:spacing w:line="240" w:lineRule="auto"/>
              <w:jc w:val="center"/>
              <w:rPr>
                <w:color w:val="auto"/>
                <w:sz w:val="21"/>
                <w:szCs w:val="21"/>
                <w:highlight w:val="none"/>
              </w:rPr>
            </w:pPr>
            <w:r>
              <w:rPr>
                <w:color w:val="auto"/>
                <w:spacing w:val="4"/>
                <w:sz w:val="21"/>
                <w:szCs w:val="21"/>
                <w:highlight w:val="none"/>
              </w:rPr>
              <w:t>每年平、枯水期各一次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694" w:type="dxa"/>
            <w:vAlign w:val="center"/>
          </w:tcPr>
          <w:p>
            <w:pPr>
              <w:spacing w:line="240" w:lineRule="auto"/>
              <w:jc w:val="center"/>
              <w:rPr>
                <w:color w:val="auto"/>
                <w:sz w:val="21"/>
                <w:szCs w:val="21"/>
                <w:highlight w:val="none"/>
              </w:rPr>
            </w:pPr>
            <w:r>
              <w:rPr>
                <w:rFonts w:hint="eastAsia"/>
                <w:color w:val="auto"/>
                <w:sz w:val="21"/>
                <w:szCs w:val="21"/>
                <w:highlight w:val="none"/>
              </w:rPr>
              <w:t>2</w:t>
            </w:r>
          </w:p>
        </w:tc>
        <w:tc>
          <w:tcPr>
            <w:tcW w:w="943" w:type="dxa"/>
            <w:vMerge w:val="continue"/>
            <w:vAlign w:val="center"/>
          </w:tcPr>
          <w:p>
            <w:pPr>
              <w:spacing w:line="240" w:lineRule="auto"/>
              <w:jc w:val="center"/>
              <w:rPr>
                <w:color w:val="auto"/>
                <w:sz w:val="21"/>
                <w:szCs w:val="21"/>
                <w:highlight w:val="none"/>
              </w:rPr>
            </w:pPr>
          </w:p>
        </w:tc>
        <w:tc>
          <w:tcPr>
            <w:tcW w:w="4141" w:type="dxa"/>
            <w:gridSpan w:val="2"/>
            <w:vAlign w:val="center"/>
          </w:tcPr>
          <w:p>
            <w:pPr>
              <w:overflowPunct w:val="0"/>
              <w:autoSpaceDE w:val="0"/>
              <w:autoSpaceDN w:val="0"/>
              <w:adjustRightInd w:val="0"/>
              <w:spacing w:line="240" w:lineRule="atLeast"/>
              <w:jc w:val="center"/>
              <w:textAlignment w:val="baseline"/>
              <w:rPr>
                <w:color w:val="auto"/>
                <w:kern w:val="0"/>
                <w:sz w:val="21"/>
                <w:szCs w:val="21"/>
                <w:highlight w:val="none"/>
              </w:rPr>
            </w:pPr>
            <w:r>
              <w:rPr>
                <w:rFonts w:hint="eastAsia"/>
                <w:color w:val="auto"/>
                <w:kern w:val="0"/>
                <w:sz w:val="21"/>
                <w:szCs w:val="21"/>
                <w:highlight w:val="none"/>
              </w:rPr>
              <w:t>园区污水处理厂排污口上游1500m</w:t>
            </w:r>
          </w:p>
        </w:tc>
        <w:tc>
          <w:tcPr>
            <w:tcW w:w="1648" w:type="dxa"/>
            <w:vMerge w:val="continue"/>
            <w:vAlign w:val="center"/>
          </w:tcPr>
          <w:p>
            <w:pPr>
              <w:pStyle w:val="29"/>
              <w:spacing w:line="240" w:lineRule="auto"/>
              <w:rPr>
                <w:color w:val="auto"/>
                <w:sz w:val="21"/>
                <w:szCs w:val="21"/>
                <w:highlight w:val="none"/>
              </w:rPr>
            </w:pPr>
          </w:p>
        </w:tc>
        <w:tc>
          <w:tcPr>
            <w:tcW w:w="1096" w:type="dxa"/>
            <w:vMerge w:val="continue"/>
            <w:vAlign w:val="center"/>
          </w:tcPr>
          <w:p>
            <w:pPr>
              <w:spacing w:line="240" w:lineRule="auto"/>
              <w:jc w:val="center"/>
              <w:rPr>
                <w:color w:val="auto"/>
                <w:spacing w:val="4"/>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4" w:type="dxa"/>
            <w:vAlign w:val="center"/>
          </w:tcPr>
          <w:p>
            <w:pPr>
              <w:spacing w:line="240" w:lineRule="auto"/>
              <w:jc w:val="center"/>
              <w:rPr>
                <w:color w:val="auto"/>
                <w:sz w:val="21"/>
                <w:szCs w:val="21"/>
                <w:highlight w:val="none"/>
              </w:rPr>
            </w:pPr>
            <w:r>
              <w:rPr>
                <w:rFonts w:hint="eastAsia"/>
                <w:color w:val="auto"/>
                <w:sz w:val="21"/>
                <w:szCs w:val="21"/>
                <w:highlight w:val="none"/>
              </w:rPr>
              <w:t>3</w:t>
            </w:r>
          </w:p>
        </w:tc>
        <w:tc>
          <w:tcPr>
            <w:tcW w:w="943" w:type="dxa"/>
            <w:vMerge w:val="continue"/>
            <w:vAlign w:val="center"/>
          </w:tcPr>
          <w:p>
            <w:pPr>
              <w:pStyle w:val="29"/>
              <w:spacing w:line="240" w:lineRule="auto"/>
              <w:rPr>
                <w:color w:val="auto"/>
                <w:sz w:val="21"/>
                <w:szCs w:val="21"/>
                <w:highlight w:val="none"/>
              </w:rPr>
            </w:pPr>
          </w:p>
        </w:tc>
        <w:tc>
          <w:tcPr>
            <w:tcW w:w="4141" w:type="dxa"/>
            <w:gridSpan w:val="2"/>
            <w:vAlign w:val="center"/>
          </w:tcPr>
          <w:p>
            <w:pPr>
              <w:pStyle w:val="29"/>
              <w:spacing w:line="240" w:lineRule="auto"/>
              <w:rPr>
                <w:color w:val="auto"/>
                <w:sz w:val="21"/>
                <w:szCs w:val="21"/>
                <w:highlight w:val="none"/>
              </w:rPr>
            </w:pPr>
            <w:r>
              <w:rPr>
                <w:rFonts w:hint="eastAsia"/>
                <w:color w:val="auto"/>
                <w:sz w:val="21"/>
                <w:szCs w:val="21"/>
                <w:highlight w:val="none"/>
              </w:rPr>
              <w:t>前锋工业园污水处理厂排污口下游1500m</w:t>
            </w:r>
          </w:p>
        </w:tc>
        <w:tc>
          <w:tcPr>
            <w:tcW w:w="1648" w:type="dxa"/>
            <w:vMerge w:val="continue"/>
            <w:vAlign w:val="center"/>
          </w:tcPr>
          <w:p>
            <w:pPr>
              <w:spacing w:line="240" w:lineRule="auto"/>
              <w:jc w:val="center"/>
              <w:rPr>
                <w:color w:val="auto"/>
                <w:spacing w:val="4"/>
                <w:sz w:val="21"/>
                <w:szCs w:val="21"/>
                <w:highlight w:val="none"/>
              </w:rPr>
            </w:pPr>
          </w:p>
        </w:tc>
        <w:tc>
          <w:tcPr>
            <w:tcW w:w="1096" w:type="dxa"/>
            <w:vMerge w:val="continue"/>
            <w:vAlign w:val="center"/>
          </w:tcPr>
          <w:p>
            <w:pPr>
              <w:spacing w:line="240" w:lineRule="auto"/>
              <w:jc w:val="center"/>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4" w:type="dxa"/>
            <w:vAlign w:val="center"/>
          </w:tcPr>
          <w:p>
            <w:pPr>
              <w:spacing w:line="240" w:lineRule="auto"/>
              <w:jc w:val="center"/>
              <w:rPr>
                <w:color w:val="auto"/>
                <w:sz w:val="21"/>
                <w:szCs w:val="21"/>
                <w:highlight w:val="none"/>
              </w:rPr>
            </w:pPr>
            <w:r>
              <w:rPr>
                <w:rFonts w:hint="eastAsia"/>
                <w:color w:val="auto"/>
                <w:sz w:val="21"/>
                <w:szCs w:val="21"/>
                <w:highlight w:val="none"/>
              </w:rPr>
              <w:t>4</w:t>
            </w:r>
          </w:p>
        </w:tc>
        <w:tc>
          <w:tcPr>
            <w:tcW w:w="943" w:type="dxa"/>
            <w:vMerge w:val="continue"/>
            <w:vAlign w:val="center"/>
          </w:tcPr>
          <w:p>
            <w:pPr>
              <w:pStyle w:val="29"/>
              <w:spacing w:line="240" w:lineRule="auto"/>
              <w:rPr>
                <w:color w:val="auto"/>
                <w:sz w:val="21"/>
                <w:szCs w:val="21"/>
                <w:highlight w:val="none"/>
              </w:rPr>
            </w:pPr>
          </w:p>
        </w:tc>
        <w:tc>
          <w:tcPr>
            <w:tcW w:w="4141" w:type="dxa"/>
            <w:gridSpan w:val="2"/>
            <w:vAlign w:val="center"/>
          </w:tcPr>
          <w:p>
            <w:pPr>
              <w:pStyle w:val="29"/>
              <w:spacing w:line="240" w:lineRule="auto"/>
              <w:rPr>
                <w:color w:val="auto"/>
                <w:sz w:val="21"/>
                <w:szCs w:val="21"/>
                <w:highlight w:val="none"/>
              </w:rPr>
            </w:pPr>
            <w:r>
              <w:rPr>
                <w:rFonts w:hint="eastAsia"/>
                <w:color w:val="auto"/>
                <w:sz w:val="21"/>
                <w:szCs w:val="21"/>
                <w:highlight w:val="none"/>
              </w:rPr>
              <w:t>酒店塘污水处理站排口下游500m</w:t>
            </w:r>
          </w:p>
        </w:tc>
        <w:tc>
          <w:tcPr>
            <w:tcW w:w="1648" w:type="dxa"/>
            <w:vMerge w:val="continue"/>
            <w:vAlign w:val="center"/>
          </w:tcPr>
          <w:p>
            <w:pPr>
              <w:spacing w:line="240" w:lineRule="auto"/>
              <w:jc w:val="center"/>
              <w:rPr>
                <w:color w:val="auto"/>
                <w:spacing w:val="4"/>
                <w:sz w:val="21"/>
                <w:szCs w:val="21"/>
                <w:highlight w:val="none"/>
              </w:rPr>
            </w:pPr>
          </w:p>
        </w:tc>
        <w:tc>
          <w:tcPr>
            <w:tcW w:w="1096" w:type="dxa"/>
            <w:vMerge w:val="continue"/>
            <w:vAlign w:val="center"/>
          </w:tcPr>
          <w:p>
            <w:pPr>
              <w:spacing w:line="240" w:lineRule="auto"/>
              <w:jc w:val="center"/>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4" w:type="dxa"/>
            <w:vAlign w:val="center"/>
          </w:tcPr>
          <w:p>
            <w:pPr>
              <w:spacing w:line="240" w:lineRule="auto"/>
              <w:jc w:val="center"/>
              <w:rPr>
                <w:color w:val="auto"/>
                <w:sz w:val="21"/>
                <w:szCs w:val="21"/>
                <w:highlight w:val="none"/>
              </w:rPr>
            </w:pPr>
            <w:r>
              <w:rPr>
                <w:rFonts w:hint="eastAsia"/>
                <w:color w:val="auto"/>
                <w:sz w:val="21"/>
                <w:szCs w:val="21"/>
                <w:highlight w:val="none"/>
              </w:rPr>
              <w:t>5</w:t>
            </w:r>
          </w:p>
        </w:tc>
        <w:tc>
          <w:tcPr>
            <w:tcW w:w="943" w:type="dxa"/>
            <w:vMerge w:val="continue"/>
            <w:vAlign w:val="center"/>
          </w:tcPr>
          <w:p>
            <w:pPr>
              <w:pStyle w:val="29"/>
              <w:spacing w:line="240" w:lineRule="auto"/>
              <w:rPr>
                <w:color w:val="auto"/>
                <w:sz w:val="21"/>
                <w:szCs w:val="21"/>
                <w:highlight w:val="none"/>
              </w:rPr>
            </w:pPr>
          </w:p>
        </w:tc>
        <w:tc>
          <w:tcPr>
            <w:tcW w:w="4141" w:type="dxa"/>
            <w:gridSpan w:val="2"/>
            <w:vAlign w:val="center"/>
          </w:tcPr>
          <w:p>
            <w:pPr>
              <w:pStyle w:val="29"/>
              <w:spacing w:line="240" w:lineRule="auto"/>
              <w:rPr>
                <w:color w:val="auto"/>
                <w:sz w:val="21"/>
                <w:szCs w:val="21"/>
                <w:highlight w:val="none"/>
              </w:rPr>
            </w:pPr>
            <w:r>
              <w:rPr>
                <w:rFonts w:hint="eastAsia"/>
                <w:color w:val="auto"/>
                <w:sz w:val="21"/>
                <w:szCs w:val="21"/>
                <w:highlight w:val="none"/>
              </w:rPr>
              <w:t>安圣电池下游1500m</w:t>
            </w:r>
          </w:p>
        </w:tc>
        <w:tc>
          <w:tcPr>
            <w:tcW w:w="1648" w:type="dxa"/>
            <w:vMerge w:val="continue"/>
            <w:vAlign w:val="center"/>
          </w:tcPr>
          <w:p>
            <w:pPr>
              <w:spacing w:line="240" w:lineRule="auto"/>
              <w:jc w:val="center"/>
              <w:rPr>
                <w:color w:val="auto"/>
                <w:spacing w:val="4"/>
                <w:sz w:val="21"/>
                <w:szCs w:val="21"/>
                <w:highlight w:val="none"/>
              </w:rPr>
            </w:pPr>
          </w:p>
        </w:tc>
        <w:tc>
          <w:tcPr>
            <w:tcW w:w="1096" w:type="dxa"/>
            <w:vMerge w:val="continue"/>
            <w:vAlign w:val="center"/>
          </w:tcPr>
          <w:p>
            <w:pPr>
              <w:spacing w:line="240" w:lineRule="auto"/>
              <w:jc w:val="center"/>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4" w:type="dxa"/>
            <w:vAlign w:val="center"/>
          </w:tcPr>
          <w:p>
            <w:pPr>
              <w:spacing w:line="240" w:lineRule="auto"/>
              <w:jc w:val="center"/>
              <w:rPr>
                <w:color w:val="auto"/>
                <w:sz w:val="21"/>
                <w:szCs w:val="21"/>
                <w:highlight w:val="none"/>
              </w:rPr>
            </w:pPr>
            <w:r>
              <w:rPr>
                <w:rFonts w:hint="eastAsia"/>
                <w:color w:val="auto"/>
                <w:sz w:val="21"/>
                <w:szCs w:val="21"/>
                <w:highlight w:val="none"/>
              </w:rPr>
              <w:t>6</w:t>
            </w:r>
          </w:p>
        </w:tc>
        <w:tc>
          <w:tcPr>
            <w:tcW w:w="943" w:type="dxa"/>
            <w:vMerge w:val="continue"/>
            <w:vAlign w:val="center"/>
          </w:tcPr>
          <w:p>
            <w:pPr>
              <w:pStyle w:val="29"/>
              <w:spacing w:line="240" w:lineRule="auto"/>
              <w:rPr>
                <w:color w:val="auto"/>
                <w:sz w:val="21"/>
                <w:szCs w:val="21"/>
                <w:highlight w:val="none"/>
              </w:rPr>
            </w:pPr>
          </w:p>
        </w:tc>
        <w:tc>
          <w:tcPr>
            <w:tcW w:w="4141" w:type="dxa"/>
            <w:gridSpan w:val="2"/>
            <w:vAlign w:val="center"/>
          </w:tcPr>
          <w:p>
            <w:pPr>
              <w:pStyle w:val="29"/>
              <w:spacing w:line="240" w:lineRule="auto"/>
              <w:rPr>
                <w:color w:val="auto"/>
                <w:sz w:val="21"/>
                <w:szCs w:val="21"/>
                <w:highlight w:val="none"/>
              </w:rPr>
            </w:pPr>
            <w:r>
              <w:rPr>
                <w:rFonts w:hint="eastAsia"/>
                <w:color w:val="auto"/>
                <w:sz w:val="21"/>
                <w:szCs w:val="21"/>
                <w:highlight w:val="none"/>
              </w:rPr>
              <w:t>舞水备用取水口处</w:t>
            </w:r>
          </w:p>
        </w:tc>
        <w:tc>
          <w:tcPr>
            <w:tcW w:w="1648" w:type="dxa"/>
            <w:vMerge w:val="continue"/>
            <w:vAlign w:val="center"/>
          </w:tcPr>
          <w:p>
            <w:pPr>
              <w:spacing w:line="240" w:lineRule="auto"/>
              <w:jc w:val="center"/>
              <w:rPr>
                <w:color w:val="auto"/>
                <w:spacing w:val="4"/>
                <w:sz w:val="21"/>
                <w:szCs w:val="21"/>
                <w:highlight w:val="none"/>
              </w:rPr>
            </w:pPr>
          </w:p>
        </w:tc>
        <w:tc>
          <w:tcPr>
            <w:tcW w:w="1096" w:type="dxa"/>
            <w:vMerge w:val="continue"/>
            <w:vAlign w:val="center"/>
          </w:tcPr>
          <w:p>
            <w:pPr>
              <w:spacing w:line="240" w:lineRule="auto"/>
              <w:jc w:val="center"/>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 w:hRule="atLeast"/>
          <w:jc w:val="center"/>
        </w:trPr>
        <w:tc>
          <w:tcPr>
            <w:tcW w:w="694" w:type="dxa"/>
            <w:vAlign w:val="center"/>
          </w:tcPr>
          <w:p>
            <w:pPr>
              <w:spacing w:line="240" w:lineRule="auto"/>
              <w:jc w:val="center"/>
              <w:rPr>
                <w:color w:val="auto"/>
                <w:sz w:val="21"/>
                <w:szCs w:val="21"/>
                <w:highlight w:val="none"/>
              </w:rPr>
            </w:pPr>
            <w:r>
              <w:rPr>
                <w:rFonts w:hint="eastAsia"/>
                <w:color w:val="auto"/>
                <w:sz w:val="21"/>
                <w:szCs w:val="21"/>
                <w:highlight w:val="none"/>
              </w:rPr>
              <w:t>7</w:t>
            </w:r>
          </w:p>
        </w:tc>
        <w:tc>
          <w:tcPr>
            <w:tcW w:w="943" w:type="dxa"/>
            <w:vMerge w:val="continue"/>
            <w:vAlign w:val="center"/>
          </w:tcPr>
          <w:p>
            <w:pPr>
              <w:pStyle w:val="29"/>
              <w:spacing w:line="240" w:lineRule="auto"/>
              <w:rPr>
                <w:color w:val="auto"/>
                <w:sz w:val="21"/>
                <w:szCs w:val="21"/>
                <w:highlight w:val="none"/>
              </w:rPr>
            </w:pPr>
          </w:p>
        </w:tc>
        <w:tc>
          <w:tcPr>
            <w:tcW w:w="4141" w:type="dxa"/>
            <w:gridSpan w:val="2"/>
            <w:vAlign w:val="center"/>
          </w:tcPr>
          <w:p>
            <w:pPr>
              <w:pStyle w:val="29"/>
              <w:spacing w:line="240" w:lineRule="auto"/>
              <w:rPr>
                <w:color w:val="auto"/>
                <w:sz w:val="21"/>
                <w:szCs w:val="21"/>
                <w:highlight w:val="none"/>
              </w:rPr>
            </w:pPr>
            <w:r>
              <w:rPr>
                <w:rFonts w:hint="eastAsia"/>
                <w:color w:val="auto"/>
                <w:sz w:val="21"/>
                <w:szCs w:val="21"/>
                <w:highlight w:val="none"/>
              </w:rPr>
              <w:t>舞水柏树林片区边界</w:t>
            </w:r>
          </w:p>
        </w:tc>
        <w:tc>
          <w:tcPr>
            <w:tcW w:w="1648" w:type="dxa"/>
            <w:vMerge w:val="continue"/>
            <w:vAlign w:val="center"/>
          </w:tcPr>
          <w:p>
            <w:pPr>
              <w:spacing w:line="240" w:lineRule="auto"/>
              <w:jc w:val="center"/>
              <w:rPr>
                <w:color w:val="auto"/>
                <w:spacing w:val="4"/>
                <w:sz w:val="21"/>
                <w:szCs w:val="21"/>
                <w:highlight w:val="none"/>
              </w:rPr>
            </w:pPr>
          </w:p>
        </w:tc>
        <w:tc>
          <w:tcPr>
            <w:tcW w:w="1096" w:type="dxa"/>
            <w:vMerge w:val="continue"/>
            <w:vAlign w:val="center"/>
          </w:tcPr>
          <w:p>
            <w:pPr>
              <w:spacing w:line="240" w:lineRule="auto"/>
              <w:jc w:val="center"/>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77" w:hRule="atLeast"/>
          <w:jc w:val="center"/>
        </w:trPr>
        <w:tc>
          <w:tcPr>
            <w:tcW w:w="694" w:type="dxa"/>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color w:val="auto"/>
                <w:kern w:val="0"/>
                <w:sz w:val="21"/>
                <w:szCs w:val="21"/>
                <w:highlight w:val="none"/>
              </w:rPr>
              <w:t>编号</w:t>
            </w:r>
          </w:p>
        </w:tc>
        <w:tc>
          <w:tcPr>
            <w:tcW w:w="2573" w:type="dxa"/>
            <w:gridSpan w:val="2"/>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color w:val="auto"/>
                <w:kern w:val="0"/>
                <w:sz w:val="21"/>
                <w:szCs w:val="21"/>
                <w:highlight w:val="none"/>
              </w:rPr>
              <w:t>监测点位</w:t>
            </w:r>
          </w:p>
        </w:tc>
        <w:tc>
          <w:tcPr>
            <w:tcW w:w="4159" w:type="dxa"/>
            <w:gridSpan w:val="2"/>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color w:val="auto"/>
                <w:kern w:val="0"/>
                <w:sz w:val="21"/>
                <w:szCs w:val="21"/>
                <w:highlight w:val="none"/>
              </w:rPr>
              <w:t>监测因子</w:t>
            </w:r>
          </w:p>
        </w:tc>
        <w:tc>
          <w:tcPr>
            <w:tcW w:w="1096" w:type="dxa"/>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rFonts w:hint="eastAsia"/>
                <w:color w:val="auto"/>
                <w:kern w:val="0"/>
                <w:sz w:val="21"/>
                <w:szCs w:val="21"/>
                <w:highlight w:val="none"/>
              </w:rPr>
              <w:t>监测时间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4" w:type="dxa"/>
            <w:vAlign w:val="center"/>
          </w:tcPr>
          <w:p>
            <w:pPr>
              <w:snapToGrid w:val="0"/>
              <w:spacing w:line="240" w:lineRule="auto"/>
              <w:jc w:val="center"/>
              <w:rPr>
                <w:color w:val="auto"/>
                <w:sz w:val="21"/>
                <w:szCs w:val="21"/>
                <w:highlight w:val="none"/>
              </w:rPr>
            </w:pPr>
            <w:r>
              <w:rPr>
                <w:color w:val="auto"/>
                <w:sz w:val="21"/>
                <w:szCs w:val="21"/>
                <w:highlight w:val="none"/>
              </w:rPr>
              <w:t>S1</w:t>
            </w:r>
          </w:p>
        </w:tc>
        <w:tc>
          <w:tcPr>
            <w:tcW w:w="2573" w:type="dxa"/>
            <w:gridSpan w:val="2"/>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color w:val="auto"/>
                <w:kern w:val="0"/>
                <w:sz w:val="21"/>
                <w:szCs w:val="21"/>
                <w:highlight w:val="none"/>
              </w:rPr>
              <w:t>鱼市前锋联合村</w:t>
            </w:r>
            <w:r>
              <w:rPr>
                <w:rFonts w:hint="eastAsia"/>
                <w:color w:val="auto"/>
                <w:kern w:val="0"/>
                <w:sz w:val="21"/>
                <w:szCs w:val="21"/>
                <w:highlight w:val="none"/>
              </w:rPr>
              <w:t>钱</w:t>
            </w:r>
            <w:r>
              <w:rPr>
                <w:color w:val="auto"/>
                <w:kern w:val="0"/>
                <w:sz w:val="21"/>
                <w:szCs w:val="21"/>
                <w:highlight w:val="none"/>
              </w:rPr>
              <w:t>家寨</w:t>
            </w:r>
          </w:p>
        </w:tc>
        <w:tc>
          <w:tcPr>
            <w:tcW w:w="4159" w:type="dxa"/>
            <w:gridSpan w:val="2"/>
            <w:vMerge w:val="restart"/>
            <w:vAlign w:val="center"/>
          </w:tcPr>
          <w:p>
            <w:pPr>
              <w:overflowPunct w:val="0"/>
              <w:autoSpaceDE w:val="0"/>
              <w:autoSpaceDN w:val="0"/>
              <w:adjustRightInd w:val="0"/>
              <w:snapToGrid w:val="0"/>
              <w:spacing w:line="240" w:lineRule="auto"/>
              <w:jc w:val="center"/>
              <w:textAlignment w:val="baseline"/>
              <w:rPr>
                <w:snapToGrid w:val="0"/>
                <w:color w:val="auto"/>
                <w:kern w:val="0"/>
                <w:sz w:val="21"/>
                <w:szCs w:val="21"/>
                <w:highlight w:val="none"/>
              </w:rPr>
            </w:pPr>
            <w:r>
              <w:rPr>
                <w:color w:val="auto"/>
                <w:kern w:val="0"/>
                <w:sz w:val="21"/>
                <w:szCs w:val="21"/>
                <w:highlight w:val="none"/>
              </w:rPr>
              <w:t>pH、总硬度、溶解性总固体、COD</w:t>
            </w:r>
            <w:r>
              <w:rPr>
                <w:color w:val="auto"/>
                <w:kern w:val="0"/>
                <w:sz w:val="21"/>
                <w:szCs w:val="21"/>
                <w:highlight w:val="none"/>
                <w:vertAlign w:val="subscript"/>
              </w:rPr>
              <w:t>Mn</w:t>
            </w:r>
            <w:r>
              <w:rPr>
                <w:color w:val="auto"/>
                <w:kern w:val="0"/>
                <w:sz w:val="21"/>
                <w:szCs w:val="21"/>
                <w:highlight w:val="none"/>
              </w:rPr>
              <w:t>、硫酸盐、氯化物、氰化物、挥发性酚类、氨氮、硝酸盐、亚硝酸盐、氟化物、镉、铅、铁、锰、锑、Hg、Cr</w:t>
            </w:r>
            <w:r>
              <w:rPr>
                <w:color w:val="auto"/>
                <w:kern w:val="0"/>
                <w:sz w:val="21"/>
                <w:szCs w:val="21"/>
                <w:highlight w:val="none"/>
                <w:vertAlign w:val="superscript"/>
              </w:rPr>
              <w:t>6+</w:t>
            </w:r>
            <w:r>
              <w:rPr>
                <w:color w:val="auto"/>
                <w:kern w:val="0"/>
                <w:sz w:val="21"/>
                <w:szCs w:val="21"/>
                <w:highlight w:val="none"/>
              </w:rPr>
              <w:t>、As、总大肠菌群</w:t>
            </w:r>
            <w:r>
              <w:rPr>
                <w:rFonts w:hint="eastAsia"/>
                <w:color w:val="auto"/>
                <w:kern w:val="0"/>
                <w:sz w:val="21"/>
                <w:szCs w:val="21"/>
                <w:highlight w:val="none"/>
              </w:rPr>
              <w:t>、硒、钡、铜、锌、镍</w:t>
            </w:r>
          </w:p>
        </w:tc>
        <w:tc>
          <w:tcPr>
            <w:tcW w:w="1096" w:type="dxa"/>
            <w:vMerge w:val="restart"/>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color w:val="auto"/>
                <w:spacing w:val="4"/>
                <w:sz w:val="21"/>
                <w:szCs w:val="21"/>
                <w:highlight w:val="none"/>
              </w:rPr>
              <w:t>每年平、枯水期各一次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Align w:val="center"/>
          </w:tcPr>
          <w:p>
            <w:pPr>
              <w:snapToGrid w:val="0"/>
              <w:spacing w:line="240" w:lineRule="auto"/>
              <w:jc w:val="center"/>
              <w:rPr>
                <w:color w:val="auto"/>
                <w:sz w:val="21"/>
                <w:szCs w:val="21"/>
                <w:highlight w:val="none"/>
              </w:rPr>
            </w:pPr>
            <w:r>
              <w:rPr>
                <w:color w:val="auto"/>
                <w:sz w:val="21"/>
                <w:szCs w:val="21"/>
                <w:highlight w:val="none"/>
              </w:rPr>
              <w:t>S2</w:t>
            </w:r>
          </w:p>
        </w:tc>
        <w:tc>
          <w:tcPr>
            <w:tcW w:w="2573" w:type="dxa"/>
            <w:gridSpan w:val="2"/>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color w:val="auto"/>
                <w:kern w:val="0"/>
                <w:sz w:val="21"/>
                <w:szCs w:val="21"/>
                <w:highlight w:val="none"/>
              </w:rPr>
              <w:t>光辉村石板冲</w:t>
            </w:r>
          </w:p>
        </w:tc>
        <w:tc>
          <w:tcPr>
            <w:tcW w:w="4159" w:type="dxa"/>
            <w:gridSpan w:val="2"/>
            <w:vMerge w:val="continue"/>
            <w:vAlign w:val="center"/>
          </w:tcPr>
          <w:p>
            <w:pPr>
              <w:overflowPunct w:val="0"/>
              <w:autoSpaceDE w:val="0"/>
              <w:autoSpaceDN w:val="0"/>
              <w:adjustRightInd w:val="0"/>
              <w:snapToGrid w:val="0"/>
              <w:spacing w:line="240" w:lineRule="auto"/>
              <w:jc w:val="center"/>
              <w:textAlignment w:val="baseline"/>
              <w:rPr>
                <w:snapToGrid w:val="0"/>
                <w:color w:val="auto"/>
                <w:kern w:val="0"/>
                <w:sz w:val="21"/>
                <w:szCs w:val="21"/>
                <w:highlight w:val="none"/>
              </w:rPr>
            </w:pPr>
          </w:p>
        </w:tc>
        <w:tc>
          <w:tcPr>
            <w:tcW w:w="1096" w:type="dxa"/>
            <w:vMerge w:val="continue"/>
          </w:tcPr>
          <w:p>
            <w:pPr>
              <w:overflowPunct w:val="0"/>
              <w:autoSpaceDE w:val="0"/>
              <w:autoSpaceDN w:val="0"/>
              <w:adjustRightInd w:val="0"/>
              <w:snapToGrid w:val="0"/>
              <w:spacing w:line="240" w:lineRule="auto"/>
              <w:jc w:val="center"/>
              <w:textAlignment w:val="baseline"/>
              <w:rPr>
                <w:snapToGrid w:val="0"/>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4" w:type="dxa"/>
            <w:vAlign w:val="center"/>
          </w:tcPr>
          <w:p>
            <w:pPr>
              <w:snapToGrid w:val="0"/>
              <w:spacing w:line="240" w:lineRule="auto"/>
              <w:jc w:val="center"/>
              <w:rPr>
                <w:color w:val="auto"/>
                <w:sz w:val="21"/>
                <w:szCs w:val="21"/>
                <w:highlight w:val="none"/>
              </w:rPr>
            </w:pPr>
            <w:r>
              <w:rPr>
                <w:color w:val="auto"/>
                <w:sz w:val="21"/>
                <w:szCs w:val="21"/>
                <w:highlight w:val="none"/>
              </w:rPr>
              <w:t>S3</w:t>
            </w:r>
          </w:p>
        </w:tc>
        <w:tc>
          <w:tcPr>
            <w:tcW w:w="2573" w:type="dxa"/>
            <w:gridSpan w:val="2"/>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rFonts w:hint="eastAsia"/>
                <w:color w:val="auto"/>
                <w:kern w:val="0"/>
                <w:sz w:val="21"/>
                <w:szCs w:val="21"/>
                <w:highlight w:val="none"/>
              </w:rPr>
              <w:t>柏树林村</w:t>
            </w:r>
          </w:p>
        </w:tc>
        <w:tc>
          <w:tcPr>
            <w:tcW w:w="4159" w:type="dxa"/>
            <w:gridSpan w:val="2"/>
            <w:vMerge w:val="continue"/>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p>
        </w:tc>
        <w:tc>
          <w:tcPr>
            <w:tcW w:w="1096" w:type="dxa"/>
            <w:vMerge w:val="continue"/>
          </w:tcPr>
          <w:p>
            <w:pPr>
              <w:overflowPunct w:val="0"/>
              <w:autoSpaceDE w:val="0"/>
              <w:autoSpaceDN w:val="0"/>
              <w:adjustRightInd w:val="0"/>
              <w:snapToGrid w:val="0"/>
              <w:spacing w:line="240" w:lineRule="auto"/>
              <w:jc w:val="center"/>
              <w:textAlignment w:val="baseline"/>
              <w:rPr>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94" w:type="dxa"/>
            <w:vAlign w:val="center"/>
          </w:tcPr>
          <w:p>
            <w:pPr>
              <w:snapToGrid w:val="0"/>
              <w:spacing w:line="240" w:lineRule="auto"/>
              <w:jc w:val="center"/>
              <w:rPr>
                <w:color w:val="auto"/>
                <w:sz w:val="21"/>
                <w:szCs w:val="21"/>
                <w:highlight w:val="none"/>
              </w:rPr>
            </w:pPr>
            <w:r>
              <w:rPr>
                <w:color w:val="auto"/>
                <w:sz w:val="21"/>
                <w:szCs w:val="21"/>
                <w:highlight w:val="none"/>
              </w:rPr>
              <w:t>S4</w:t>
            </w:r>
          </w:p>
        </w:tc>
        <w:tc>
          <w:tcPr>
            <w:tcW w:w="2573" w:type="dxa"/>
            <w:gridSpan w:val="2"/>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rFonts w:hint="eastAsia"/>
                <w:color w:val="auto"/>
                <w:kern w:val="0"/>
                <w:sz w:val="21"/>
                <w:szCs w:val="21"/>
                <w:highlight w:val="none"/>
              </w:rPr>
              <w:t>工业园固废填埋场</w:t>
            </w:r>
          </w:p>
        </w:tc>
        <w:tc>
          <w:tcPr>
            <w:tcW w:w="4159" w:type="dxa"/>
            <w:gridSpan w:val="2"/>
            <w:vMerge w:val="continue"/>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p>
        </w:tc>
        <w:tc>
          <w:tcPr>
            <w:tcW w:w="1096" w:type="dxa"/>
            <w:vMerge w:val="continue"/>
          </w:tcPr>
          <w:p>
            <w:pPr>
              <w:overflowPunct w:val="0"/>
              <w:autoSpaceDE w:val="0"/>
              <w:autoSpaceDN w:val="0"/>
              <w:adjustRightInd w:val="0"/>
              <w:snapToGrid w:val="0"/>
              <w:spacing w:line="240" w:lineRule="auto"/>
              <w:jc w:val="center"/>
              <w:textAlignment w:val="baseline"/>
              <w:rPr>
                <w:color w:val="auto"/>
                <w:kern w:val="0"/>
                <w:sz w:val="21"/>
                <w:szCs w:val="21"/>
                <w:highlight w:val="none"/>
              </w:rPr>
            </w:pPr>
          </w:p>
        </w:tc>
      </w:tr>
    </w:tbl>
    <w:p>
      <w:pPr>
        <w:pStyle w:val="16"/>
        <w:pageBreakBefore w:val="0"/>
        <w:kinsoku/>
        <w:wordWrap/>
        <w:overflowPunct/>
        <w:topLinePunct w:val="0"/>
        <w:autoSpaceDE/>
        <w:autoSpaceDN/>
        <w:bidi w:val="0"/>
        <w:adjustRightInd/>
        <w:snapToGrid w:val="0"/>
        <w:spacing w:before="227" w:beforeLines="50" w:after="227" w:afterLines="50" w:line="600" w:lineRule="exact"/>
        <w:ind w:left="0" w:leftChars="0" w:firstLine="643"/>
        <w:textAlignment w:val="auto"/>
        <w:rPr>
          <w:rFonts w:hint="default" w:ascii="Times New Roman" w:hAnsi="Times New Roman" w:eastAsia="仿宋" w:cs="Times New Roman"/>
          <w:color w:val="FF0000"/>
          <w:kern w:val="2"/>
          <w:sz w:val="32"/>
          <w:szCs w:val="32"/>
          <w:lang w:val="en-US" w:eastAsia="zh-CN" w:bidi="ar-SA"/>
        </w:rPr>
      </w:pPr>
      <w:r>
        <w:rPr>
          <w:rFonts w:hint="eastAsia" w:ascii="Times New Roman" w:hAnsi="Times New Roman" w:eastAsia="仿宋" w:cs="Times New Roman"/>
          <w:kern w:val="2"/>
          <w:sz w:val="32"/>
          <w:szCs w:val="32"/>
          <w:lang w:val="en-US" w:eastAsia="zh-CN" w:bidi="ar-SA"/>
        </w:rPr>
        <w:t>2023年园区根据《湖南新晃工业集中区调扩区规划环境影响报告书》中环境影响跟踪评价的要求完成了地表水、地下水水质监测，监测结果符合《地表水环境质量标准》GB3838-2002及《地下水质量标准》GB/T 14848-2017中相关标准。</w:t>
      </w:r>
    </w:p>
    <w:p>
      <w:pPr>
        <w:pStyle w:val="4"/>
        <w:keepNext/>
        <w:keepLines/>
        <w:pageBreakBefore w:val="0"/>
        <w:widowControl w:val="0"/>
        <w:kinsoku/>
        <w:wordWrap/>
        <w:overflowPunct/>
        <w:topLinePunct w:val="0"/>
        <w:autoSpaceDE/>
        <w:autoSpaceDN/>
        <w:bidi w:val="0"/>
        <w:adjustRightInd/>
        <w:snapToGrid/>
        <w:spacing w:before="227" w:beforeLines="50" w:after="227" w:afterLines="50" w:line="600" w:lineRule="exact"/>
        <w:textAlignment w:val="auto"/>
        <w:rPr>
          <w:rFonts w:hint="default" w:ascii="Times New Roman" w:hAnsi="Times New Roman" w:cs="Times New Roman"/>
          <w:b/>
          <w:lang w:val="en-US" w:eastAsia="zh-CN"/>
        </w:rPr>
      </w:pPr>
      <w:bookmarkStart w:id="12" w:name="_Toc20832"/>
      <w:r>
        <w:rPr>
          <w:rFonts w:hint="default" w:ascii="Times New Roman" w:hAnsi="Times New Roman" w:cs="Times New Roman"/>
          <w:b/>
          <w:lang w:val="en-US" w:eastAsia="zh-CN"/>
        </w:rPr>
        <w:t>2.2“三线一单”落地应用情况</w:t>
      </w:r>
      <w:bookmarkEnd w:id="12"/>
    </w:p>
    <w:p>
      <w:pPr>
        <w:pStyle w:val="13"/>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1"/>
        <w:jc w:val="left"/>
        <w:textAlignment w:val="auto"/>
        <w:rPr>
          <w:rFonts w:hint="default" w:ascii="Times New Roman" w:hAnsi="Times New Roman" w:eastAsia="仿宋" w:cs="Times New Roman"/>
          <w:kern w:val="2"/>
          <w:sz w:val="32"/>
          <w:szCs w:val="32"/>
          <w:lang w:val="zh-CN" w:eastAsia="zh-CN" w:bidi="ar-SA"/>
        </w:rPr>
        <w:sectPr>
          <w:footerReference r:id="rId6" w:type="default"/>
          <w:pgSz w:w="11906" w:h="16838"/>
          <w:pgMar w:top="1083" w:right="1440" w:bottom="1083" w:left="1440" w:header="851" w:footer="992" w:gutter="0"/>
          <w:pgBorders>
            <w:top w:val="none" w:sz="0" w:space="0"/>
            <w:left w:val="none" w:sz="0" w:space="0"/>
            <w:bottom w:val="none" w:sz="0" w:space="0"/>
            <w:right w:val="none" w:sz="0" w:space="0"/>
          </w:pgBorders>
          <w:pgNumType w:fmt="decimal"/>
          <w:cols w:space="720" w:num="1"/>
          <w:rtlGutter w:val="0"/>
          <w:docGrid w:type="lines" w:linePitch="451" w:charSpace="0"/>
        </w:sectPr>
      </w:pPr>
      <w:r>
        <w:rPr>
          <w:rFonts w:hint="default" w:ascii="Times New Roman" w:hAnsi="Times New Roman" w:eastAsia="仿宋" w:cs="Times New Roman"/>
          <w:kern w:val="2"/>
          <w:sz w:val="32"/>
          <w:szCs w:val="32"/>
          <w:lang w:val="zh-CN" w:eastAsia="zh-CN" w:bidi="ar-SA"/>
        </w:rPr>
        <w:t>根据《湖南省人民政府关于实施“三线一单”生态环境分区管控的意见》、《湖南省“三线一单”生态环境总体管控要求既省级以上产业园区生态环境准入清单》等相关文件，明确了新晃工业集中区“三线一单”生态环境管控要求。详见下表。</w:t>
      </w:r>
    </w:p>
    <w:tbl>
      <w:tblPr>
        <w:tblStyle w:val="17"/>
        <w:tblpPr w:leftFromText="180" w:rightFromText="180" w:vertAnchor="text" w:horzAnchor="page" w:tblpXSpec="center" w:tblpY="441"/>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973"/>
        <w:gridCol w:w="604"/>
        <w:gridCol w:w="538"/>
        <w:gridCol w:w="802"/>
        <w:gridCol w:w="801"/>
        <w:gridCol w:w="1704"/>
        <w:gridCol w:w="1289"/>
        <w:gridCol w:w="1269"/>
        <w:gridCol w:w="3917"/>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4" w:type="dxa"/>
            <w:gridSpan w:val="11"/>
            <w:tcBorders>
              <w:top w:val="nil"/>
              <w:left w:val="nil"/>
              <w:right w:val="nil"/>
            </w:tcBorders>
            <w:vAlign w:val="center"/>
          </w:tcPr>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0"/>
              <w:jc w:val="center"/>
              <w:textAlignment w:val="auto"/>
              <w:rPr>
                <w:rFonts w:hint="eastAsia" w:ascii="仿宋" w:hAnsi="仿宋" w:eastAsia="仿宋" w:cs="仿宋"/>
                <w:b/>
                <w:color w:val="auto"/>
                <w:kern w:val="0"/>
                <w:sz w:val="21"/>
                <w:szCs w:val="21"/>
                <w:highlight w:val="none"/>
              </w:rPr>
            </w:pPr>
            <w:r>
              <w:rPr>
                <w:rFonts w:hint="default" w:ascii="Times New Roman" w:hAnsi="Times New Roman" w:eastAsia="仿宋" w:cs="Times New Roman"/>
                <w:b w:val="0"/>
                <w:bCs/>
                <w:color w:val="333333"/>
                <w:sz w:val="28"/>
                <w:szCs w:val="40"/>
                <w:shd w:val="clear" w:color="auto" w:fill="FFFFFF"/>
                <w:lang w:val="zh-CN" w:eastAsia="zh-CN"/>
              </w:rPr>
              <w:t>表</w:t>
            </w:r>
            <w:r>
              <w:rPr>
                <w:rFonts w:hint="eastAsia" w:ascii="Times New Roman" w:hAnsi="Times New Roman" w:eastAsia="仿宋" w:cs="Times New Roman"/>
                <w:b w:val="0"/>
                <w:bCs/>
                <w:color w:val="333333"/>
                <w:sz w:val="28"/>
                <w:szCs w:val="40"/>
                <w:shd w:val="clear" w:color="auto" w:fill="FFFFFF"/>
                <w:lang w:val="en-US" w:eastAsia="zh-CN"/>
              </w:rPr>
              <w:t>6</w:t>
            </w:r>
            <w:r>
              <w:rPr>
                <w:rFonts w:hint="default" w:ascii="Times New Roman" w:hAnsi="Times New Roman" w:eastAsia="仿宋" w:cs="Times New Roman"/>
                <w:b w:val="0"/>
                <w:bCs/>
                <w:color w:val="333333"/>
                <w:sz w:val="28"/>
                <w:szCs w:val="40"/>
                <w:shd w:val="clear" w:color="auto" w:fill="FFFFFF"/>
                <w:lang w:val="en-US" w:eastAsia="zh-CN"/>
              </w:rPr>
              <w:t xml:space="preserve">  </w:t>
            </w:r>
            <w:r>
              <w:rPr>
                <w:rFonts w:hint="default" w:ascii="Times New Roman" w:hAnsi="Times New Roman" w:eastAsia="仿宋" w:cs="Times New Roman"/>
                <w:b w:val="0"/>
                <w:bCs/>
                <w:color w:val="333333"/>
                <w:sz w:val="28"/>
                <w:szCs w:val="40"/>
                <w:shd w:val="clear" w:color="auto" w:fill="FFFFFF"/>
                <w:lang w:val="zh-CN" w:eastAsia="zh-CN"/>
              </w:rPr>
              <w:t>新晃工业集中区环境准入清单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restart"/>
            <w:vAlign w:val="center"/>
          </w:tcPr>
          <w:p>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环境管控单元编码</w:t>
            </w:r>
          </w:p>
        </w:tc>
        <w:tc>
          <w:tcPr>
            <w:tcW w:w="973" w:type="dxa"/>
            <w:vMerge w:val="restart"/>
            <w:vAlign w:val="center"/>
          </w:tcPr>
          <w:p>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单元名称</w:t>
            </w:r>
          </w:p>
        </w:tc>
        <w:tc>
          <w:tcPr>
            <w:tcW w:w="1944" w:type="dxa"/>
            <w:gridSpan w:val="3"/>
            <w:vAlign w:val="center"/>
          </w:tcPr>
          <w:p>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行政区划</w:t>
            </w:r>
          </w:p>
        </w:tc>
        <w:tc>
          <w:tcPr>
            <w:tcW w:w="801" w:type="dxa"/>
            <w:vMerge w:val="restart"/>
            <w:vAlign w:val="center"/>
          </w:tcPr>
          <w:p>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单元分类</w:t>
            </w:r>
          </w:p>
        </w:tc>
        <w:tc>
          <w:tcPr>
            <w:tcW w:w="1704" w:type="dxa"/>
            <w:vMerge w:val="restart"/>
            <w:vAlign w:val="center"/>
          </w:tcPr>
          <w:p>
            <w:pPr>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单元面积</w:t>
            </w:r>
            <w:r>
              <w:rPr>
                <w:rFonts w:hint="eastAsia" w:ascii="仿宋" w:hAnsi="仿宋" w:eastAsia="仿宋" w:cs="仿宋"/>
                <w:color w:val="auto"/>
                <w:sz w:val="21"/>
                <w:szCs w:val="21"/>
                <w:highlight w:val="none"/>
                <w:vertAlign w:val="superscript"/>
              </w:rPr>
              <w:t>①</w:t>
            </w:r>
            <w:r>
              <w:rPr>
                <w:rFonts w:hint="eastAsia" w:ascii="仿宋" w:hAnsi="仿宋" w:eastAsia="仿宋" w:cs="仿宋"/>
                <w:b/>
                <w:color w:val="auto"/>
                <w:kern w:val="0"/>
                <w:sz w:val="21"/>
                <w:szCs w:val="21"/>
                <w:highlight w:val="none"/>
              </w:rPr>
              <w:t>(km</w:t>
            </w:r>
            <w:r>
              <w:rPr>
                <w:rFonts w:hint="eastAsia" w:ascii="仿宋" w:hAnsi="仿宋" w:eastAsia="仿宋" w:cs="仿宋"/>
                <w:b/>
                <w:color w:val="auto"/>
                <w:kern w:val="0"/>
                <w:sz w:val="21"/>
                <w:szCs w:val="21"/>
                <w:highlight w:val="none"/>
                <w:vertAlign w:val="superscript"/>
              </w:rPr>
              <w:t>2</w:t>
            </w:r>
            <w:r>
              <w:rPr>
                <w:rFonts w:hint="eastAsia" w:ascii="仿宋" w:hAnsi="仿宋" w:eastAsia="仿宋" w:cs="仿宋"/>
                <w:b/>
                <w:color w:val="auto"/>
                <w:kern w:val="0"/>
                <w:sz w:val="21"/>
                <w:szCs w:val="21"/>
                <w:highlight w:val="none"/>
              </w:rPr>
              <w:t>)</w:t>
            </w:r>
          </w:p>
        </w:tc>
        <w:tc>
          <w:tcPr>
            <w:tcW w:w="1289" w:type="dxa"/>
            <w:vMerge w:val="restart"/>
            <w:vAlign w:val="center"/>
          </w:tcPr>
          <w:p>
            <w:pPr>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涉及乡镇（街道）</w:t>
            </w:r>
          </w:p>
        </w:tc>
        <w:tc>
          <w:tcPr>
            <w:tcW w:w="1269" w:type="dxa"/>
            <w:vMerge w:val="restart"/>
            <w:vAlign w:val="center"/>
          </w:tcPr>
          <w:p>
            <w:pPr>
              <w:jc w:val="center"/>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区域主体功能定位</w:t>
            </w:r>
          </w:p>
        </w:tc>
        <w:tc>
          <w:tcPr>
            <w:tcW w:w="3917" w:type="dxa"/>
            <w:vMerge w:val="restart"/>
            <w:vAlign w:val="center"/>
          </w:tcPr>
          <w:p>
            <w:pPr>
              <w:jc w:val="center"/>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主导产业</w:t>
            </w:r>
            <w:r>
              <w:rPr>
                <w:rFonts w:hint="eastAsia" w:ascii="仿宋" w:hAnsi="仿宋" w:eastAsia="仿宋" w:cs="仿宋"/>
                <w:color w:val="auto"/>
                <w:sz w:val="21"/>
                <w:szCs w:val="21"/>
                <w:highlight w:val="none"/>
                <w:vertAlign w:val="superscript"/>
                <w:lang w:val="en-US" w:eastAsia="zh-CN"/>
              </w:rPr>
              <w:t>②</w:t>
            </w:r>
          </w:p>
        </w:tc>
        <w:tc>
          <w:tcPr>
            <w:tcW w:w="1833" w:type="dxa"/>
            <w:vMerge w:val="restart"/>
            <w:vAlign w:val="center"/>
          </w:tcPr>
          <w:p>
            <w:pPr>
              <w:jc w:val="center"/>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rPr>
              <w:t>主要环境问题</w:t>
            </w:r>
            <w:r>
              <w:rPr>
                <w:rFonts w:hint="eastAsia" w:ascii="仿宋" w:hAnsi="仿宋" w:eastAsia="仿宋" w:cs="仿宋"/>
                <w:b/>
                <w:color w:val="auto"/>
                <w:kern w:val="0"/>
                <w:sz w:val="21"/>
                <w:szCs w:val="21"/>
                <w:highlight w:val="none"/>
                <w:lang w:val="en-US" w:eastAsia="zh-CN"/>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44" w:type="dxa"/>
            <w:vMerge w:val="continue"/>
            <w:vAlign w:val="center"/>
          </w:tcPr>
          <w:p>
            <w:pPr>
              <w:widowControl/>
              <w:jc w:val="center"/>
              <w:rPr>
                <w:rFonts w:hint="eastAsia" w:ascii="仿宋" w:hAnsi="仿宋" w:eastAsia="仿宋" w:cs="仿宋"/>
                <w:color w:val="auto"/>
                <w:kern w:val="0"/>
                <w:sz w:val="21"/>
                <w:szCs w:val="21"/>
                <w:highlight w:val="none"/>
              </w:rPr>
            </w:pPr>
          </w:p>
        </w:tc>
        <w:tc>
          <w:tcPr>
            <w:tcW w:w="973" w:type="dxa"/>
            <w:vMerge w:val="continue"/>
            <w:vAlign w:val="center"/>
          </w:tcPr>
          <w:p>
            <w:pPr>
              <w:widowControl/>
              <w:jc w:val="center"/>
              <w:rPr>
                <w:rFonts w:hint="eastAsia" w:ascii="仿宋" w:hAnsi="仿宋" w:eastAsia="仿宋" w:cs="仿宋"/>
                <w:color w:val="auto"/>
                <w:kern w:val="0"/>
                <w:sz w:val="21"/>
                <w:szCs w:val="21"/>
                <w:highlight w:val="none"/>
              </w:rPr>
            </w:pPr>
          </w:p>
        </w:tc>
        <w:tc>
          <w:tcPr>
            <w:tcW w:w="604"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省</w:t>
            </w:r>
          </w:p>
        </w:tc>
        <w:tc>
          <w:tcPr>
            <w:tcW w:w="538"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市</w:t>
            </w:r>
          </w:p>
        </w:tc>
        <w:tc>
          <w:tcPr>
            <w:tcW w:w="802"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县</w:t>
            </w:r>
          </w:p>
        </w:tc>
        <w:tc>
          <w:tcPr>
            <w:tcW w:w="801" w:type="dxa"/>
            <w:vMerge w:val="continue"/>
            <w:vAlign w:val="center"/>
          </w:tcPr>
          <w:p>
            <w:pPr>
              <w:jc w:val="center"/>
              <w:rPr>
                <w:rFonts w:hint="eastAsia" w:ascii="仿宋" w:hAnsi="仿宋" w:eastAsia="仿宋" w:cs="仿宋"/>
                <w:color w:val="auto"/>
                <w:sz w:val="21"/>
                <w:szCs w:val="21"/>
                <w:highlight w:val="none"/>
              </w:rPr>
            </w:pPr>
          </w:p>
        </w:tc>
        <w:tc>
          <w:tcPr>
            <w:tcW w:w="1704" w:type="dxa"/>
            <w:vMerge w:val="continue"/>
            <w:vAlign w:val="center"/>
          </w:tcPr>
          <w:p>
            <w:pPr>
              <w:jc w:val="center"/>
              <w:rPr>
                <w:rFonts w:hint="eastAsia" w:ascii="仿宋" w:hAnsi="仿宋" w:eastAsia="仿宋" w:cs="仿宋"/>
                <w:color w:val="auto"/>
                <w:sz w:val="21"/>
                <w:szCs w:val="21"/>
                <w:highlight w:val="none"/>
              </w:rPr>
            </w:pPr>
          </w:p>
        </w:tc>
        <w:tc>
          <w:tcPr>
            <w:tcW w:w="1289" w:type="dxa"/>
            <w:vMerge w:val="continue"/>
            <w:vAlign w:val="center"/>
          </w:tcPr>
          <w:p>
            <w:pPr>
              <w:jc w:val="center"/>
              <w:rPr>
                <w:rFonts w:hint="eastAsia" w:ascii="仿宋" w:hAnsi="仿宋" w:eastAsia="仿宋" w:cs="仿宋"/>
                <w:color w:val="auto"/>
                <w:sz w:val="21"/>
                <w:szCs w:val="21"/>
                <w:highlight w:val="none"/>
              </w:rPr>
            </w:pPr>
          </w:p>
        </w:tc>
        <w:tc>
          <w:tcPr>
            <w:tcW w:w="1269" w:type="dxa"/>
            <w:vMerge w:val="continue"/>
            <w:vAlign w:val="center"/>
          </w:tcPr>
          <w:p>
            <w:pPr>
              <w:jc w:val="center"/>
              <w:rPr>
                <w:rFonts w:hint="eastAsia" w:ascii="仿宋" w:hAnsi="仿宋" w:eastAsia="仿宋" w:cs="仿宋"/>
                <w:color w:val="auto"/>
                <w:sz w:val="21"/>
                <w:szCs w:val="21"/>
                <w:highlight w:val="none"/>
              </w:rPr>
            </w:pPr>
          </w:p>
        </w:tc>
        <w:tc>
          <w:tcPr>
            <w:tcW w:w="3917" w:type="dxa"/>
            <w:vMerge w:val="continue"/>
            <w:vAlign w:val="top"/>
          </w:tcPr>
          <w:p>
            <w:pPr>
              <w:jc w:val="center"/>
              <w:rPr>
                <w:rFonts w:hint="eastAsia" w:ascii="仿宋" w:hAnsi="仿宋" w:eastAsia="仿宋" w:cs="仿宋"/>
                <w:color w:val="auto"/>
                <w:sz w:val="21"/>
                <w:szCs w:val="21"/>
                <w:highlight w:val="none"/>
              </w:rPr>
            </w:pPr>
          </w:p>
        </w:tc>
        <w:tc>
          <w:tcPr>
            <w:tcW w:w="1833" w:type="dxa"/>
            <w:vMerge w:val="continue"/>
            <w:vAlign w:val="top"/>
          </w:tcPr>
          <w:p>
            <w:pPr>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ZH43122720004</w:t>
            </w:r>
          </w:p>
        </w:tc>
        <w:tc>
          <w:tcPr>
            <w:tcW w:w="973"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b w:val="0"/>
                <w:bCs w:val="0"/>
                <w:color w:val="auto"/>
                <w:kern w:val="2"/>
                <w:sz w:val="21"/>
                <w:szCs w:val="21"/>
                <w:highlight w:val="none"/>
                <w:u w:val="none"/>
                <w:vertAlign w:val="baseline"/>
                <w:lang w:val="en-US" w:eastAsia="zh-CN" w:bidi="ar-SA"/>
              </w:rPr>
              <w:t>新晃产业开发区</w:t>
            </w:r>
          </w:p>
        </w:tc>
        <w:tc>
          <w:tcPr>
            <w:tcW w:w="604" w:type="dxa"/>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湖南</w:t>
            </w:r>
            <w:r>
              <w:rPr>
                <w:rFonts w:hint="eastAsia" w:ascii="仿宋" w:hAnsi="仿宋" w:eastAsia="仿宋" w:cs="仿宋"/>
                <w:color w:val="auto"/>
                <w:sz w:val="21"/>
                <w:szCs w:val="21"/>
                <w:highlight w:val="none"/>
                <w:lang w:val="en-US" w:eastAsia="zh-CN"/>
              </w:rPr>
              <w:t>省</w:t>
            </w:r>
          </w:p>
        </w:tc>
        <w:tc>
          <w:tcPr>
            <w:tcW w:w="538" w:type="dxa"/>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怀化</w:t>
            </w:r>
            <w:r>
              <w:rPr>
                <w:rFonts w:hint="eastAsia" w:ascii="仿宋" w:hAnsi="仿宋" w:eastAsia="仿宋" w:cs="仿宋"/>
                <w:color w:val="auto"/>
                <w:sz w:val="21"/>
                <w:szCs w:val="21"/>
                <w:highlight w:val="none"/>
                <w:lang w:val="en-US" w:eastAsia="zh-CN"/>
              </w:rPr>
              <w:t>市</w:t>
            </w:r>
          </w:p>
        </w:tc>
        <w:tc>
          <w:tcPr>
            <w:tcW w:w="802"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新晃侗族自治县</w:t>
            </w:r>
          </w:p>
        </w:tc>
        <w:tc>
          <w:tcPr>
            <w:tcW w:w="801" w:type="dxa"/>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重点管控单元</w:t>
            </w:r>
          </w:p>
        </w:tc>
        <w:tc>
          <w:tcPr>
            <w:tcW w:w="1704" w:type="dxa"/>
            <w:vAlign w:val="center"/>
          </w:tcPr>
          <w:p>
            <w:pPr>
              <w:numPr>
                <w:ilvl w:val="0"/>
                <w:numId w:val="0"/>
              </w:numPr>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核准范围</w:t>
            </w:r>
            <w:r>
              <w:rPr>
                <w:rFonts w:hint="eastAsia" w:ascii="仿宋" w:hAnsi="仿宋" w:eastAsia="仿宋" w:cs="仿宋"/>
                <w:color w:val="auto"/>
                <w:sz w:val="21"/>
                <w:szCs w:val="21"/>
                <w:highlight w:val="none"/>
                <w:vertAlign w:val="superscript"/>
                <w:lang w:val="en-US" w:eastAsia="zh-CN"/>
              </w:rPr>
              <w:t>①</w:t>
            </w:r>
            <w:r>
              <w:rPr>
                <w:rFonts w:hint="eastAsia" w:ascii="仿宋" w:hAnsi="仿宋" w:eastAsia="仿宋" w:cs="仿宋"/>
                <w:color w:val="auto"/>
                <w:sz w:val="21"/>
                <w:szCs w:val="21"/>
                <w:highlight w:val="none"/>
                <w:lang w:val="en-US" w:eastAsia="zh-CN"/>
              </w:rPr>
              <w:t>：省发改园区〔2022〕601号核定的面积：4.0936</w:t>
            </w:r>
          </w:p>
        </w:tc>
        <w:tc>
          <w:tcPr>
            <w:tcW w:w="1289"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核准范围（一区</w:t>
            </w:r>
            <w:r>
              <w:rPr>
                <w:rFonts w:hint="eastAsia" w:ascii="仿宋" w:hAnsi="仿宋" w:eastAsia="仿宋" w:cs="仿宋"/>
                <w:color w:val="auto"/>
                <w:sz w:val="21"/>
                <w:szCs w:val="21"/>
                <w:highlight w:val="none"/>
                <w:lang w:val="en-US" w:eastAsia="zh-CN"/>
              </w:rPr>
              <w:t>两</w:t>
            </w:r>
            <w:r>
              <w:rPr>
                <w:rFonts w:hint="eastAsia" w:ascii="仿宋" w:hAnsi="仿宋" w:eastAsia="仿宋" w:cs="仿宋"/>
                <w:color w:val="auto"/>
                <w:sz w:val="21"/>
                <w:szCs w:val="21"/>
                <w:highlight w:val="none"/>
              </w:rPr>
              <w:t>园）：前锋工业园</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区</w:t>
            </w:r>
            <w:r>
              <w:rPr>
                <w:rFonts w:hint="eastAsia" w:ascii="仿宋" w:hAnsi="仿宋" w:eastAsia="仿宋" w:cs="仿宋"/>
                <w:color w:val="auto"/>
                <w:sz w:val="21"/>
                <w:szCs w:val="21"/>
                <w:highlight w:val="none"/>
              </w:rPr>
              <w:t>柏树林片区涉及晃州镇</w:t>
            </w:r>
          </w:p>
        </w:tc>
        <w:tc>
          <w:tcPr>
            <w:tcW w:w="1269"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国家重点</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生态功能</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区；新晃镇</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（并入晃州镇）：重点建制镇</w:t>
            </w:r>
          </w:p>
        </w:tc>
        <w:tc>
          <w:tcPr>
            <w:tcW w:w="3917" w:type="dxa"/>
            <w:vAlign w:val="center"/>
          </w:tcPr>
          <w:p>
            <w:pPr>
              <w:jc w:val="left"/>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rPr>
              <w:t>六部委公告2018年第4号：</w:t>
            </w:r>
            <w:r>
              <w:rPr>
                <w:rFonts w:hint="eastAsia" w:ascii="仿宋" w:hAnsi="仿宋" w:eastAsia="仿宋" w:cs="仿宋"/>
                <w:color w:val="auto"/>
                <w:sz w:val="21"/>
                <w:szCs w:val="21"/>
                <w:highlight w:val="none"/>
              </w:rPr>
              <w:t>农副食品、非金属矿物制品、电气机械</w:t>
            </w:r>
            <w:r>
              <w:rPr>
                <w:rFonts w:hint="eastAsia" w:ascii="仿宋" w:hAnsi="仿宋" w:eastAsia="仿宋" w:cs="仿宋"/>
                <w:color w:val="auto"/>
                <w:sz w:val="21"/>
                <w:szCs w:val="21"/>
                <w:highlight w:val="none"/>
                <w:lang w:eastAsia="zh-CN"/>
              </w:rPr>
              <w:t>；</w:t>
            </w:r>
          </w:p>
          <w:p>
            <w:pPr>
              <w:jc w:val="left"/>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湘发改地区〔2021〕394号</w:t>
            </w:r>
            <w:r>
              <w:rPr>
                <w:rFonts w:hint="eastAsia" w:ascii="仿宋" w:hAnsi="仿宋" w:eastAsia="仿宋" w:cs="仿宋"/>
                <w:color w:val="auto"/>
                <w:sz w:val="21"/>
                <w:szCs w:val="21"/>
                <w:highlight w:val="none"/>
                <w:lang w:val="en-US" w:eastAsia="zh-CN"/>
              </w:rPr>
              <w:t>：新金属材料、精细化工（含生物医药）</w:t>
            </w:r>
            <w:r>
              <w:rPr>
                <w:rFonts w:hint="eastAsia" w:ascii="仿宋" w:hAnsi="仿宋" w:eastAsia="仿宋" w:cs="仿宋"/>
                <w:color w:val="auto"/>
                <w:sz w:val="21"/>
                <w:szCs w:val="21"/>
                <w:highlight w:val="none"/>
                <w:lang w:eastAsia="zh-CN"/>
              </w:rPr>
              <w:t>；</w:t>
            </w:r>
          </w:p>
          <w:p>
            <w:pPr>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湘环评函〔20</w:t>
            </w:r>
            <w:r>
              <w:rPr>
                <w:rFonts w:hint="eastAsia" w:ascii="仿宋" w:hAnsi="仿宋" w:eastAsia="仿宋" w:cs="仿宋"/>
                <w:b/>
                <w:bCs/>
                <w:color w:val="auto"/>
                <w:sz w:val="21"/>
                <w:szCs w:val="21"/>
                <w:highlight w:val="none"/>
                <w:lang w:val="en-US" w:eastAsia="zh-CN"/>
              </w:rPr>
              <w:t>21</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32</w:t>
            </w:r>
            <w:r>
              <w:rPr>
                <w:rFonts w:hint="eastAsia" w:ascii="仿宋" w:hAnsi="仿宋" w:eastAsia="仿宋" w:cs="仿宋"/>
                <w:b/>
                <w:bCs/>
                <w:color w:val="auto"/>
                <w:sz w:val="21"/>
                <w:szCs w:val="21"/>
                <w:highlight w:val="none"/>
              </w:rPr>
              <w:t>号：</w:t>
            </w:r>
            <w:r>
              <w:rPr>
                <w:rFonts w:hint="eastAsia" w:ascii="仿宋" w:hAnsi="仿宋" w:eastAsia="仿宋" w:cs="仿宋"/>
                <w:color w:val="auto"/>
                <w:sz w:val="21"/>
                <w:szCs w:val="21"/>
                <w:highlight w:val="none"/>
              </w:rPr>
              <w:t>前锋工业园：</w:t>
            </w:r>
            <w:r>
              <w:rPr>
                <w:rFonts w:hint="eastAsia" w:ascii="仿宋" w:hAnsi="仿宋" w:eastAsia="仿宋" w:cs="仿宋"/>
                <w:color w:val="auto"/>
                <w:sz w:val="21"/>
                <w:szCs w:val="21"/>
                <w:highlight w:val="none"/>
                <w:lang w:val="en-US" w:eastAsia="zh-CN"/>
              </w:rPr>
              <w:t>化工、金属材料、新能源及装备制造产业、配套发展轻工电子信息产业</w:t>
            </w:r>
            <w:r>
              <w:rPr>
                <w:rFonts w:hint="eastAsia" w:ascii="仿宋" w:hAnsi="仿宋" w:eastAsia="仿宋" w:cs="仿宋"/>
                <w:color w:val="auto"/>
                <w:sz w:val="21"/>
                <w:szCs w:val="21"/>
                <w:highlight w:val="none"/>
              </w:rPr>
              <w:t>；</w:t>
            </w:r>
          </w:p>
          <w:p>
            <w:pPr>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柏树林片区：</w:t>
            </w:r>
            <w:r>
              <w:rPr>
                <w:rFonts w:hint="eastAsia" w:ascii="仿宋" w:hAnsi="仿宋" w:eastAsia="仿宋" w:cs="仿宋"/>
                <w:b w:val="0"/>
                <w:bCs w:val="0"/>
                <w:color w:val="auto"/>
                <w:sz w:val="21"/>
                <w:szCs w:val="21"/>
                <w:highlight w:val="none"/>
                <w:lang w:val="en-US" w:eastAsia="zh-CN"/>
              </w:rPr>
              <w:t>农产品深加工。</w:t>
            </w:r>
          </w:p>
        </w:tc>
        <w:tc>
          <w:tcPr>
            <w:tcW w:w="1833" w:type="dxa"/>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1、涉重企业紧邻舞水，有一定的环境风险</w:t>
            </w:r>
          </w:p>
          <w:p>
            <w:pPr>
              <w:jc w:val="left"/>
              <w:rPr>
                <w:rFonts w:hint="default"/>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2、前锋工业园与鱼市镇镇区最近距离约为848米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widowControl/>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管控维度</w:t>
            </w:r>
          </w:p>
        </w:tc>
        <w:tc>
          <w:tcPr>
            <w:tcW w:w="6711" w:type="dxa"/>
            <w:gridSpan w:val="7"/>
            <w:vAlign w:val="center"/>
          </w:tcPr>
          <w:p>
            <w:pPr>
              <w:spacing w:line="2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管控要求</w:t>
            </w:r>
          </w:p>
        </w:tc>
        <w:tc>
          <w:tcPr>
            <w:tcW w:w="7019" w:type="dxa"/>
            <w:gridSpan w:val="3"/>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空间布局约束</w:t>
            </w:r>
          </w:p>
        </w:tc>
        <w:tc>
          <w:tcPr>
            <w:tcW w:w="6711" w:type="dxa"/>
            <w:gridSpan w:val="7"/>
            <w:vAlign w:val="center"/>
          </w:tcPr>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（1.1）集中区引进企业应当符合“新晃县产业准入负面清单”的有关规定。</w:t>
            </w:r>
          </w:p>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柏树林片区</w:t>
            </w:r>
            <w:r>
              <w:rPr>
                <w:rFonts w:hint="eastAsia" w:ascii="仿宋" w:hAnsi="仿宋" w:eastAsia="仿宋" w:cs="仿宋"/>
                <w:color w:val="auto"/>
                <w:sz w:val="21"/>
                <w:szCs w:val="21"/>
                <w:highlight w:val="none"/>
              </w:rPr>
              <w:t>靠近黄家垅省级森林公园区域布设污染程度较轻的一类工业；前锋工业园以气型污染为主的企业布局应远离鱼市镇镇区</w:t>
            </w:r>
            <w:r>
              <w:rPr>
                <w:rFonts w:hint="eastAsia" w:ascii="仿宋" w:hAnsi="仿宋" w:eastAsia="仿宋" w:cs="仿宋"/>
                <w:color w:val="auto"/>
                <w:sz w:val="21"/>
                <w:szCs w:val="21"/>
                <w:highlight w:val="none"/>
                <w:lang w:eastAsia="zh-CN"/>
              </w:rPr>
              <w:t>，地方政府及相关部门应严格控制镇区向西边园区方向扩张，加强镇区与园区之间地带的绿化建设。</w:t>
            </w:r>
          </w:p>
        </w:tc>
        <w:tc>
          <w:tcPr>
            <w:tcW w:w="7019" w:type="dxa"/>
            <w:gridSpan w:val="3"/>
            <w:vMerge w:val="restart"/>
            <w:vAlign w:val="center"/>
          </w:tcPr>
          <w:p>
            <w:pPr>
              <w:widowControl/>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关于发布湖南省省级及以上产业园区边界面积及四至范围目录的通知</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（省发改园区[2022]601号）；</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（1.1）《湖南省新增19个国家重点生态功能区产业准入负面清单（试行）》（湘发改规划〔2018〕972号）；</w:t>
            </w:r>
          </w:p>
          <w:p>
            <w:pPr>
              <w:keepNext w:val="0"/>
              <w:keepLines w:val="0"/>
              <w:pageBreakBefore w:val="0"/>
              <w:widowControl w:val="0"/>
              <w:tabs>
                <w:tab w:val="left" w:pos="1021"/>
              </w:tabs>
              <w:kinsoku/>
              <w:wordWrap/>
              <w:overflowPunct/>
              <w:topLinePunct w:val="0"/>
              <w:autoSpaceDE/>
              <w:autoSpaceDN/>
              <w:bidi w:val="0"/>
              <w:adjustRightInd/>
              <w:snapToGrid/>
              <w:ind w:left="0" w:leftChars="0" w:right="0" w:rightChars="0" w:firstLine="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关于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湖南省新晃工业集中区调扩区规划环境影响报告书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审查意见的函（湘环评函〔2021〕32号）中“柏树林工业园靠近黄家垅省级森林公园区域布设污染程度较轻的一类工业；前锋工业园应优化布局，园区化工片区的设置应遵守《长江保护法》、《长江经济带发展负面清单》及其相关条款的修订和释义要求，后续法律法规及相关政策有新的禁止和限制性要求的，应严格予以执行。前锋工业园以气型污染为主的企业布局应远离鱼市镇镇区，地方政府及相关部门应严格控制镇区向西边园区方向扩张，加强镇区与园区之间地带的绿化建设。”；</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2.1.2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关于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湖南省新晃工业集中区调扩区规划环境影响报告书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审查意见的函（湘环评函〔2021〕32号）中“前锋工业园污水统一排入鱼市镇工业园污水处理厂，该污水处理厂应尽快完成提质改造，使尾水排放达到《城镇污水处理厂污染物排放标准》（GB18918-2002）一级A 标准。柏树林工业园污水统一排入新晃县城市污水处理厂，经处理后达到《城镇污水处理厂污染物排放标准》（GB18918-2002）一级A标准后排入舞水。”《怀化市环境保护局关于对新晃县污水处理有限公司新晃县城污水处理及提质改造工程环境影响报告表的批复》（怀环审［2015］53号）中“本项目改扩建完成后尾水排放利用一期工程已建排水管道及排口，不涉及排污管道、排污口工程，仅对截污干管进行局部改造。”</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（2.2.1）（2.3）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（4.1.1）《湖南省环境保护厅关于湖南省新晃工业集中区环境影响报告书的批复意见》（湘环评函〔2014〕16号）；</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2.2.3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关于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湖南省新晃工业集中区调扩区规划环境影响报告书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审查意见的函（湘环评函〔2021〕32号）中“（三）落实管控措施，园区应加强大气污染防治，特别是对重点排放企业的监管，采取有效措施减少污染物排放总量，严格控制无组织排放，园区内禁止新建10蒸吨/时及以下燃煤锅炉。”</w:t>
            </w:r>
          </w:p>
          <w:p>
            <w:pPr>
              <w:pStyle w:val="2"/>
              <w:spacing w:after="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）《湖南省生态环境厅关于执行污染物特别排放限值（第一批）的公告》；</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（2.2.2）《新晃县污染防治攻坚战三年行动计划（2018—2020年）》（晃环委办函〔2018〕18号）；</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（3.1）《新晃侗族自治县工业集中区突发环境事件应急预案》（43122720</w:t>
            </w:r>
            <w:r>
              <w:rPr>
                <w:rFonts w:hint="eastAsia" w:ascii="仿宋" w:hAnsi="仿宋" w:eastAsia="仿宋" w:cs="仿宋"/>
                <w:color w:val="auto"/>
                <w:sz w:val="21"/>
                <w:szCs w:val="21"/>
                <w:highlight w:val="none"/>
                <w:lang w:val="en-US" w:eastAsia="zh-CN"/>
              </w:rPr>
              <w:t>22004</w:t>
            </w:r>
            <w:r>
              <w:rPr>
                <w:rFonts w:hint="eastAsia" w:ascii="仿宋" w:hAnsi="仿宋" w:eastAsia="仿宋" w:cs="仿宋"/>
                <w:color w:val="auto"/>
                <w:sz w:val="21"/>
                <w:szCs w:val="21"/>
                <w:highlight w:val="none"/>
              </w:rPr>
              <w:t>G）；</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（3.2）《企业事业单位突发环境事件应急预案备案管理办法》（环发〔2015〕4号）；</w:t>
            </w:r>
          </w:p>
          <w:p>
            <w:pPr>
              <w:widowControl/>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（3.3）（3.4）《怀化市土壤污染防治行动计划》（怀政发〔2017〕5号）；</w:t>
            </w:r>
          </w:p>
          <w:p>
            <w:pPr>
              <w:tabs>
                <w:tab w:val="left" w:pos="1021"/>
              </w:tabs>
              <w:ind w:right="45" w:rightChars="16"/>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关于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湖南省新晃工业集中区调扩区规划环境影响报告书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审查意见的函（湘环评函〔2021〕32号）中“（五）强化风险管控，严防园区环境事故。重点做好主要涉重涉化企业以及前锋工业园污水处理厂的风险防控，该污水处理厂后期改扩建选址应位于滨河南侧远离舞水河一侧，并设置相应容积的事故应急池，有效防范废水事故直排。”；</w:t>
            </w:r>
          </w:p>
          <w:p>
            <w:pPr>
              <w:tabs>
                <w:tab w:val="left" w:pos="1021"/>
              </w:tabs>
              <w:ind w:right="45" w:rightChars="1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（4.1.2）《怀化市“十三五”节能减排综合工作方案》（怀环委办发〔2018〕6号）；</w:t>
            </w:r>
          </w:p>
          <w:p>
            <w:pPr>
              <w:tabs>
                <w:tab w:val="left" w:pos="1021"/>
              </w:tabs>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（4.1.3）</w:t>
            </w:r>
            <w:r>
              <w:rPr>
                <w:rFonts w:hint="eastAsia" w:ascii="仿宋" w:hAnsi="仿宋" w:eastAsia="仿宋" w:cs="仿宋"/>
                <w:color w:val="auto"/>
                <w:sz w:val="21"/>
                <w:szCs w:val="21"/>
                <w:highlight w:val="none"/>
                <w:lang w:val="en-US" w:eastAsia="zh-CN"/>
              </w:rPr>
              <w:t>国家发展改革委等部门关于发布《高耗能行业重点领域能效标杆水平和基准水平（2021）版》的通知（发改产业〔2021〕1609号）、国家发展改革委等部门关于发布《煤炭清洁高效利用重点领域标杆水平和基准水平（2022年版）》的通知（发改运行〔2022〕559号）；</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修改原因依据：原有指标依据停止执行，根据《湖南省发展和改革委员会关于落实审计整改要求进一步加强节能审查工作的通知》（发改运行〔2022〕559号）（湘发改环资〔2022〕668号）中内容“一、暂停实施区域节能评估审查，经报请省人民政府同意，暂停实施区域节能评估审查。自本通知印发之日起，园区新上项目严格按照《固定资产投资项目节能审查办法》（国家发展和改革委员会令2016年第44号）、《湖南省固定资产投资项目节能审查实施办法》（湘发改环资〔2018〕449号）、《关于印发&lt;不单独进行节能审查的行业目录&gt;的通知》（发改环资规〔2017〕1975号）等要求开展节能审查。各市州发展改革部门要切实履行节能审查职责，严格把关，对拟上“两高”项目要求深入论证，坚决遏制高耗能高排放低水平项目盲目上马。严禁未批先建和违规建设。”</w:t>
            </w:r>
            <w:r>
              <w:rPr>
                <w:rFonts w:hint="default" w:ascii="Times New Roman" w:hAnsi="Times New Roman" w:eastAsia="仿宋" w:cs="Times New Roman"/>
                <w:color w:val="auto"/>
                <w:sz w:val="21"/>
                <w:szCs w:val="21"/>
                <w:highlight w:val="none"/>
              </w:rPr>
              <w:t>；</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（4.2.1）《湖南省新晃工业集中区环境影响报告书》（2013年12月）</w:t>
            </w:r>
          </w:p>
          <w:p>
            <w:pPr>
              <w:tabs>
                <w:tab w:val="left" w:pos="1021"/>
              </w:tabs>
              <w:ind w:right="45" w:rightChars="16"/>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（4.2.2）</w:t>
            </w:r>
            <w:r>
              <w:rPr>
                <w:rFonts w:hint="eastAsia" w:ascii="仿宋" w:hAnsi="仿宋" w:eastAsia="仿宋" w:cs="仿宋"/>
                <w:color w:val="auto"/>
                <w:sz w:val="21"/>
                <w:szCs w:val="21"/>
                <w:highlight w:val="none"/>
                <w:lang w:val="en-US" w:eastAsia="zh-CN"/>
              </w:rPr>
              <w:t>《怀化市水利局、怀化市发展和改革委员会关于印发“十四五”用水量和强度双控目标的通知》（怀水发</w:t>
            </w: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22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号</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附件。</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（4.3.1）《湖南省人民政府关于进一步加强节约集约用地的意见》（湘政发〔2016〕10号）。</w:t>
            </w:r>
          </w:p>
          <w:p>
            <w:pPr>
              <w:tabs>
                <w:tab w:val="left" w:pos="1021"/>
              </w:tabs>
              <w:ind w:right="199" w:rightChars="71"/>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（4.3.2）《湖南省新晃工业集中区控制性前戏规划》。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污染物排放管控</w:t>
            </w:r>
          </w:p>
        </w:tc>
        <w:tc>
          <w:tcPr>
            <w:tcW w:w="6711" w:type="dxa"/>
            <w:gridSpan w:val="7"/>
            <w:vAlign w:val="top"/>
          </w:tcPr>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（2.1）废水：</w:t>
            </w:r>
          </w:p>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）集中区排水实施雨污分流。柏树林工业园污水依托新晃县城污水处理厂处理，处理达标后排入㵲水；前锋工业园污水纳入鱼市镇工业园区污水处理厂处理，处理达标后排入㵲水。</w:t>
            </w:r>
          </w:p>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2.1.2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柏树林工业园雨水</w:t>
            </w:r>
            <w:r>
              <w:rPr>
                <w:rFonts w:hint="eastAsia" w:ascii="仿宋" w:hAnsi="仿宋" w:eastAsia="仿宋" w:cs="仿宋"/>
                <w:color w:val="auto"/>
                <w:sz w:val="21"/>
                <w:szCs w:val="21"/>
                <w:highlight w:val="none"/>
                <w:lang w:eastAsia="zh-CN"/>
              </w:rPr>
              <w:t>按重力流自流就近排入水体；</w:t>
            </w:r>
            <w:r>
              <w:rPr>
                <w:rFonts w:hint="eastAsia" w:ascii="仿宋" w:hAnsi="仿宋" w:eastAsia="仿宋" w:cs="仿宋"/>
                <w:color w:val="auto"/>
                <w:sz w:val="21"/>
                <w:szCs w:val="21"/>
                <w:highlight w:val="none"/>
              </w:rPr>
              <w:t>前锋工业园雨水</w:t>
            </w:r>
            <w:r>
              <w:rPr>
                <w:rFonts w:hint="eastAsia" w:ascii="仿宋" w:hAnsi="仿宋" w:eastAsia="仿宋" w:cs="仿宋"/>
                <w:color w:val="auto"/>
                <w:sz w:val="21"/>
                <w:szCs w:val="21"/>
                <w:highlight w:val="none"/>
                <w:lang w:eastAsia="zh-CN"/>
              </w:rPr>
              <w:t>按重力流自流就近排入水体。</w:t>
            </w:r>
          </w:p>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（2.2）废气：</w:t>
            </w:r>
          </w:p>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建立集中区清洁生产管理考核机制，对各企业工艺废气产出的生产节点，应配置废气收集与处理净化装置，确保达标排放；加强生产工艺研究与技术改进，采取有效措施，减少入园企业工艺废气的无组织排放</w:t>
            </w:r>
          </w:p>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（2.2.2）强化工业污染治理与监管，加快推进家具制造、电动车制造（含工业涂装）等行业企业挥发性有机物（VOCs）综合治理。</w:t>
            </w:r>
          </w:p>
          <w:p>
            <w:pPr>
              <w:ind w:left="0" w:leftChars="0" w:firstLine="0" w:firstLineChars="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2.2.3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园区应加强大气污染防治，特别是对重点排放企业的监管，采取有效措施减少污染物排放总量，严格控制无组织排放，园区内禁止新建10蒸吨/时及以下燃煤锅炉。</w:t>
            </w:r>
          </w:p>
          <w:p>
            <w:pPr>
              <w:ind w:left="0" w:leftChars="0" w:firstLine="0" w:firstLineChars="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（2.3）固体废弃物：</w:t>
            </w:r>
            <w:r>
              <w:rPr>
                <w:rFonts w:hint="eastAsia" w:ascii="仿宋_GB2312" w:hAnsi="仿宋_GB2312" w:eastAsia="仿宋_GB2312" w:cs="仿宋_GB2312"/>
                <w:color w:val="auto"/>
                <w:sz w:val="21"/>
                <w:szCs w:val="21"/>
                <w:highlight w:val="none"/>
              </w:rPr>
              <w:t>采取全流程管控措施，建立园区固废规范化管理体系，做好工业固体废物和生活垃圾的分类收集、转运、综合利用和无害化处理。对各类工业企业产生固体废物特别是危险固废应严格按照国家有关规定综合利用或妥善处置，对危险废物产生企业和经营单位，强化日常环境监管。</w:t>
            </w:r>
          </w:p>
        </w:tc>
        <w:tc>
          <w:tcPr>
            <w:tcW w:w="7019" w:type="dxa"/>
            <w:gridSpan w:val="3"/>
            <w:vMerge w:val="continue"/>
            <w:vAlign w:val="center"/>
          </w:tcPr>
          <w:p>
            <w:pPr>
              <w:tabs>
                <w:tab w:val="left" w:pos="1021"/>
              </w:tabs>
              <w:ind w:left="135" w:leftChars="48" w:right="199" w:rightChars="71" w:hanging="1"/>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环境风险防控</w:t>
            </w:r>
          </w:p>
        </w:tc>
        <w:tc>
          <w:tcPr>
            <w:tcW w:w="6711" w:type="dxa"/>
            <w:gridSpan w:val="7"/>
            <w:vAlign w:val="center"/>
          </w:tcPr>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w:t>
            </w:r>
            <w:r>
              <w:rPr>
                <w:rFonts w:hint="eastAsia" w:ascii="仿宋" w:hAnsi="仿宋" w:eastAsia="仿宋" w:cs="仿宋"/>
                <w:color w:val="auto"/>
                <w:sz w:val="21"/>
                <w:szCs w:val="21"/>
                <w:highlight w:val="none"/>
                <w:lang w:eastAsia="zh-CN"/>
              </w:rPr>
              <w:t>集中区</w:t>
            </w:r>
            <w:r>
              <w:rPr>
                <w:rFonts w:hint="eastAsia" w:ascii="仿宋" w:hAnsi="仿宋" w:eastAsia="仿宋" w:cs="仿宋"/>
                <w:color w:val="auto"/>
                <w:sz w:val="21"/>
                <w:szCs w:val="21"/>
                <w:highlight w:val="none"/>
              </w:rPr>
              <w:t>应建立健全环境风险防控体系，加强区内重要风险源管控。加强</w:t>
            </w:r>
            <w:r>
              <w:rPr>
                <w:rFonts w:hint="eastAsia" w:ascii="仿宋" w:hAnsi="仿宋" w:eastAsia="仿宋" w:cs="仿宋"/>
                <w:color w:val="auto"/>
                <w:sz w:val="21"/>
                <w:szCs w:val="21"/>
                <w:highlight w:val="none"/>
                <w:lang w:eastAsia="zh-CN"/>
              </w:rPr>
              <w:t>集中区</w:t>
            </w:r>
            <w:r>
              <w:rPr>
                <w:rFonts w:hint="eastAsia" w:ascii="仿宋" w:hAnsi="仿宋" w:eastAsia="仿宋" w:cs="仿宋"/>
                <w:color w:val="auto"/>
                <w:sz w:val="21"/>
                <w:szCs w:val="21"/>
                <w:highlight w:val="none"/>
              </w:rPr>
              <w:t>危险化学品储运的环境风险管理，严格落实应急响应联动机制，确保区域环境安全。强化环境监督管理，根据新晃侗族自治县工业集中区突发环境事件应急预案要求，健全环境风险事故防范措施，严防环境风险事故发生。</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集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（3.3）建设用地土壤风险防控：加强对建设用地土壤环境状况调查、风险评估和污染地块治理与修复活动的监管。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（3.4）重点做好主要涉重涉化企业以及前锋工业园污水处理厂的风险防控，防范废水事故直排。</w:t>
            </w:r>
          </w:p>
        </w:tc>
        <w:tc>
          <w:tcPr>
            <w:tcW w:w="7019" w:type="dxa"/>
            <w:gridSpan w:val="3"/>
            <w:vMerge w:val="continue"/>
            <w:vAlign w:val="center"/>
          </w:tcPr>
          <w:p>
            <w:pPr>
              <w:tabs>
                <w:tab w:val="left" w:pos="1021"/>
              </w:tabs>
              <w:ind w:left="135" w:leftChars="48" w:right="199" w:rightChars="71" w:hanging="1"/>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widowControl/>
              <w:ind w:left="-15" w:leftChars="-17" w:right="-84" w:rightChars="-30" w:hanging="33" w:hangingChars="16"/>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资源开发效率要求</w:t>
            </w:r>
          </w:p>
        </w:tc>
        <w:tc>
          <w:tcPr>
            <w:tcW w:w="6711" w:type="dxa"/>
            <w:gridSpan w:val="7"/>
            <w:vAlign w:val="center"/>
          </w:tcPr>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（4.1）能源：</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（4.1.1）</w:t>
            </w:r>
            <w:r>
              <w:rPr>
                <w:rFonts w:hint="eastAsia" w:ascii="仿宋" w:hAnsi="仿宋" w:eastAsia="仿宋" w:cs="仿宋"/>
                <w:color w:val="auto"/>
                <w:sz w:val="21"/>
                <w:szCs w:val="21"/>
                <w:highlight w:val="none"/>
                <w:lang w:val="en-US" w:eastAsia="zh-CN"/>
              </w:rPr>
              <w:t>集中区</w:t>
            </w:r>
            <w:r>
              <w:rPr>
                <w:rFonts w:hint="eastAsia" w:ascii="仿宋" w:hAnsi="仿宋" w:eastAsia="仿宋" w:cs="仿宋"/>
                <w:color w:val="auto"/>
                <w:sz w:val="21"/>
                <w:szCs w:val="21"/>
                <w:highlight w:val="none"/>
              </w:rPr>
              <w:t>应统一协调园区内低硫煤的稳定供应，积极推广清洁能源，逐步减少燃煤用量。</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（4.1.2）实施能源消耗总量和强度双控行动，逐步建立用能预算管理体系，编制用能预算管理方案。</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（4.1.3）到202</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年，单位GDP能耗为0.363吨标准煤/万元，单位工业增加值能耗0.523吨标准煤/万元。到2025年，单位GDP能耗为0.305吨标准煤/万元，单位工业增加值能耗0.396吨标准煤/万元。到2025年，高能耗行业重点领域能效达到发改产业〔2021〕1609号、〔2022〕559号文件中标杆值水平，其他行业能效达到相应行业单位产品能源消耗限额标准。</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（4.2）水资源：</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（4.2.1）进驻的各企业要加强中水回用及水的循环利用，以减少污水排放量；为从源头削减废水污染物的产生及排放量，工业集中区要对水资源消耗量大、水循环利用率低的企业做出限制。</w:t>
            </w:r>
          </w:p>
          <w:p>
            <w:pPr>
              <w:keepNext w:val="0"/>
              <w:keepLines w:val="0"/>
              <w:pageBreakBefore w:val="0"/>
              <w:widowControl w:val="0"/>
              <w:kinsoku/>
              <w:wordWrap/>
              <w:overflowPunct/>
              <w:topLinePunct w:val="0"/>
              <w:autoSpaceDE/>
              <w:autoSpaceDN/>
              <w:bidi w:val="0"/>
              <w:adjustRightInd/>
              <w:snapToGrid/>
              <w:ind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（4.2.2）</w:t>
            </w:r>
            <w:r>
              <w:rPr>
                <w:rFonts w:hint="eastAsia" w:ascii="仿宋" w:hAnsi="仿宋" w:eastAsia="仿宋" w:cs="仿宋"/>
                <w:color w:val="auto"/>
                <w:kern w:val="0"/>
                <w:sz w:val="21"/>
                <w:szCs w:val="21"/>
                <w:highlight w:val="none"/>
                <w:lang w:val="en-US" w:eastAsia="zh-CN"/>
              </w:rPr>
              <w:t>到2025年，新晃县用水总量9133万立方米，万元地区生产总量用水量比2020年下降29.02%，万元工业增加值用水量比2020年下降8.80%。万元工业增加值用水量控制在55立方米/万元以下，加强水资源管理，切实合理开发利用和节约保护水资源。</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（4.3）土地资源：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（4.3.1）坚持最严格的节约用地制度，盘活存量建设用地，提升土地产出效益，全面实施节约集约用地战略。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4.3.2）园区项目引进严格运用用地指标，严格节约集约用地，园区总用地面积为373.43公顷，建设用地面积为363.53公顷，占城乡用地的97.35%，均为城市建设用地。非建设用地面积为9.90公顷，占城乡用地的2.65%，包括水域面积2.33公顷，农林用地面积7.57公顷。</w:t>
            </w:r>
          </w:p>
        </w:tc>
        <w:tc>
          <w:tcPr>
            <w:tcW w:w="7019" w:type="dxa"/>
            <w:gridSpan w:val="3"/>
            <w:vMerge w:val="continue"/>
            <w:vAlign w:val="center"/>
          </w:tcPr>
          <w:p>
            <w:pPr>
              <w:tabs>
                <w:tab w:val="left" w:pos="1021"/>
              </w:tabs>
              <w:ind w:left="135" w:leftChars="48" w:right="199" w:rightChars="71" w:hanging="1"/>
              <w:rPr>
                <w:rFonts w:hint="eastAsia" w:ascii="仿宋" w:hAnsi="仿宋" w:eastAsia="仿宋" w:cs="仿宋"/>
                <w:color w:val="auto"/>
                <w:sz w:val="21"/>
                <w:szCs w:val="21"/>
                <w:highlight w:val="none"/>
              </w:rPr>
            </w:pPr>
          </w:p>
        </w:tc>
      </w:tr>
    </w:tbl>
    <w:p>
      <w:pPr>
        <w:pStyle w:val="16"/>
        <w:snapToGrid w:val="0"/>
        <w:spacing w:after="0" w:line="600" w:lineRule="exact"/>
        <w:ind w:left="0" w:leftChars="0" w:firstLine="643"/>
        <w:jc w:val="left"/>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新晃工业集中区“三线一单”落实情况具体如下：</w:t>
      </w:r>
    </w:p>
    <w:p>
      <w:pPr>
        <w:pStyle w:val="13"/>
        <w:widowControl/>
        <w:spacing w:beforeAutospacing="0" w:afterAutospacing="0" w:line="30" w:lineRule="atLeast"/>
        <w:ind w:firstLine="640"/>
        <w:jc w:val="center"/>
        <w:rPr>
          <w:rFonts w:hint="default" w:ascii="Times New Roman" w:hAnsi="Times New Roman" w:eastAsia="仿宋" w:cs="Times New Roman"/>
          <w:b w:val="0"/>
          <w:bCs/>
          <w:color w:val="333333"/>
          <w:sz w:val="28"/>
          <w:szCs w:val="40"/>
          <w:shd w:val="clear" w:color="auto" w:fill="FFFFFF"/>
          <w:lang w:val="zh-CN" w:eastAsia="zh-CN"/>
        </w:rPr>
      </w:pPr>
      <w:r>
        <w:rPr>
          <w:rFonts w:hint="default" w:ascii="Times New Roman" w:hAnsi="Times New Roman" w:eastAsia="仿宋" w:cs="Times New Roman"/>
          <w:b w:val="0"/>
          <w:bCs/>
          <w:color w:val="333333"/>
          <w:sz w:val="28"/>
          <w:szCs w:val="40"/>
          <w:shd w:val="clear" w:color="auto" w:fill="FFFFFF"/>
          <w:lang w:val="en-US" w:eastAsia="zh-CN"/>
        </w:rPr>
        <w:t>表</w:t>
      </w:r>
      <w:r>
        <w:rPr>
          <w:rFonts w:hint="eastAsia" w:ascii="Times New Roman" w:hAnsi="Times New Roman" w:eastAsia="仿宋" w:cs="Times New Roman"/>
          <w:b w:val="0"/>
          <w:bCs/>
          <w:color w:val="333333"/>
          <w:sz w:val="28"/>
          <w:szCs w:val="40"/>
          <w:shd w:val="clear" w:color="auto" w:fill="FFFFFF"/>
          <w:lang w:val="en-US" w:eastAsia="zh-CN"/>
        </w:rPr>
        <w:t>7</w:t>
      </w:r>
      <w:r>
        <w:rPr>
          <w:rFonts w:hint="default" w:ascii="Times New Roman" w:hAnsi="Times New Roman" w:eastAsia="仿宋" w:cs="Times New Roman"/>
          <w:b w:val="0"/>
          <w:bCs/>
          <w:color w:val="333333"/>
          <w:sz w:val="28"/>
          <w:szCs w:val="40"/>
          <w:shd w:val="clear" w:color="auto" w:fill="FFFFFF"/>
          <w:lang w:val="en-US" w:eastAsia="zh-CN"/>
        </w:rPr>
        <w:t xml:space="preserve"> 新晃工业集中区</w:t>
      </w:r>
      <w:r>
        <w:rPr>
          <w:rFonts w:hint="default" w:ascii="Times New Roman" w:hAnsi="Times New Roman" w:eastAsia="仿宋" w:cs="Times New Roman"/>
          <w:b w:val="0"/>
          <w:bCs/>
          <w:color w:val="333333"/>
          <w:sz w:val="28"/>
          <w:szCs w:val="40"/>
          <w:shd w:val="clear" w:color="auto" w:fill="FFFFFF"/>
          <w:lang w:val="zh-CN" w:eastAsia="zh-CN"/>
        </w:rPr>
        <w:t>“三线一单”落实情况</w:t>
      </w: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7764"/>
        <w:gridCol w:w="496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0"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管控维度</w:t>
            </w:r>
          </w:p>
        </w:tc>
        <w:tc>
          <w:tcPr>
            <w:tcW w:w="2609"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管控要求</w:t>
            </w:r>
          </w:p>
        </w:tc>
        <w:tc>
          <w:tcPr>
            <w:tcW w:w="1668"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highlight w:val="none"/>
                <w:lang w:eastAsia="en-US"/>
              </w:rPr>
            </w:pPr>
            <w:r>
              <w:rPr>
                <w:rFonts w:hint="default" w:ascii="Times New Roman" w:hAnsi="Times New Roman" w:eastAsia="仿宋" w:cs="Times New Roman"/>
                <w:sz w:val="24"/>
                <w:szCs w:val="24"/>
                <w:highlight w:val="none"/>
                <w:lang w:eastAsia="en-US"/>
              </w:rPr>
              <w:t>落实情况</w:t>
            </w:r>
          </w:p>
        </w:tc>
        <w:tc>
          <w:tcPr>
            <w:tcW w:w="321"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0"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空间布局约束</w:t>
            </w:r>
          </w:p>
        </w:tc>
        <w:tc>
          <w:tcPr>
            <w:tcW w:w="2609"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（1.1）集中区引进企业应当符合“新晃县产业准入负面清单”的有关规定。</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柏树林片区靠近黄家垅省级森林公园区域布设污染程度较轻的一类工业；前锋工业园以气型污染为主的企业布局应远离鱼市镇镇区，地方政府及相关部门应严格控制镇区向西边园区方向扩张，加强镇区与园区之间地带的绿化建设。</w:t>
            </w:r>
          </w:p>
        </w:tc>
        <w:tc>
          <w:tcPr>
            <w:tcW w:w="1668"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en-US"/>
              </w:rPr>
            </w:pP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val="en-US" w:eastAsia="en-US"/>
              </w:rPr>
              <w:t>集中区引进企业符合</w:t>
            </w:r>
            <w:r>
              <w:rPr>
                <w:rFonts w:hint="default" w:ascii="Times New Roman" w:hAnsi="Times New Roman" w:eastAsia="仿宋" w:cs="Times New Roman"/>
                <w:sz w:val="24"/>
                <w:szCs w:val="24"/>
                <w:highlight w:val="none"/>
                <w:lang w:val="en-US" w:eastAsia="zh-CN"/>
              </w:rPr>
              <w:t>了</w:t>
            </w:r>
            <w:r>
              <w:rPr>
                <w:rFonts w:hint="default" w:ascii="Times New Roman" w:hAnsi="Times New Roman" w:eastAsia="仿宋" w:cs="Times New Roman"/>
                <w:sz w:val="24"/>
                <w:szCs w:val="24"/>
                <w:highlight w:val="none"/>
                <w:lang w:val="en-US" w:eastAsia="en-US"/>
              </w:rPr>
              <w:t>“新晃县产业准入负面清单”的有关规定。</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eastAsia="en-US"/>
              </w:rPr>
            </w:pP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lang w:val="en-US" w:eastAsia="en-US"/>
              </w:rPr>
              <w:t>柏树林片区</w:t>
            </w:r>
            <w:r>
              <w:rPr>
                <w:rFonts w:hint="default" w:ascii="Times New Roman" w:hAnsi="Times New Roman" w:eastAsia="仿宋" w:cs="Times New Roman"/>
                <w:sz w:val="24"/>
                <w:szCs w:val="24"/>
                <w:highlight w:val="none"/>
                <w:lang w:val="en-US" w:eastAsia="zh-CN"/>
              </w:rPr>
              <w:t>未</w:t>
            </w:r>
            <w:r>
              <w:rPr>
                <w:rFonts w:hint="default" w:ascii="Times New Roman" w:hAnsi="Times New Roman" w:eastAsia="仿宋" w:cs="Times New Roman"/>
                <w:sz w:val="24"/>
                <w:szCs w:val="24"/>
                <w:highlight w:val="none"/>
                <w:lang w:val="en-US" w:eastAsia="en-US"/>
              </w:rPr>
              <w:t>新建气型污染企业、</w:t>
            </w:r>
            <w:r>
              <w:rPr>
                <w:rFonts w:hint="default" w:ascii="Times New Roman" w:hAnsi="Times New Roman" w:eastAsia="仿宋" w:cs="Times New Roman"/>
                <w:sz w:val="24"/>
                <w:szCs w:val="24"/>
                <w:highlight w:val="none"/>
                <w:lang w:val="en-US" w:eastAsia="zh-CN"/>
              </w:rPr>
              <w:t>未</w:t>
            </w:r>
            <w:r>
              <w:rPr>
                <w:rFonts w:hint="default" w:ascii="Times New Roman" w:hAnsi="Times New Roman" w:eastAsia="仿宋" w:cs="Times New Roman"/>
                <w:sz w:val="24"/>
                <w:szCs w:val="24"/>
                <w:highlight w:val="none"/>
                <w:lang w:val="en-US" w:eastAsia="en-US"/>
              </w:rPr>
              <w:t>引进屠宰加工类项目；前锋工业园</w:t>
            </w:r>
            <w:r>
              <w:rPr>
                <w:rFonts w:hint="default" w:ascii="Times New Roman" w:hAnsi="Times New Roman" w:eastAsia="仿宋" w:cs="Times New Roman"/>
                <w:sz w:val="24"/>
                <w:szCs w:val="24"/>
                <w:highlight w:val="none"/>
                <w:lang w:val="en-US" w:eastAsia="zh-CN"/>
              </w:rPr>
              <w:t>以气型污染为主的企业布局</w:t>
            </w:r>
            <w:r>
              <w:rPr>
                <w:rFonts w:hint="eastAsia" w:ascii="Times New Roman" w:hAnsi="Times New Roman" w:eastAsia="仿宋" w:cs="Times New Roman"/>
                <w:sz w:val="24"/>
                <w:szCs w:val="24"/>
                <w:highlight w:val="none"/>
                <w:lang w:val="en-US" w:eastAsia="zh-CN"/>
              </w:rPr>
              <w:t>已</w:t>
            </w:r>
            <w:r>
              <w:rPr>
                <w:rFonts w:hint="default" w:ascii="Times New Roman" w:hAnsi="Times New Roman" w:eastAsia="仿宋" w:cs="Times New Roman"/>
                <w:sz w:val="24"/>
                <w:szCs w:val="24"/>
                <w:highlight w:val="none"/>
                <w:lang w:val="en-US" w:eastAsia="zh-CN"/>
              </w:rPr>
              <w:t>远离鱼市镇镇区，地方政府及相关部门</w:t>
            </w:r>
            <w:r>
              <w:rPr>
                <w:rFonts w:hint="eastAsia" w:ascii="Times New Roman" w:hAnsi="Times New Roman" w:eastAsia="仿宋" w:cs="Times New Roman"/>
                <w:sz w:val="24"/>
                <w:szCs w:val="24"/>
                <w:highlight w:val="none"/>
                <w:lang w:val="en-US" w:eastAsia="zh-CN"/>
              </w:rPr>
              <w:t>已</w:t>
            </w:r>
            <w:r>
              <w:rPr>
                <w:rFonts w:hint="default" w:ascii="Times New Roman" w:hAnsi="Times New Roman" w:eastAsia="仿宋" w:cs="Times New Roman"/>
                <w:sz w:val="24"/>
                <w:szCs w:val="24"/>
                <w:highlight w:val="none"/>
                <w:lang w:val="en-US" w:eastAsia="zh-CN"/>
              </w:rPr>
              <w:t>严格控制镇区向西边园区方向扩张，加强</w:t>
            </w:r>
            <w:r>
              <w:rPr>
                <w:rFonts w:hint="eastAsia" w:ascii="Times New Roman" w:hAnsi="Times New Roman" w:eastAsia="仿宋" w:cs="Times New Roman"/>
                <w:sz w:val="24"/>
                <w:szCs w:val="24"/>
                <w:highlight w:val="none"/>
                <w:lang w:val="en-US" w:eastAsia="zh-CN"/>
              </w:rPr>
              <w:t>了</w:t>
            </w:r>
            <w:r>
              <w:rPr>
                <w:rFonts w:hint="default" w:ascii="Times New Roman" w:hAnsi="Times New Roman" w:eastAsia="仿宋" w:cs="Times New Roman"/>
                <w:sz w:val="24"/>
                <w:szCs w:val="24"/>
                <w:highlight w:val="none"/>
                <w:lang w:val="en-US" w:eastAsia="zh-CN"/>
              </w:rPr>
              <w:t>镇区与园区之间地带的绿化建设。</w:t>
            </w:r>
          </w:p>
        </w:tc>
        <w:tc>
          <w:tcPr>
            <w:tcW w:w="321"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0"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污染物排放管控</w:t>
            </w:r>
          </w:p>
        </w:tc>
        <w:tc>
          <w:tcPr>
            <w:tcW w:w="2609"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（2.1）废水：</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（2.1.1）集中区排水实施雨污分流。柏树林工业园污水依托新晃县城污水处理厂处理，处理达标后排入㵲水；前锋工业园污水纳入鱼市镇工业园区污水处理厂处理，处理达标后排入㵲水。</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（2.1.2）柏树林工业园雨水按重力流自流就近排入水体；前锋工业园雨水按重力流自流就近排入水体。</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（2.2）废气：</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2.2.1）建立集中区清洁生产管理考核机制，对各企业工艺废气产出的生产节点，应配置废气收集与处理净化装置，确保达标排放；加强生产工艺研究与技术改进，采取有效措施，减少入园企业工艺废气的无组织排放</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（2.2.2）强化工业污染治理与监管，加快推进家具制造、电动车制造（含工业涂装）等行业企业挥发性有机物（VOCs）综合治理。</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（2.2.3）园区应加强大气污染防治，特别是对重点排放企业的监管，采取有效措施减少污染物排放总量，严格控制无组织排放，园区内禁止新建10蒸吨/时及以下燃煤锅炉。</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2.3）固体废弃物：采取全流程管控措施，建立园区固废规范化管理体系，做好工业固体废物和生活垃圾的分类收集、转运、综合利用和无害化处理。对各类工业企业产生固体废物特别是危险固废应严格按照国家有关规定综合利用或妥善处置，对危险废物产生企业和经营单位，强化日常环境监管。</w:t>
            </w:r>
          </w:p>
        </w:tc>
        <w:tc>
          <w:tcPr>
            <w:tcW w:w="1668"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en-US"/>
              </w:rPr>
              <w:t>1、园区实施雨污分流，</w:t>
            </w:r>
            <w:r>
              <w:rPr>
                <w:rFonts w:hint="default" w:ascii="Times New Roman" w:hAnsi="Times New Roman" w:eastAsia="仿宋" w:cs="Times New Roman"/>
                <w:sz w:val="24"/>
                <w:szCs w:val="24"/>
                <w:highlight w:val="none"/>
                <w:lang w:eastAsia="zh-CN"/>
              </w:rPr>
              <w:t>集中区排水已实施雨污分流，截污、排污管网与道路建设、区域开发、项目引进同步进行；柏树林园区废水接入新晃县城污水处理厂进行处理后达《城镇污水处理厂污染物排放标准》(GB18918-2002)一级A 标准排入舞水；酒店塘片区污水由酒店塘污水处理站统一收集处理后达一级A标准后排放；鱼市镇工业园污水处理厂已建成并通过竣工环保验收，一期处理规模2500m</w:t>
            </w:r>
            <w:r>
              <w:rPr>
                <w:rFonts w:hint="default" w:ascii="Times New Roman" w:hAnsi="Times New Roman" w:eastAsia="仿宋" w:cs="Times New Roman"/>
                <w:sz w:val="24"/>
                <w:szCs w:val="24"/>
                <w:highlight w:val="none"/>
                <w:vertAlign w:val="superscript"/>
                <w:lang w:eastAsia="zh-CN"/>
              </w:rPr>
              <w:t>3</w:t>
            </w:r>
            <w:r>
              <w:rPr>
                <w:rFonts w:hint="default" w:ascii="Times New Roman" w:hAnsi="Times New Roman" w:eastAsia="仿宋" w:cs="Times New Roman"/>
                <w:sz w:val="24"/>
                <w:szCs w:val="24"/>
                <w:highlight w:val="none"/>
                <w:lang w:eastAsia="zh-CN"/>
              </w:rPr>
              <w:t>/d，污水排放达到一级B标准；县城污水处理厂已完成提质扩建工程，处理规模为2万m</w:t>
            </w:r>
            <w:r>
              <w:rPr>
                <w:rFonts w:hint="default" w:ascii="Times New Roman" w:hAnsi="Times New Roman" w:eastAsia="仿宋" w:cs="Times New Roman"/>
                <w:sz w:val="24"/>
                <w:szCs w:val="24"/>
                <w:highlight w:val="none"/>
                <w:vertAlign w:val="superscript"/>
                <w:lang w:eastAsia="zh-CN"/>
              </w:rPr>
              <w:t>3</w:t>
            </w:r>
            <w:r>
              <w:rPr>
                <w:rFonts w:hint="default" w:ascii="Times New Roman" w:hAnsi="Times New Roman" w:eastAsia="仿宋" w:cs="Times New Roman"/>
                <w:sz w:val="24"/>
                <w:szCs w:val="24"/>
                <w:highlight w:val="none"/>
                <w:lang w:eastAsia="zh-CN"/>
              </w:rPr>
              <w:t>/d，污水排放可达一级A标准。</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eastAsia="en-US"/>
              </w:rPr>
              <w:t>2、园区按批复要求落实了</w:t>
            </w:r>
            <w:r>
              <w:rPr>
                <w:rFonts w:hint="default" w:ascii="Times New Roman" w:hAnsi="Times New Roman" w:eastAsia="仿宋" w:cs="Times New Roman"/>
                <w:sz w:val="24"/>
                <w:szCs w:val="24"/>
                <w:highlight w:val="none"/>
                <w:lang w:val="en-US" w:eastAsia="zh-CN"/>
              </w:rPr>
              <w:t>对各企业工艺废气产出的生产节点，应配置废气收集与处理净化装置，确保达标排放；加强生产工艺研究与技术改进，采取有效措施，减少入园企业工艺废气的无组织排放</w:t>
            </w:r>
            <w:r>
              <w:rPr>
                <w:rFonts w:hint="eastAsia" w:ascii="Times New Roman" w:hAnsi="Times New Roman" w:eastAsia="仿宋" w:cs="Times New Roman"/>
                <w:sz w:val="24"/>
                <w:szCs w:val="24"/>
                <w:highlight w:val="none"/>
                <w:lang w:val="en-US" w:eastAsia="zh-CN"/>
              </w:rPr>
              <w:t>。</w:t>
            </w:r>
            <w:r>
              <w:rPr>
                <w:rFonts w:hint="default" w:ascii="Times New Roman" w:hAnsi="Times New Roman" w:eastAsia="仿宋" w:cs="Times New Roman"/>
                <w:sz w:val="24"/>
                <w:szCs w:val="24"/>
                <w:highlight w:val="none"/>
                <w:lang w:val="en-US" w:eastAsia="zh-CN"/>
              </w:rPr>
              <w:t>强化</w:t>
            </w:r>
            <w:r>
              <w:rPr>
                <w:rFonts w:hint="eastAsia" w:ascii="Times New Roman" w:hAnsi="Times New Roman" w:eastAsia="仿宋" w:cs="Times New Roman"/>
                <w:sz w:val="24"/>
                <w:szCs w:val="24"/>
                <w:highlight w:val="none"/>
                <w:lang w:val="en-US" w:eastAsia="zh-CN"/>
              </w:rPr>
              <w:t>了</w:t>
            </w:r>
            <w:r>
              <w:rPr>
                <w:rFonts w:hint="default" w:ascii="Times New Roman" w:hAnsi="Times New Roman" w:eastAsia="仿宋" w:cs="Times New Roman"/>
                <w:sz w:val="24"/>
                <w:szCs w:val="24"/>
                <w:highlight w:val="none"/>
                <w:lang w:val="en-US" w:eastAsia="zh-CN"/>
              </w:rPr>
              <w:t>工业污染治理与监管，推进家具制造、电动车制造（含工业涂装）等行业企业挥发性有机物（VOCs）综合治理。</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yellow"/>
                <w:lang w:eastAsia="en-US"/>
              </w:rPr>
            </w:pPr>
            <w:r>
              <w:rPr>
                <w:rFonts w:hint="default" w:ascii="Times New Roman" w:hAnsi="Times New Roman" w:eastAsia="仿宋" w:cs="Times New Roman"/>
                <w:sz w:val="24"/>
                <w:szCs w:val="24"/>
                <w:highlight w:val="none"/>
                <w:lang w:eastAsia="en-US"/>
              </w:rPr>
              <w:t>3、各企业固废基本得到综合利用或妥善处置。</w:t>
            </w:r>
          </w:p>
        </w:tc>
        <w:tc>
          <w:tcPr>
            <w:tcW w:w="321"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0"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环境风险防控</w:t>
            </w:r>
          </w:p>
        </w:tc>
        <w:tc>
          <w:tcPr>
            <w:tcW w:w="2609"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3.1）集中区应建立健全环境风险防控体系，加强区内重要风险源管控。加强集中区危险化学品储运的环境风险管理，严格落实应急响应联动机制，确保区域环境安全。强化环境监督管理，根据新晃侗族自治县工业集中区突发环境事件应急预案要求，健全环境风险事故防范措施，严防环境风险事故发生。</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3.2）集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（3.3）建设用地土壤风险防控：加强对建设用地土壤环境状况调查、风险评估和污染地块治理与修复活动的监管。</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（3.4）重点做好主要涉重涉化企业以及前锋工业园污水处理厂的风险防控，防范废水事故直排。</w:t>
            </w:r>
          </w:p>
        </w:tc>
        <w:tc>
          <w:tcPr>
            <w:tcW w:w="1668"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eastAsia="en-US"/>
              </w:rPr>
            </w:pP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en-US"/>
              </w:rPr>
              <w:t>设立了</w:t>
            </w:r>
            <w:r>
              <w:rPr>
                <w:rFonts w:hint="default" w:ascii="Times New Roman" w:hAnsi="Times New Roman" w:eastAsia="仿宋" w:cs="Times New Roman"/>
                <w:sz w:val="24"/>
                <w:szCs w:val="24"/>
                <w:highlight w:val="none"/>
                <w:lang w:val="en-US" w:eastAsia="zh-CN"/>
              </w:rPr>
              <w:t>新晃工业集中区</w:t>
            </w:r>
            <w:r>
              <w:rPr>
                <w:rFonts w:hint="default" w:ascii="Times New Roman" w:hAnsi="Times New Roman" w:eastAsia="仿宋" w:cs="Times New Roman"/>
                <w:sz w:val="24"/>
                <w:szCs w:val="24"/>
                <w:highlight w:val="none"/>
                <w:lang w:eastAsia="en-US"/>
              </w:rPr>
              <w:t>环境管理机构，</w:t>
            </w:r>
            <w:r>
              <w:rPr>
                <w:rFonts w:hint="default" w:ascii="Times New Roman" w:hAnsi="Times New Roman" w:eastAsia="仿宋" w:cs="Times New Roman"/>
                <w:sz w:val="24"/>
                <w:szCs w:val="24"/>
                <w:highlight w:val="none"/>
                <w:lang w:val="en-US" w:eastAsia="zh-CN"/>
              </w:rPr>
              <w:t>已</w:t>
            </w:r>
            <w:r>
              <w:rPr>
                <w:rFonts w:hint="default" w:ascii="Times New Roman" w:hAnsi="Times New Roman" w:eastAsia="仿宋" w:cs="Times New Roman"/>
                <w:sz w:val="24"/>
                <w:szCs w:val="24"/>
                <w:highlight w:val="none"/>
                <w:lang w:eastAsia="en-US"/>
              </w:rPr>
              <w:t>编制</w:t>
            </w:r>
            <w:r>
              <w:rPr>
                <w:rFonts w:hint="default" w:ascii="Times New Roman" w:hAnsi="Times New Roman" w:eastAsia="仿宋" w:cs="Times New Roman"/>
                <w:sz w:val="24"/>
                <w:szCs w:val="24"/>
                <w:highlight w:val="none"/>
                <w:lang w:val="en-US" w:eastAsia="zh-CN"/>
              </w:rPr>
              <w:t>完成</w:t>
            </w:r>
            <w:r>
              <w:rPr>
                <w:rFonts w:hint="default" w:ascii="Times New Roman" w:hAnsi="Times New Roman" w:eastAsia="仿宋" w:cs="Times New Roman"/>
                <w:sz w:val="24"/>
                <w:szCs w:val="24"/>
                <w:highlight w:val="none"/>
                <w:lang w:eastAsia="en-US"/>
              </w:rPr>
              <w:t>园区突发环境事件应急预案</w:t>
            </w:r>
            <w:r>
              <w:rPr>
                <w:rFonts w:hint="default" w:ascii="Times New Roman" w:hAnsi="Times New Roman" w:eastAsia="仿宋" w:cs="Times New Roman"/>
                <w:sz w:val="24"/>
                <w:szCs w:val="24"/>
                <w:highlight w:val="none"/>
                <w:lang w:val="en-US" w:eastAsia="zh-CN"/>
              </w:rPr>
              <w:t>并已备案</w:t>
            </w:r>
            <w:r>
              <w:rPr>
                <w:rFonts w:hint="default" w:ascii="Times New Roman" w:hAnsi="Times New Roman" w:eastAsia="仿宋" w:cs="Times New Roman"/>
                <w:sz w:val="24"/>
                <w:szCs w:val="24"/>
                <w:highlight w:val="none"/>
                <w:lang w:eastAsia="en-US"/>
              </w:rPr>
              <w:t>。</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lang w:eastAsia="en-US"/>
              </w:rPr>
              <w:t>园区内可能发生突发环境事件的污染物排放企业，生产、储存、运输、使用危险化学品的企业，产生、收集、贮存、运输、利用、处置危险废物的企业等建立</w:t>
            </w:r>
            <w:r>
              <w:rPr>
                <w:rFonts w:hint="default" w:ascii="Times New Roman" w:hAnsi="Times New Roman" w:eastAsia="仿宋" w:cs="Times New Roman"/>
                <w:sz w:val="24"/>
                <w:szCs w:val="24"/>
                <w:highlight w:val="none"/>
                <w:lang w:val="en-US" w:eastAsia="zh-CN"/>
              </w:rPr>
              <w:t>了</w:t>
            </w:r>
            <w:r>
              <w:rPr>
                <w:rFonts w:hint="default" w:ascii="Times New Roman" w:hAnsi="Times New Roman" w:eastAsia="仿宋" w:cs="Times New Roman"/>
                <w:sz w:val="24"/>
                <w:szCs w:val="24"/>
                <w:highlight w:val="none"/>
                <w:lang w:eastAsia="en-US"/>
              </w:rPr>
              <w:t>健全环境风险事故防范措施和应急预案，严防环境风险事故发生</w:t>
            </w:r>
            <w:r>
              <w:rPr>
                <w:rFonts w:hint="default" w:ascii="Times New Roman" w:hAnsi="Times New Roman" w:eastAsia="仿宋" w:cs="Times New Roman"/>
                <w:sz w:val="24"/>
                <w:szCs w:val="24"/>
                <w:highlight w:val="none"/>
                <w:lang w:eastAsia="zh-CN"/>
              </w:rPr>
              <w:t>。</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yellow"/>
                <w:lang w:eastAsia="en-US"/>
              </w:rPr>
            </w:pPr>
            <w:r>
              <w:rPr>
                <w:rFonts w:hint="default" w:ascii="Times New Roman" w:hAnsi="Times New Roman" w:eastAsia="仿宋" w:cs="Times New Roman"/>
                <w:sz w:val="24"/>
                <w:szCs w:val="24"/>
                <w:highlight w:val="none"/>
                <w:lang w:val="en-US" w:eastAsia="zh-CN"/>
              </w:rPr>
              <w:t>3、</w:t>
            </w:r>
            <w:r>
              <w:rPr>
                <w:rFonts w:hint="default" w:ascii="Times New Roman" w:hAnsi="Times New Roman" w:eastAsia="仿宋" w:cs="Times New Roman"/>
                <w:sz w:val="24"/>
                <w:szCs w:val="24"/>
                <w:highlight w:val="none"/>
                <w:lang w:eastAsia="en-US"/>
              </w:rPr>
              <w:t>园区无污染地块。</w:t>
            </w:r>
          </w:p>
        </w:tc>
        <w:tc>
          <w:tcPr>
            <w:tcW w:w="321"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00"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资源开发效率要求</w:t>
            </w:r>
          </w:p>
        </w:tc>
        <w:tc>
          <w:tcPr>
            <w:tcW w:w="2609"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（4.1）能源：</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（4.1.1）集中区应统一协调园区内低硫煤的稳定供应，积极推广清洁能源，逐步减少燃煤用量。</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（4.1.2）实施能源消耗总量和强度双控行动，逐步建立用能预算管理体系，编制用能预算管理方案。</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4.1.3）到2020年，单位GDP能耗为0.363吨标准煤/万元，单位工业增加值能耗0.523吨标准煤/万元。到2025年，单位GDP能耗为0.305吨标准煤/万元，单位工业增加值能耗0.396吨标准煤/万元。到2025年，高能耗行业重点领域能效达到发改产业〔2021〕1609号、〔2022〕559号文件中标杆值水平，其他行业能效达到相应行业单位产品能源消耗限额标准。</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（4.2）水资源：</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（4.2.1）进驻的各企业要加强中水回用及水的循环利用，以减少污水排放量；为从源头削减废水污染物的产生及排放量，工业集中区要对水资源消耗量大、水循环利用率低的企业做出限制。</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4.2.2）到2025年，新晃县用水总量9133万立方米，万元地区生产总量用水量比2020年下降29.02%，万元工业增加值用水量比2020年下降8.80%。万元工业增加值用水量控制在55立方米/万元以下，加强水资源管理，切实合理开发利用和节约保护水资源。</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（4.3）土地资源：</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（4.3.1）坚持最严格的节约用地制度，盘活存量建设用地，提升土地产出效益，全面实施节约集约用地战略。</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4.3.2）园区项目引进严格运用用地指标，严格节约集约用地，园区总用地面积为373.43公顷，建设用地面积为363.53公顷，占城乡用地的97.35%，均为城市建设用地。非建设用地面积为9.90公顷，占城乡用地的2.65%，包括水域面积2.33公顷，农林用地面积7.57公顷。</w:t>
            </w:r>
          </w:p>
        </w:tc>
        <w:tc>
          <w:tcPr>
            <w:tcW w:w="1668"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eastAsia="en-US"/>
              </w:rPr>
            </w:pPr>
            <w:r>
              <w:rPr>
                <w:rFonts w:hint="default" w:ascii="Times New Roman" w:hAnsi="Times New Roman" w:eastAsia="仿宋" w:cs="Times New Roman"/>
                <w:sz w:val="24"/>
                <w:szCs w:val="24"/>
                <w:highlight w:val="none"/>
                <w:lang w:eastAsia="en-US"/>
              </w:rPr>
              <w:t>1、园区积极推广清洁能源。</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eastAsia="en-US"/>
              </w:rPr>
            </w:pPr>
            <w:r>
              <w:rPr>
                <w:rFonts w:hint="default" w:ascii="Times New Roman" w:hAnsi="Times New Roman" w:eastAsia="仿宋" w:cs="Times New Roman"/>
                <w:sz w:val="24"/>
                <w:szCs w:val="24"/>
                <w:highlight w:val="none"/>
                <w:lang w:eastAsia="en-US"/>
              </w:rPr>
              <w:t>2、鼓励工业企业用水重复利用，尽可能有效的利用水资源和降低生产成本，减少废水排放。</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eastAsia="en-US"/>
              </w:rPr>
            </w:pPr>
            <w:r>
              <w:rPr>
                <w:rFonts w:hint="default" w:ascii="Times New Roman" w:hAnsi="Times New Roman" w:eastAsia="仿宋" w:cs="Times New Roman"/>
                <w:sz w:val="24"/>
                <w:szCs w:val="24"/>
                <w:highlight w:val="none"/>
                <w:lang w:eastAsia="en-US"/>
              </w:rPr>
              <w:t>3、严格按照园区用地规划布局实施，未有超出规划范围的开发活动。</w:t>
            </w:r>
          </w:p>
        </w:tc>
        <w:tc>
          <w:tcPr>
            <w:tcW w:w="321"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符合</w:t>
            </w:r>
          </w:p>
        </w:tc>
      </w:tr>
    </w:tbl>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lang w:val="en-US" w:eastAsia="zh-CN"/>
        </w:rPr>
        <w:sectPr>
          <w:pgSz w:w="16838" w:h="11906" w:orient="landscape"/>
          <w:pgMar w:top="1440" w:right="1083" w:bottom="1440" w:left="1083" w:header="851" w:footer="992" w:gutter="0"/>
          <w:pgBorders>
            <w:top w:val="none" w:sz="0" w:space="0"/>
            <w:left w:val="none" w:sz="0" w:space="0"/>
            <w:bottom w:val="none" w:sz="0" w:space="0"/>
            <w:right w:val="none" w:sz="0" w:space="0"/>
          </w:pgBorders>
          <w:pgNumType w:fmt="decimal"/>
          <w:cols w:space="720" w:num="1"/>
          <w:rtlGutter w:val="0"/>
          <w:docGrid w:type="lines" w:linePitch="451" w:charSpace="0"/>
        </w:sectPr>
      </w:pP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lang w:val="en-US" w:eastAsia="zh-CN"/>
        </w:rPr>
      </w:pPr>
      <w:bookmarkStart w:id="13" w:name="_Toc6802"/>
      <w:r>
        <w:rPr>
          <w:rFonts w:hint="default" w:ascii="Times New Roman" w:hAnsi="Times New Roman" w:cs="Times New Roman"/>
          <w:b/>
          <w:lang w:val="en-US" w:eastAsia="zh-CN"/>
        </w:rPr>
        <w:t>2.3水环境管理</w:t>
      </w:r>
      <w:bookmarkEnd w:id="13"/>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新晃工业集中区排水为雨污分流，目前，园区污水管网覆盖率为100%，雨水管覆盖率100%。</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w:t>
      </w:r>
      <w:r>
        <w:rPr>
          <w:rFonts w:hint="eastAsia" w:ascii="Times New Roman" w:hAnsi="Times New Roman" w:eastAsia="仿宋" w:cs="Times New Roman"/>
          <w:kern w:val="2"/>
          <w:sz w:val="32"/>
          <w:szCs w:val="32"/>
          <w:lang w:val="en-US" w:eastAsia="zh-CN" w:bidi="ar-SA"/>
        </w:rPr>
        <w:t>新晃产业开发区前锋工业园</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前锋工业园现有一座工业污水处理厂，设计处理规模为5000m</w:t>
      </w:r>
      <w:r>
        <w:rPr>
          <w:rFonts w:hint="default" w:ascii="Times New Roman" w:hAnsi="Times New Roman" w:eastAsia="仿宋" w:cs="Times New Roman"/>
          <w:kern w:val="2"/>
          <w:sz w:val="32"/>
          <w:szCs w:val="32"/>
          <w:vertAlign w:val="superscript"/>
          <w:lang w:val="en-US" w:eastAsia="zh-CN" w:bidi="ar-SA"/>
        </w:rPr>
        <w:t>3</w:t>
      </w:r>
      <w:r>
        <w:rPr>
          <w:rFonts w:hint="default" w:ascii="Times New Roman" w:hAnsi="Times New Roman" w:eastAsia="仿宋" w:cs="Times New Roman"/>
          <w:kern w:val="2"/>
          <w:sz w:val="32"/>
          <w:szCs w:val="32"/>
          <w:lang w:val="en-US" w:eastAsia="zh-CN" w:bidi="ar-SA"/>
        </w:rPr>
        <w:t>/d，分两期实施，一期2500m</w:t>
      </w:r>
      <w:r>
        <w:rPr>
          <w:rFonts w:hint="default" w:ascii="Times New Roman" w:hAnsi="Times New Roman" w:eastAsia="仿宋" w:cs="Times New Roman"/>
          <w:kern w:val="2"/>
          <w:sz w:val="32"/>
          <w:szCs w:val="32"/>
          <w:vertAlign w:val="superscript"/>
          <w:lang w:val="en-US" w:eastAsia="zh-CN" w:bidi="ar-SA"/>
        </w:rPr>
        <w:t>3</w:t>
      </w:r>
      <w:r>
        <w:rPr>
          <w:rFonts w:hint="default" w:ascii="Times New Roman" w:hAnsi="Times New Roman" w:eastAsia="仿宋" w:cs="Times New Roman"/>
          <w:kern w:val="2"/>
          <w:sz w:val="32"/>
          <w:szCs w:val="32"/>
          <w:lang w:val="en-US" w:eastAsia="zh-CN" w:bidi="ar-SA"/>
        </w:rPr>
        <w:t>/d已于2017年3月投入运营，采用混凝分离+兼氧FMBR组合工艺，出水水质达到《城镇污水处理厂污染物排放标准》（GB18918-2002）一级B标准后排入舞水。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FF0000"/>
          <w:kern w:val="2"/>
          <w:sz w:val="32"/>
          <w:szCs w:val="32"/>
          <w:lang w:val="en-US" w:eastAsia="zh-CN" w:bidi="ar-SA"/>
        </w:rPr>
      </w:pPr>
      <w:r>
        <w:rPr>
          <w:rFonts w:hint="default" w:ascii="Times New Roman" w:hAnsi="Times New Roman" w:eastAsia="仿宋" w:cs="Times New Roman"/>
          <w:kern w:val="2"/>
          <w:sz w:val="32"/>
          <w:szCs w:val="32"/>
          <w:lang w:val="en-US" w:eastAsia="zh-CN" w:bidi="ar-SA"/>
        </w:rPr>
        <w:t>该污水处理厂于2015年4月取得环评批复（怀环审[2015]39号），2018年1月通过阶段性竣工环境保护验收，</w:t>
      </w:r>
      <w:r>
        <w:rPr>
          <w:rFonts w:hint="eastAsia" w:ascii="Times New Roman" w:hAnsi="Times New Roman" w:eastAsia="仿宋" w:cs="Times New Roman"/>
          <w:kern w:val="2"/>
          <w:sz w:val="32"/>
          <w:szCs w:val="32"/>
          <w:lang w:val="en-US" w:eastAsia="zh-CN" w:bidi="ar-SA"/>
        </w:rPr>
        <w:t>并已于2022年1月20日完成入河排污口论证</w:t>
      </w:r>
      <w:r>
        <w:rPr>
          <w:rFonts w:hint="default" w:ascii="Times New Roman" w:hAnsi="Times New Roman" w:eastAsia="仿宋" w:cs="Times New Roman"/>
          <w:kern w:val="2"/>
          <w:sz w:val="32"/>
          <w:szCs w:val="32"/>
          <w:lang w:val="en-US" w:eastAsia="zh-CN" w:bidi="ar-SA"/>
        </w:rPr>
        <w:t>。目前实际处理量</w:t>
      </w:r>
      <w:r>
        <w:rPr>
          <w:rFonts w:hint="eastAsia" w:ascii="Times New Roman" w:hAnsi="Times New Roman" w:eastAsia="仿宋" w:cs="Times New Roman"/>
          <w:kern w:val="2"/>
          <w:sz w:val="32"/>
          <w:szCs w:val="32"/>
          <w:lang w:val="en-US" w:eastAsia="zh-CN" w:bidi="ar-SA"/>
        </w:rPr>
        <w:t>约</w:t>
      </w:r>
      <w:r>
        <w:rPr>
          <w:rFonts w:hint="default" w:ascii="Times New Roman" w:hAnsi="Times New Roman" w:eastAsia="仿宋" w:cs="Times New Roman"/>
          <w:kern w:val="2"/>
          <w:sz w:val="32"/>
          <w:szCs w:val="32"/>
          <w:lang w:val="en-US" w:eastAsia="zh-CN" w:bidi="ar-SA"/>
        </w:rPr>
        <w:t>为</w:t>
      </w:r>
      <w:r>
        <w:rPr>
          <w:rFonts w:hint="eastAsia" w:ascii="Times New Roman" w:hAnsi="Times New Roman" w:eastAsia="仿宋" w:cs="Times New Roman"/>
          <w:kern w:val="2"/>
          <w:sz w:val="32"/>
          <w:szCs w:val="32"/>
          <w:lang w:val="en-US" w:eastAsia="zh-CN" w:bidi="ar-SA"/>
        </w:rPr>
        <w:t>10</w:t>
      </w:r>
      <w:r>
        <w:rPr>
          <w:rFonts w:hint="default" w:ascii="Times New Roman" w:hAnsi="Times New Roman" w:eastAsia="仿宋" w:cs="Times New Roman"/>
          <w:kern w:val="2"/>
          <w:sz w:val="32"/>
          <w:szCs w:val="32"/>
          <w:lang w:val="en-US" w:eastAsia="zh-CN" w:bidi="ar-SA"/>
        </w:rPr>
        <w:t>00m</w:t>
      </w:r>
      <w:r>
        <w:rPr>
          <w:rFonts w:hint="default" w:ascii="Times New Roman" w:hAnsi="Times New Roman" w:eastAsia="仿宋" w:cs="Times New Roman"/>
          <w:kern w:val="2"/>
          <w:sz w:val="32"/>
          <w:szCs w:val="32"/>
          <w:vertAlign w:val="superscript"/>
          <w:lang w:val="en-US" w:eastAsia="zh-CN" w:bidi="ar-SA"/>
        </w:rPr>
        <w:t>3</w:t>
      </w:r>
      <w:r>
        <w:rPr>
          <w:rFonts w:hint="default" w:ascii="Times New Roman" w:hAnsi="Times New Roman" w:eastAsia="仿宋" w:cs="Times New Roman"/>
          <w:kern w:val="2"/>
          <w:sz w:val="32"/>
          <w:szCs w:val="32"/>
          <w:lang w:val="en-US" w:eastAsia="zh-CN" w:bidi="ar-SA"/>
        </w:rPr>
        <w:t>/d，污水处理厂运行稳定</w:t>
      </w:r>
      <w:r>
        <w:rPr>
          <w:rFonts w:hint="eastAsia" w:ascii="Times New Roman" w:hAnsi="Times New Roman" w:eastAsia="仿宋" w:cs="Times New Roman"/>
          <w:kern w:val="2"/>
          <w:sz w:val="32"/>
          <w:szCs w:val="32"/>
          <w:lang w:val="en-US" w:eastAsia="zh-CN" w:bidi="ar-SA"/>
        </w:rPr>
        <w:t>，出水</w:t>
      </w:r>
      <w:r>
        <w:rPr>
          <w:rFonts w:hint="default" w:ascii="Times New Roman" w:hAnsi="Times New Roman" w:eastAsia="仿宋" w:cs="Times New Roman"/>
          <w:kern w:val="2"/>
          <w:sz w:val="32"/>
          <w:szCs w:val="32"/>
          <w:lang w:val="en-US" w:eastAsia="zh-CN" w:bidi="ar-SA"/>
        </w:rPr>
        <w:t>水质能够稳定达标。新晃县前锋工业园污水处理厂于2018年2月9日建成废水总排口（COD、氨氮、总氮、总磷、Ph、流量）在线</w:t>
      </w:r>
      <w:r>
        <w:rPr>
          <w:rFonts w:hint="eastAsia" w:ascii="Times New Roman" w:hAnsi="Times New Roman" w:eastAsia="仿宋" w:cs="Times New Roman"/>
          <w:kern w:val="2"/>
          <w:sz w:val="32"/>
          <w:szCs w:val="32"/>
          <w:lang w:val="en-US" w:eastAsia="zh-CN" w:bidi="ar-SA"/>
        </w:rPr>
        <w:t>监控</w:t>
      </w:r>
      <w:r>
        <w:rPr>
          <w:rFonts w:hint="default" w:ascii="Times New Roman" w:hAnsi="Times New Roman" w:eastAsia="仿宋" w:cs="Times New Roman"/>
          <w:kern w:val="2"/>
          <w:sz w:val="32"/>
          <w:szCs w:val="32"/>
          <w:lang w:val="en-US" w:eastAsia="zh-CN" w:bidi="ar-SA"/>
        </w:rPr>
        <w:t>设施，</w:t>
      </w:r>
      <w:r>
        <w:rPr>
          <w:rFonts w:hint="eastAsia" w:ascii="Times New Roman" w:hAnsi="Times New Roman" w:eastAsia="仿宋" w:cs="Times New Roman"/>
          <w:kern w:val="2"/>
          <w:sz w:val="32"/>
          <w:szCs w:val="32"/>
          <w:lang w:val="en-US" w:eastAsia="zh-CN" w:bidi="ar-SA"/>
        </w:rPr>
        <w:t>2020年3月完成进水口</w:t>
      </w:r>
      <w:r>
        <w:rPr>
          <w:rFonts w:hint="default" w:ascii="Times New Roman" w:hAnsi="Times New Roman" w:eastAsia="仿宋" w:cs="Times New Roman"/>
          <w:kern w:val="2"/>
          <w:sz w:val="32"/>
          <w:szCs w:val="32"/>
          <w:lang w:val="en-US" w:eastAsia="zh-CN" w:bidi="ar-SA"/>
        </w:rPr>
        <w:t>（COD、氨氮）</w:t>
      </w:r>
      <w:r>
        <w:rPr>
          <w:rFonts w:hint="eastAsia" w:ascii="Times New Roman" w:hAnsi="Times New Roman" w:eastAsia="仿宋" w:cs="Times New Roman"/>
          <w:kern w:val="2"/>
          <w:sz w:val="32"/>
          <w:szCs w:val="32"/>
          <w:lang w:val="en-US" w:eastAsia="zh-CN" w:bidi="ar-SA"/>
        </w:rPr>
        <w:t>在线监控设施</w:t>
      </w:r>
      <w:r>
        <w:rPr>
          <w:rFonts w:hint="default" w:ascii="Times New Roman" w:hAnsi="Times New Roman" w:eastAsia="仿宋" w:cs="Times New Roman"/>
          <w:kern w:val="2"/>
          <w:sz w:val="32"/>
          <w:szCs w:val="32"/>
          <w:lang w:val="en-US" w:eastAsia="zh-CN" w:bidi="ar-SA"/>
        </w:rPr>
        <w:t>并</w:t>
      </w:r>
      <w:r>
        <w:rPr>
          <w:rFonts w:hint="eastAsia" w:ascii="Times New Roman" w:hAnsi="Times New Roman" w:eastAsia="仿宋" w:cs="Times New Roman"/>
          <w:kern w:val="2"/>
          <w:sz w:val="32"/>
          <w:szCs w:val="32"/>
          <w:lang w:val="en-US" w:eastAsia="zh-CN" w:bidi="ar-SA"/>
        </w:rPr>
        <w:t>全部</w:t>
      </w:r>
      <w:r>
        <w:rPr>
          <w:rFonts w:hint="default" w:ascii="Times New Roman" w:hAnsi="Times New Roman" w:eastAsia="仿宋" w:cs="Times New Roman"/>
          <w:kern w:val="2"/>
          <w:sz w:val="32"/>
          <w:szCs w:val="32"/>
          <w:lang w:val="en-US" w:eastAsia="zh-CN" w:bidi="ar-SA"/>
        </w:rPr>
        <w:t>与省在线监测平台联网。2022</w:t>
      </w:r>
      <w:r>
        <w:rPr>
          <w:rFonts w:hint="eastAsia" w:ascii="Times New Roman" w:hAnsi="Times New Roman" w:eastAsia="仿宋" w:cs="Times New Roman"/>
          <w:kern w:val="2"/>
          <w:sz w:val="32"/>
          <w:szCs w:val="32"/>
          <w:lang w:val="en-US" w:eastAsia="zh-CN" w:bidi="ar-SA"/>
        </w:rPr>
        <w:t>年取得怀化市生态环境局新晃分局关于新晃工业集中区污水处理厂入河排污口设置的批复。</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（2）柏树林园区</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柏树林园区内现有小肥牛、老蔡和嘉信三家食品企业，其中，嘉信</w:t>
      </w:r>
      <w:r>
        <w:rPr>
          <w:rFonts w:hint="eastAsia" w:ascii="Times New Roman" w:hAnsi="Times New Roman" w:eastAsia="仿宋" w:cs="Times New Roman"/>
          <w:kern w:val="2"/>
          <w:sz w:val="32"/>
          <w:szCs w:val="32"/>
          <w:lang w:val="en-US" w:eastAsia="zh-CN" w:bidi="ar-SA"/>
        </w:rPr>
        <w:t>因资金原因</w:t>
      </w:r>
      <w:r>
        <w:rPr>
          <w:rFonts w:hint="default" w:ascii="Times New Roman" w:hAnsi="Times New Roman" w:eastAsia="仿宋" w:cs="Times New Roman"/>
          <w:kern w:val="2"/>
          <w:sz w:val="32"/>
          <w:szCs w:val="32"/>
          <w:lang w:val="en-US" w:eastAsia="zh-CN" w:bidi="ar-SA"/>
        </w:rPr>
        <w:t>未投产，小肥牛已</w:t>
      </w:r>
      <w:r>
        <w:rPr>
          <w:rFonts w:hint="eastAsia" w:ascii="Times New Roman" w:hAnsi="Times New Roman" w:eastAsia="仿宋" w:cs="Times New Roman"/>
          <w:kern w:val="2"/>
          <w:sz w:val="32"/>
          <w:szCs w:val="32"/>
          <w:lang w:val="en-US" w:eastAsia="zh-CN" w:bidi="ar-SA"/>
        </w:rPr>
        <w:t>破产</w:t>
      </w:r>
      <w:r>
        <w:rPr>
          <w:rFonts w:hint="default" w:ascii="Times New Roman" w:hAnsi="Times New Roman" w:eastAsia="仿宋" w:cs="Times New Roman"/>
          <w:kern w:val="2"/>
          <w:sz w:val="32"/>
          <w:szCs w:val="32"/>
          <w:lang w:val="en-US" w:eastAsia="zh-CN" w:bidi="ar-SA"/>
        </w:rPr>
        <w:t>，另有一家在建面条生产企业，园区</w:t>
      </w:r>
      <w:r>
        <w:rPr>
          <w:rFonts w:hint="eastAsia" w:ascii="Times New Roman" w:hAnsi="Times New Roman" w:eastAsia="仿宋" w:cs="Times New Roman"/>
          <w:kern w:val="2"/>
          <w:sz w:val="32"/>
          <w:szCs w:val="32"/>
          <w:lang w:val="en-US" w:eastAsia="zh-CN" w:bidi="ar-SA"/>
        </w:rPr>
        <w:t>内</w:t>
      </w:r>
      <w:r>
        <w:rPr>
          <w:rFonts w:hint="default" w:ascii="Times New Roman" w:hAnsi="Times New Roman" w:eastAsia="仿宋" w:cs="Times New Roman"/>
          <w:kern w:val="2"/>
          <w:sz w:val="32"/>
          <w:szCs w:val="32"/>
          <w:lang w:val="en-US" w:eastAsia="zh-CN" w:bidi="ar-SA"/>
        </w:rPr>
        <w:t>企业污水经企业污水处理设施预处理后，进入新晃县城市污水处理厂，县城污水处理厂采用A2/O工艺，设计处理规模为2万m</w:t>
      </w:r>
      <w:r>
        <w:rPr>
          <w:rFonts w:hint="default" w:ascii="Times New Roman" w:hAnsi="Times New Roman" w:eastAsia="仿宋" w:cs="Times New Roman"/>
          <w:kern w:val="2"/>
          <w:sz w:val="32"/>
          <w:szCs w:val="32"/>
          <w:vertAlign w:val="superscript"/>
          <w:lang w:val="en-US" w:eastAsia="zh-CN" w:bidi="ar-SA"/>
        </w:rPr>
        <w:t>3</w:t>
      </w:r>
      <w:r>
        <w:rPr>
          <w:rFonts w:hint="default" w:ascii="Times New Roman" w:hAnsi="Times New Roman" w:eastAsia="仿宋" w:cs="Times New Roman"/>
          <w:kern w:val="2"/>
          <w:sz w:val="32"/>
          <w:szCs w:val="32"/>
          <w:lang w:val="en-US" w:eastAsia="zh-CN" w:bidi="ar-SA"/>
        </w:rPr>
        <w:t>/d，分二期建设，已全部投入运营，出水水质达《城镇污水处理厂污染物排放标准》（GB/T18918-2002）中一级A标准后外排舞水。</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新晃县城市污水处理厂提质改造工程已于2015年取得怀化市环保局批复（怀环审[2015]53号）。</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排污口下游最近的地表水水质管控断面名称鱼市断面、蒋家溪断面，水功能区划II类，监测达标率100%，无超标因子，最大超标倍数0倍，园区内无黑臭水体。</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color w:val="auto"/>
          <w:lang w:val="en-US" w:eastAsia="zh-CN"/>
        </w:rPr>
      </w:pPr>
      <w:bookmarkStart w:id="14" w:name="_Toc27342"/>
      <w:r>
        <w:rPr>
          <w:rFonts w:hint="default" w:ascii="Times New Roman" w:hAnsi="Times New Roman" w:cs="Times New Roman"/>
          <w:b/>
          <w:color w:val="auto"/>
          <w:lang w:val="en-US" w:eastAsia="zh-CN"/>
        </w:rPr>
        <w:t>2.4大气环境管理</w:t>
      </w:r>
      <w:bookmarkEnd w:id="14"/>
    </w:p>
    <w:p>
      <w:pPr>
        <w:pStyle w:val="16"/>
        <w:spacing w:after="0" w:line="600" w:lineRule="exact"/>
        <w:ind w:left="0" w:leftChars="0" w:firstLine="640" w:firstLineChars="200"/>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园区内涉及工业废气外排企业数量</w:t>
      </w:r>
      <w:r>
        <w:rPr>
          <w:rFonts w:hint="eastAsia" w:ascii="Times New Roman" w:hAnsi="Times New Roman" w:eastAsia="仿宋" w:cs="Times New Roman"/>
          <w:color w:val="auto"/>
          <w:kern w:val="2"/>
          <w:sz w:val="32"/>
          <w:szCs w:val="32"/>
          <w:highlight w:val="none"/>
          <w:lang w:val="en-US" w:eastAsia="zh-CN" w:bidi="ar-SA"/>
        </w:rPr>
        <w:t>14</w:t>
      </w:r>
      <w:r>
        <w:rPr>
          <w:rFonts w:hint="default" w:ascii="Times New Roman" w:hAnsi="Times New Roman" w:eastAsia="仿宋" w:cs="Times New Roman"/>
          <w:color w:val="auto"/>
          <w:kern w:val="2"/>
          <w:sz w:val="32"/>
          <w:szCs w:val="32"/>
          <w:highlight w:val="none"/>
          <w:lang w:val="en-US" w:eastAsia="zh-CN" w:bidi="ar-SA"/>
        </w:rPr>
        <w:t>个，大气质量监测达标率100%，超标因子无。大气污染物总排放量：二氧化硫</w:t>
      </w:r>
      <w:r>
        <w:rPr>
          <w:rFonts w:hint="eastAsia" w:ascii="Times New Roman" w:hAnsi="Times New Roman" w:eastAsia="仿宋" w:cs="Times New Roman"/>
          <w:color w:val="auto"/>
          <w:kern w:val="2"/>
          <w:sz w:val="32"/>
          <w:szCs w:val="32"/>
          <w:highlight w:val="none"/>
          <w:lang w:val="en-US" w:eastAsia="zh-CN" w:bidi="ar-SA"/>
        </w:rPr>
        <w:t>1.054</w:t>
      </w:r>
      <w:r>
        <w:rPr>
          <w:rFonts w:hint="default" w:ascii="Times New Roman" w:hAnsi="Times New Roman" w:eastAsia="仿宋" w:cs="Times New Roman"/>
          <w:color w:val="auto"/>
          <w:kern w:val="2"/>
          <w:sz w:val="32"/>
          <w:szCs w:val="32"/>
          <w:highlight w:val="none"/>
          <w:lang w:val="en-US" w:eastAsia="zh-CN" w:bidi="ar-SA"/>
        </w:rPr>
        <w:t>t/a，氮氧化物</w:t>
      </w:r>
      <w:r>
        <w:rPr>
          <w:rFonts w:hint="eastAsia" w:ascii="Times New Roman" w:hAnsi="Times New Roman" w:eastAsia="仿宋" w:cs="Times New Roman"/>
          <w:color w:val="auto"/>
          <w:kern w:val="2"/>
          <w:sz w:val="32"/>
          <w:szCs w:val="32"/>
          <w:highlight w:val="none"/>
          <w:lang w:val="en-US" w:eastAsia="zh-CN" w:bidi="ar-SA"/>
        </w:rPr>
        <w:t>6.51</w:t>
      </w:r>
      <w:r>
        <w:rPr>
          <w:rFonts w:hint="default" w:ascii="Times New Roman" w:hAnsi="Times New Roman" w:eastAsia="仿宋" w:cs="Times New Roman"/>
          <w:color w:val="auto"/>
          <w:kern w:val="2"/>
          <w:sz w:val="32"/>
          <w:szCs w:val="32"/>
          <w:highlight w:val="none"/>
          <w:lang w:val="en-US" w:eastAsia="zh-CN" w:bidi="ar-SA"/>
        </w:rPr>
        <w:t>/a。</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lang w:val="en-US" w:eastAsia="zh-CN"/>
        </w:rPr>
      </w:pPr>
      <w:bookmarkStart w:id="15" w:name="_Toc658"/>
      <w:r>
        <w:rPr>
          <w:rFonts w:hint="default" w:ascii="Times New Roman" w:hAnsi="Times New Roman" w:cs="Times New Roman"/>
          <w:b/>
          <w:lang w:val="en-US" w:eastAsia="zh-CN"/>
        </w:rPr>
        <w:t>2.5土壤环境管理</w:t>
      </w:r>
      <w:bookmarkEnd w:id="15"/>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bookmarkStart w:id="16" w:name="_Toc15882"/>
      <w:r>
        <w:rPr>
          <w:rFonts w:hint="default" w:ascii="Times New Roman" w:hAnsi="Times New Roman" w:eastAsia="仿宋" w:cs="Times New Roman"/>
          <w:kern w:val="2"/>
          <w:sz w:val="32"/>
          <w:szCs w:val="32"/>
          <w:lang w:val="en-US" w:eastAsia="zh-CN" w:bidi="ar-SA"/>
        </w:rPr>
        <w:t>土壤环境质量监测</w:t>
      </w:r>
      <w:r>
        <w:rPr>
          <w:rFonts w:hint="eastAsia" w:ascii="Times New Roman" w:hAnsi="Times New Roman" w:eastAsia="仿宋" w:cs="Times New Roman"/>
          <w:kern w:val="2"/>
          <w:sz w:val="32"/>
          <w:szCs w:val="32"/>
          <w:lang w:val="en-US" w:eastAsia="zh-CN" w:bidi="ar-SA"/>
        </w:rPr>
        <w:t>二</w:t>
      </w:r>
      <w:r>
        <w:rPr>
          <w:rFonts w:hint="default" w:ascii="Times New Roman" w:hAnsi="Times New Roman" w:eastAsia="仿宋" w:cs="Times New Roman"/>
          <w:kern w:val="2"/>
          <w:sz w:val="32"/>
          <w:szCs w:val="32"/>
          <w:lang w:val="en-US" w:eastAsia="zh-CN" w:bidi="ar-SA"/>
        </w:rPr>
        <w:t>次，达标率100%，超标因子无，最大超标倍数</w:t>
      </w:r>
      <w:r>
        <w:rPr>
          <w:rFonts w:hint="eastAsia" w:ascii="Times New Roman" w:hAnsi="Times New Roman" w:eastAsia="仿宋" w:cs="Times New Roman"/>
          <w:kern w:val="2"/>
          <w:sz w:val="32"/>
          <w:szCs w:val="32"/>
          <w:lang w:val="en-US" w:eastAsia="zh-CN" w:bidi="ar-SA"/>
        </w:rPr>
        <w:t>0</w:t>
      </w:r>
      <w:r>
        <w:rPr>
          <w:rFonts w:hint="default" w:ascii="Times New Roman" w:hAnsi="Times New Roman" w:eastAsia="仿宋" w:cs="Times New Roman"/>
          <w:kern w:val="2"/>
          <w:sz w:val="32"/>
          <w:szCs w:val="32"/>
          <w:lang w:val="en-US" w:eastAsia="zh-CN" w:bidi="ar-SA"/>
        </w:rPr>
        <w:t>倍，园区内无涉及污染地块。</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lang w:val="en-US" w:eastAsia="zh-CN"/>
        </w:rPr>
      </w:pPr>
      <w:r>
        <w:rPr>
          <w:rFonts w:hint="default" w:ascii="Times New Roman" w:hAnsi="Times New Roman" w:cs="Times New Roman"/>
          <w:b/>
          <w:lang w:val="en-US" w:eastAsia="zh-CN"/>
        </w:rPr>
        <w:t>2.6固体废物管理</w:t>
      </w:r>
      <w:bookmarkEnd w:id="16"/>
    </w:p>
    <w:p>
      <w:pPr>
        <w:pStyle w:val="16"/>
        <w:spacing w:after="0" w:line="600" w:lineRule="exact"/>
        <w:ind w:left="0" w:leftChars="0" w:firstLine="640" w:firstLineChars="200"/>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园区一般工业固体废物产生量</w:t>
      </w:r>
      <w:r>
        <w:rPr>
          <w:rFonts w:hint="eastAsia" w:ascii="Times New Roman" w:hAnsi="Times New Roman" w:eastAsia="仿宋" w:cs="Times New Roman"/>
          <w:color w:val="auto"/>
          <w:kern w:val="2"/>
          <w:sz w:val="32"/>
          <w:szCs w:val="32"/>
          <w:highlight w:val="none"/>
          <w:lang w:val="en-US" w:eastAsia="zh-CN" w:bidi="ar-SA"/>
        </w:rPr>
        <w:t>19628.73</w:t>
      </w:r>
      <w:r>
        <w:rPr>
          <w:rFonts w:hint="default" w:ascii="Times New Roman" w:hAnsi="Times New Roman" w:eastAsia="仿宋" w:cs="Times New Roman"/>
          <w:color w:val="auto"/>
          <w:kern w:val="2"/>
          <w:sz w:val="32"/>
          <w:szCs w:val="32"/>
          <w:highlight w:val="none"/>
          <w:lang w:val="en-US" w:eastAsia="zh-CN" w:bidi="ar-SA"/>
        </w:rPr>
        <w:t>t/a，其中，自行综合利用及处置</w:t>
      </w:r>
      <w:r>
        <w:rPr>
          <w:rFonts w:hint="eastAsia" w:ascii="Times New Roman" w:hAnsi="Times New Roman" w:eastAsia="仿宋" w:cs="Times New Roman"/>
          <w:color w:val="auto"/>
          <w:kern w:val="2"/>
          <w:sz w:val="32"/>
          <w:szCs w:val="32"/>
          <w:highlight w:val="none"/>
          <w:lang w:val="en-US" w:eastAsia="zh-CN" w:bidi="ar-SA"/>
        </w:rPr>
        <w:t>、委托处理合计19628.73</w:t>
      </w:r>
      <w:r>
        <w:rPr>
          <w:rFonts w:hint="default" w:ascii="Times New Roman" w:hAnsi="Times New Roman" w:eastAsia="仿宋" w:cs="Times New Roman"/>
          <w:color w:val="auto"/>
          <w:kern w:val="2"/>
          <w:sz w:val="32"/>
          <w:szCs w:val="32"/>
          <w:highlight w:val="none"/>
          <w:lang w:val="en-US" w:eastAsia="zh-CN" w:bidi="ar-SA"/>
        </w:rPr>
        <w:t>t/a。危险废物产生企业数量</w:t>
      </w:r>
      <w:r>
        <w:rPr>
          <w:rFonts w:hint="eastAsia" w:ascii="Times New Roman" w:hAnsi="Times New Roman" w:eastAsia="仿宋" w:cs="Times New Roman"/>
          <w:color w:val="auto"/>
          <w:kern w:val="2"/>
          <w:sz w:val="32"/>
          <w:szCs w:val="32"/>
          <w:highlight w:val="none"/>
          <w:lang w:val="en-US" w:eastAsia="zh-CN" w:bidi="ar-SA"/>
        </w:rPr>
        <w:t>5</w:t>
      </w:r>
      <w:r>
        <w:rPr>
          <w:rFonts w:hint="default" w:ascii="Times New Roman" w:hAnsi="Times New Roman" w:eastAsia="仿宋" w:cs="Times New Roman"/>
          <w:color w:val="auto"/>
          <w:kern w:val="2"/>
          <w:sz w:val="32"/>
          <w:szCs w:val="32"/>
          <w:highlight w:val="none"/>
          <w:lang w:val="en-US" w:eastAsia="zh-CN" w:bidi="ar-SA"/>
        </w:rPr>
        <w:t>个，产生量</w:t>
      </w:r>
      <w:r>
        <w:rPr>
          <w:rFonts w:hint="default" w:ascii="Times New Roman" w:hAnsi="Times New Roman" w:eastAsia="仿宋" w:cs="Times New Roman"/>
        </w:rPr>
        <w:t>500.83</w:t>
      </w:r>
      <w:r>
        <w:rPr>
          <w:rFonts w:hint="default" w:ascii="Times New Roman" w:hAnsi="Times New Roman" w:eastAsia="仿宋" w:cs="Times New Roman"/>
          <w:color w:val="auto"/>
          <w:kern w:val="2"/>
          <w:sz w:val="32"/>
          <w:szCs w:val="32"/>
          <w:highlight w:val="none"/>
          <w:lang w:val="en-US" w:eastAsia="zh-CN" w:bidi="ar-SA"/>
        </w:rPr>
        <w:t>t/a，自行综合利用</w:t>
      </w:r>
      <w:r>
        <w:rPr>
          <w:rFonts w:hint="default" w:ascii="Times New Roman" w:hAnsi="Times New Roman" w:eastAsia="仿宋" w:cs="Times New Roman"/>
        </w:rPr>
        <w:t>8.98</w:t>
      </w:r>
      <w:r>
        <w:rPr>
          <w:rFonts w:hint="eastAsia" w:ascii="Times New Roman" w:hAnsi="Times New Roman" w:eastAsia="仿宋" w:cs="Times New Roman"/>
          <w:color w:val="auto"/>
          <w:kern w:val="2"/>
          <w:sz w:val="32"/>
          <w:szCs w:val="32"/>
          <w:highlight w:val="none"/>
          <w:lang w:val="en-US" w:eastAsia="zh-CN" w:bidi="ar-SA"/>
        </w:rPr>
        <w:t>、</w:t>
      </w:r>
      <w:r>
        <w:rPr>
          <w:rFonts w:hint="default" w:ascii="Times New Roman" w:hAnsi="Times New Roman" w:eastAsia="仿宋" w:cs="Times New Roman"/>
          <w:color w:val="auto"/>
          <w:kern w:val="2"/>
          <w:sz w:val="32"/>
          <w:szCs w:val="32"/>
          <w:highlight w:val="none"/>
          <w:lang w:val="en-US" w:eastAsia="zh-CN" w:bidi="ar-SA"/>
        </w:rPr>
        <w:t>委托处理</w:t>
      </w:r>
      <w:r>
        <w:rPr>
          <w:rFonts w:hint="eastAsia" w:ascii="Times New Roman" w:hAnsi="Times New Roman" w:eastAsia="仿宋" w:cs="Times New Roman"/>
          <w:color w:val="auto"/>
          <w:kern w:val="2"/>
          <w:sz w:val="32"/>
          <w:szCs w:val="32"/>
          <w:highlight w:val="none"/>
          <w:lang w:val="en-US" w:eastAsia="zh-CN" w:bidi="ar-SA"/>
        </w:rPr>
        <w:t>合计1.4852</w:t>
      </w:r>
      <w:r>
        <w:rPr>
          <w:rFonts w:hint="default" w:ascii="Times New Roman" w:hAnsi="Times New Roman" w:eastAsia="仿宋" w:cs="Times New Roman"/>
          <w:color w:val="auto"/>
          <w:kern w:val="2"/>
          <w:sz w:val="32"/>
          <w:szCs w:val="32"/>
          <w:highlight w:val="none"/>
          <w:lang w:val="en-US" w:eastAsia="zh-CN" w:bidi="ar-SA"/>
        </w:rPr>
        <w:t>t/a。</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0" w:firstLineChars="200"/>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园区集中的工业固废处理设施情况：园区配套含重金属固废堆渣场一座，总库容34万m³，处置方式为填埋。</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lang w:val="en-US" w:eastAsia="zh-CN"/>
        </w:rPr>
      </w:pPr>
      <w:bookmarkStart w:id="17" w:name="_Toc28360"/>
      <w:r>
        <w:rPr>
          <w:rFonts w:hint="default" w:ascii="Times New Roman" w:hAnsi="Times New Roman" w:cs="Times New Roman"/>
          <w:b/>
          <w:lang w:val="en-US" w:eastAsia="zh-CN"/>
        </w:rPr>
        <w:t>2.7投诉管理</w:t>
      </w:r>
      <w:bookmarkEnd w:id="17"/>
    </w:p>
    <w:p>
      <w:pPr>
        <w:pStyle w:val="16"/>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本年度园区共受理各类（含各级督查、各级环保投诉等）投诉</w:t>
      </w:r>
      <w:r>
        <w:rPr>
          <w:rFonts w:hint="eastAsia" w:ascii="Times New Roman" w:hAnsi="Times New Roman" w:eastAsia="仿宋" w:cs="Times New Roman"/>
          <w:kern w:val="2"/>
          <w:sz w:val="32"/>
          <w:szCs w:val="32"/>
          <w:lang w:val="en-US" w:eastAsia="zh-CN" w:bidi="ar-SA"/>
        </w:rPr>
        <w:t>0</w:t>
      </w:r>
      <w:r>
        <w:rPr>
          <w:rFonts w:hint="default" w:ascii="Times New Roman" w:hAnsi="Times New Roman" w:eastAsia="仿宋" w:cs="Times New Roman"/>
          <w:kern w:val="2"/>
          <w:sz w:val="32"/>
          <w:szCs w:val="32"/>
          <w:lang w:val="en-US" w:eastAsia="zh-CN" w:bidi="ar-SA"/>
        </w:rPr>
        <w:t>件，环保督察交办问题</w:t>
      </w:r>
      <w:r>
        <w:rPr>
          <w:rFonts w:hint="eastAsia" w:ascii="Times New Roman" w:hAnsi="Times New Roman" w:eastAsia="仿宋" w:cs="Times New Roman"/>
          <w:kern w:val="2"/>
          <w:sz w:val="32"/>
          <w:szCs w:val="32"/>
          <w:lang w:val="en-US" w:eastAsia="zh-CN" w:bidi="ar-SA"/>
        </w:rPr>
        <w:t>0</w:t>
      </w:r>
      <w:r>
        <w:rPr>
          <w:rFonts w:hint="default" w:ascii="Times New Roman" w:hAnsi="Times New Roman" w:eastAsia="仿宋" w:cs="Times New Roman"/>
          <w:kern w:val="2"/>
          <w:sz w:val="32"/>
          <w:szCs w:val="32"/>
          <w:lang w:val="en-US" w:eastAsia="zh-CN" w:bidi="ar-SA"/>
        </w:rPr>
        <w:t>件</w:t>
      </w:r>
      <w:r>
        <w:rPr>
          <w:rFonts w:hint="eastAsia" w:ascii="Times New Roman" w:hAnsi="Times New Roman" w:eastAsia="仿宋" w:cs="Times New Roman"/>
          <w:kern w:val="2"/>
          <w:sz w:val="32"/>
          <w:szCs w:val="32"/>
          <w:lang w:val="en-US" w:eastAsia="zh-CN" w:bidi="ar-SA"/>
        </w:rPr>
        <w:t>。</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lang w:val="en-US" w:eastAsia="zh-CN"/>
        </w:rPr>
      </w:pPr>
      <w:bookmarkStart w:id="18" w:name="_Toc12499"/>
      <w:r>
        <w:rPr>
          <w:rFonts w:hint="default" w:ascii="Times New Roman" w:hAnsi="Times New Roman" w:cs="Times New Roman"/>
          <w:b/>
          <w:lang w:val="en-US" w:eastAsia="zh-CN"/>
        </w:rPr>
        <w:t>2.8园区信用评价</w:t>
      </w:r>
      <w:bookmarkEnd w:id="18"/>
    </w:p>
    <w:p>
      <w:pPr>
        <w:pStyle w:val="16"/>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根据湖南省生态环境厅202</w:t>
      </w:r>
      <w:r>
        <w:rPr>
          <w:rFonts w:hint="eastAsia" w:ascii="Times New Roman" w:hAnsi="Times New Roman" w:eastAsia="仿宋" w:cs="Times New Roman"/>
          <w:kern w:val="2"/>
          <w:sz w:val="32"/>
          <w:szCs w:val="32"/>
          <w:lang w:val="en-US" w:eastAsia="zh-CN" w:bidi="ar-SA"/>
        </w:rPr>
        <w:t>3</w:t>
      </w:r>
      <w:r>
        <w:rPr>
          <w:rFonts w:hint="default" w:ascii="Times New Roman" w:hAnsi="Times New Roman" w:eastAsia="仿宋" w:cs="Times New Roman"/>
          <w:kern w:val="2"/>
          <w:sz w:val="32"/>
          <w:szCs w:val="32"/>
          <w:lang w:val="en-US" w:eastAsia="zh-CN" w:bidi="ar-SA"/>
        </w:rPr>
        <w:t>年</w:t>
      </w:r>
      <w:r>
        <w:rPr>
          <w:rFonts w:hint="eastAsia" w:ascii="Times New Roman" w:hAnsi="Times New Roman" w:eastAsia="仿宋" w:cs="Times New Roman"/>
          <w:kern w:val="2"/>
          <w:sz w:val="32"/>
          <w:szCs w:val="32"/>
          <w:lang w:val="en-US" w:eastAsia="zh-CN" w:bidi="ar-SA"/>
        </w:rPr>
        <w:t>1</w:t>
      </w:r>
      <w:r>
        <w:rPr>
          <w:rFonts w:hint="default" w:ascii="Times New Roman" w:hAnsi="Times New Roman" w:eastAsia="仿宋" w:cs="Times New Roman"/>
          <w:kern w:val="2"/>
          <w:sz w:val="32"/>
          <w:szCs w:val="32"/>
          <w:lang w:val="en-US" w:eastAsia="zh-CN" w:bidi="ar-SA"/>
        </w:rPr>
        <w:t>月发布的《湖南省产业园区环保信用评价管理办法》，产业园区环保信用等级根据环保信用分值高低分为环保诚信园区、环保合格园区、环保风险园区三个等级。</w:t>
      </w:r>
    </w:p>
    <w:p>
      <w:pPr>
        <w:pStyle w:val="16"/>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环保诚信园区:环保信用分值10分及以上</w:t>
      </w:r>
      <w:r>
        <w:rPr>
          <w:rFonts w:hint="eastAsia" w:ascii="Times New Roman" w:hAnsi="Times New Roman" w:eastAsia="仿宋" w:cs="Times New Roman"/>
          <w:kern w:val="2"/>
          <w:sz w:val="32"/>
          <w:szCs w:val="32"/>
          <w:lang w:val="en-US" w:eastAsia="zh-CN" w:bidi="ar-SA"/>
        </w:rPr>
        <w:t>；</w:t>
      </w:r>
    </w:p>
    <w:p>
      <w:pPr>
        <w:pStyle w:val="16"/>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环保合格园区:环保信用分值5分以上,10分以下</w:t>
      </w:r>
      <w:r>
        <w:rPr>
          <w:rFonts w:hint="eastAsia" w:ascii="Times New Roman" w:hAnsi="Times New Roman" w:eastAsia="仿宋" w:cs="Times New Roman"/>
          <w:kern w:val="2"/>
          <w:sz w:val="32"/>
          <w:szCs w:val="32"/>
          <w:lang w:val="en-US" w:eastAsia="zh-CN" w:bidi="ar-SA"/>
        </w:rPr>
        <w:t>；</w:t>
      </w:r>
    </w:p>
    <w:p>
      <w:pPr>
        <w:pStyle w:val="16"/>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环保风险园区:环保信用分值5分及以下。</w:t>
      </w:r>
    </w:p>
    <w:p>
      <w:pPr>
        <w:pStyle w:val="16"/>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kern w:val="2"/>
          <w:sz w:val="32"/>
          <w:szCs w:val="32"/>
          <w:lang w:val="en-US" w:eastAsia="zh-CN" w:bidi="ar-SA"/>
        </w:rPr>
        <w:sectPr>
          <w:pgSz w:w="11906" w:h="16838"/>
          <w:pgMar w:top="1083" w:right="1440" w:bottom="1083" w:left="1440" w:header="851" w:footer="992" w:gutter="0"/>
          <w:pgBorders>
            <w:top w:val="none" w:sz="0" w:space="0"/>
            <w:left w:val="none" w:sz="0" w:space="0"/>
            <w:bottom w:val="none" w:sz="0" w:space="0"/>
            <w:right w:val="none" w:sz="0" w:space="0"/>
          </w:pgBorders>
          <w:pgNumType w:fmt="decimal"/>
          <w:cols w:space="720" w:num="1"/>
          <w:rtlGutter w:val="0"/>
          <w:docGrid w:type="lines" w:linePitch="451" w:charSpace="0"/>
        </w:sectPr>
      </w:pPr>
      <w:bookmarkStart w:id="19" w:name="_Hlk67148531"/>
      <w:r>
        <w:rPr>
          <w:rFonts w:hint="default" w:ascii="Times New Roman" w:hAnsi="Times New Roman" w:eastAsia="仿宋" w:cs="Times New Roman"/>
          <w:kern w:val="2"/>
          <w:sz w:val="32"/>
          <w:szCs w:val="32"/>
          <w:lang w:val="en-US" w:eastAsia="zh-CN" w:bidi="ar-SA"/>
        </w:rPr>
        <w:t>园区按照《湖南省产业园区环保信用评价管理办法》</w:t>
      </w:r>
      <w:bookmarkEnd w:id="19"/>
      <w:r>
        <w:rPr>
          <w:rFonts w:hint="default" w:ascii="Times New Roman" w:hAnsi="Times New Roman" w:eastAsia="仿宋" w:cs="Times New Roman"/>
          <w:kern w:val="2"/>
          <w:sz w:val="32"/>
          <w:szCs w:val="32"/>
          <w:lang w:val="en-US" w:eastAsia="zh-CN" w:bidi="ar-SA"/>
        </w:rPr>
        <w:t>的要求，结合环境准入、环境</w:t>
      </w:r>
      <w:r>
        <w:rPr>
          <w:rFonts w:hint="eastAsia" w:ascii="Times New Roman" w:hAnsi="Times New Roman" w:eastAsia="仿宋" w:cs="Times New Roman"/>
          <w:kern w:val="2"/>
          <w:sz w:val="32"/>
          <w:szCs w:val="32"/>
          <w:lang w:val="en-US" w:eastAsia="zh-CN" w:bidi="ar-SA"/>
        </w:rPr>
        <w:t>监管</w:t>
      </w:r>
      <w:r>
        <w:rPr>
          <w:rFonts w:hint="default" w:ascii="Times New Roman" w:hAnsi="Times New Roman" w:eastAsia="仿宋" w:cs="Times New Roman"/>
          <w:kern w:val="2"/>
          <w:sz w:val="32"/>
          <w:szCs w:val="32"/>
          <w:lang w:val="en-US" w:eastAsia="zh-CN" w:bidi="ar-SA"/>
        </w:rPr>
        <w:t>、风险防控、</w:t>
      </w:r>
      <w:r>
        <w:rPr>
          <w:rFonts w:hint="eastAsia" w:ascii="Times New Roman" w:hAnsi="Times New Roman" w:eastAsia="仿宋" w:cs="Times New Roman"/>
          <w:kern w:val="2"/>
          <w:sz w:val="32"/>
          <w:szCs w:val="32"/>
          <w:lang w:val="en-US" w:eastAsia="zh-CN" w:bidi="ar-SA"/>
        </w:rPr>
        <w:t>绿色发展、公众参与及其他</w:t>
      </w:r>
      <w:r>
        <w:rPr>
          <w:rFonts w:hint="default" w:ascii="Times New Roman" w:hAnsi="Times New Roman" w:eastAsia="仿宋" w:cs="Times New Roman"/>
          <w:kern w:val="2"/>
          <w:sz w:val="32"/>
          <w:szCs w:val="32"/>
          <w:lang w:val="en-US" w:eastAsia="zh-CN" w:bidi="ar-SA"/>
        </w:rPr>
        <w:t>个</w:t>
      </w:r>
      <w:r>
        <w:rPr>
          <w:rFonts w:hint="eastAsia" w:ascii="Times New Roman" w:hAnsi="Times New Roman" w:eastAsia="仿宋" w:cs="Times New Roman"/>
          <w:kern w:val="2"/>
          <w:sz w:val="32"/>
          <w:szCs w:val="32"/>
          <w:lang w:val="en-US" w:eastAsia="zh-CN" w:bidi="ar-SA"/>
        </w:rPr>
        <w:t>六</w:t>
      </w:r>
      <w:r>
        <w:rPr>
          <w:rFonts w:hint="default" w:ascii="Times New Roman" w:hAnsi="Times New Roman" w:eastAsia="仿宋" w:cs="Times New Roman"/>
          <w:kern w:val="2"/>
          <w:sz w:val="32"/>
          <w:szCs w:val="32"/>
          <w:lang w:val="en-US" w:eastAsia="zh-CN" w:bidi="ar-SA"/>
        </w:rPr>
        <w:t>方面发展建设实际情况，进行环保信用系统化评价，评价结果如下。</w:t>
      </w:r>
    </w:p>
    <w:p>
      <w:pPr>
        <w:bidi w:val="0"/>
        <w:ind w:left="0" w:leftChars="0" w:firstLine="0" w:firstLineChars="0"/>
        <w:jc w:val="center"/>
        <w:rPr>
          <w:rFonts w:hint="default"/>
          <w:color w:val="auto"/>
          <w:vertAlign w:val="baseline"/>
          <w:lang w:val="en-US" w:eastAsia="zh-CN"/>
        </w:rPr>
      </w:pPr>
      <w:r>
        <w:rPr>
          <w:rFonts w:hint="default" w:ascii="Times New Roman" w:hAnsi="Times New Roman" w:eastAsia="仿宋" w:cs="Times New Roman"/>
          <w:b w:val="0"/>
          <w:bCs/>
          <w:color w:val="333333"/>
          <w:kern w:val="0"/>
          <w:sz w:val="28"/>
          <w:szCs w:val="40"/>
          <w:shd w:val="clear" w:color="auto" w:fill="FFFFFF"/>
          <w:lang w:val="en-US" w:eastAsia="zh-CN" w:bidi="ar-SA"/>
        </w:rPr>
        <w:t>表</w:t>
      </w:r>
      <w:r>
        <w:rPr>
          <w:rFonts w:hint="eastAsia" w:ascii="Times New Roman" w:hAnsi="Times New Roman" w:eastAsia="仿宋" w:cs="Times New Roman"/>
          <w:b w:val="0"/>
          <w:bCs/>
          <w:color w:val="333333"/>
          <w:kern w:val="0"/>
          <w:sz w:val="28"/>
          <w:szCs w:val="40"/>
          <w:shd w:val="clear" w:color="auto" w:fill="FFFFFF"/>
          <w:lang w:val="en-US" w:eastAsia="zh-CN" w:bidi="ar-SA"/>
        </w:rPr>
        <w:t>8</w:t>
      </w:r>
      <w:r>
        <w:rPr>
          <w:rFonts w:hint="default" w:ascii="Times New Roman" w:hAnsi="Times New Roman" w:eastAsia="仿宋" w:cs="Times New Roman"/>
          <w:b w:val="0"/>
          <w:bCs/>
          <w:color w:val="333333"/>
          <w:kern w:val="0"/>
          <w:sz w:val="28"/>
          <w:szCs w:val="40"/>
          <w:shd w:val="clear" w:color="auto" w:fill="FFFFFF"/>
          <w:lang w:val="en-US" w:eastAsia="zh-CN" w:bidi="ar-SA"/>
        </w:rPr>
        <w:t xml:space="preserve">  </w:t>
      </w:r>
      <w:r>
        <w:rPr>
          <w:rFonts w:hint="eastAsia" w:ascii="Times New Roman" w:hAnsi="Times New Roman" w:eastAsia="仿宋" w:cs="Times New Roman"/>
          <w:b w:val="0"/>
          <w:bCs/>
          <w:color w:val="333333"/>
          <w:kern w:val="0"/>
          <w:sz w:val="28"/>
          <w:szCs w:val="40"/>
          <w:shd w:val="clear" w:color="auto" w:fill="FFFFFF"/>
          <w:lang w:val="en-US" w:eastAsia="zh-CN" w:bidi="ar-SA"/>
        </w:rPr>
        <w:t>湖南省产业园区环保信用自评表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670"/>
        <w:gridCol w:w="720"/>
        <w:gridCol w:w="5985"/>
        <w:gridCol w:w="3255"/>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670"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评价标准</w:t>
            </w:r>
          </w:p>
        </w:tc>
        <w:tc>
          <w:tcPr>
            <w:tcW w:w="720"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分值（分）</w:t>
            </w:r>
          </w:p>
        </w:tc>
        <w:tc>
          <w:tcPr>
            <w:tcW w:w="5985"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评分标准</w:t>
            </w:r>
          </w:p>
        </w:tc>
        <w:tc>
          <w:tcPr>
            <w:tcW w:w="3255"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自评价情况</w:t>
            </w:r>
          </w:p>
        </w:tc>
        <w:tc>
          <w:tcPr>
            <w:tcW w:w="831"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产业园区未按要求开展规划环评或环境影响跟踪评价</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（1）园区规划发生重大调整或修订，依法重新或补充开展了规划环境影响评价工作；及时开展了规划环境影响跟踪评价。不扣分。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（2）园区按要求正在组织开展规划环境影响评价或规划环境影响跟踪评价工作，已召开专家审查会，暂未取得审查意见。扣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（3）园区未按要求及时开展规划环境影响跟踪评价、规划发生重大调整或修订未按要求开展规划环境影响评价。扣 1 分</w:t>
            </w:r>
            <w:r>
              <w:rPr>
                <w:rFonts w:hint="eastAsia" w:eastAsia="仿宋" w:cs="仿宋"/>
                <w:color w:val="auto"/>
                <w:sz w:val="24"/>
                <w:szCs w:val="24"/>
                <w:vertAlign w:val="baseline"/>
                <w:lang w:val="en-US" w:eastAsia="zh-CN"/>
              </w:rPr>
              <w:t>。</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2021年委托湖南省环境保护科学研究院编制了《湖南新晃侗族自治县产业开发区调扩区规划环境影响报告书》，并于2021年10月取得《关于湖南新晃侗族自治县产业开发区调扩区规划环境影响报告书审查意见的函》（湘环评函[2021]32号）</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产业园区未落实“三线</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一单”生态环境分区管</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控等要求。</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（1）园区落实了“三线一单”生态环境分区管控等要求。不扣分。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（2）园区存在未落实“三线一单”生态环境分区管控等要求。扣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园区落实了“三线一单”生态环境分区管控等要求</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化工园区认定后因生态</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环境保护工作不达标导</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致复核不合格或被摘</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牌。</w:t>
            </w:r>
          </w:p>
        </w:tc>
        <w:tc>
          <w:tcPr>
            <w:tcW w:w="720"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（1）化工园区认定后未因生态环境保护工作不达标导致复核不合格或被摘牌。不扣分。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（2）化工园区因生态环境保护工作不达标导致复核不合格，被要求限期整改。扣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（3）化工园区因生态环境保护工作不达标导致复核被摘牌。扣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于2023年9月11日取得《关于认定新晃产业开发区新晃化工片区)为化工园区的通知》（湘发改园区[2023]604号），暂未开展复核</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产业园区内存在企事业</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单位未依法开展环境影</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响评价或未按要求申领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排污许可证和辐射安全</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许可证。</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（1）园区内企事业单位均已依法开展环境影响评价，并按要求申领排污许可证和辐射安全许可证。不扣分。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（2）园区内存在企事业单位未依法开展环境影响评价、未及时申领排污许可证、未及时申领辐射安全许可证。扣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区内企事业单位均已依法开展环境影响评价，并按要求申领排污许可证</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产业园区未按要求进行</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废水收集处理或未达标</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排放。</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-2</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（1）园区按要求进行了废水收集处理，且达标排放。不扣分。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（2）有涉重金属企业的园区未建设集中式重金属污水处理设施。扣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（3）园区内存在企业废水未纳管。扣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（4）园区污水处理厂废水存在真实超标情况。扣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（5）园区污水处理厂进水口或出水口未安装自动监控设施或未联网。扣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（6）园区内存在通过雨污混排、清污混排等方式偷排废水行为、暗设管道偷排行为。扣 1分。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（7）园区存在不能依托城镇污水处理厂而依托了的情况。扣 1分。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（8）园区内存在工业污水未按规定进行预处理的情况。扣 1分。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（9）园区污水处理厂未办理入河排污口审批。扣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第（2）至（9）项累计最高扣 2分。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园区按要求进行了废水收集处理，且达标排放</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园区内存在工业炉窑、</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锅炉或涉 VOCs 重点行业企事业单位未按规定建设、运行有效收集处理设施并达标排放。</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（1）园区内工业炉窑、锅炉或涉 VOCs 重点行业企事业单位按规定建设、运行有效收集处理设施并达标排放。不扣分。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（2）园区涉 VOCs 重点行业企事业单位未按国家、省相关要求开展挥发性有机物治理突出问题排查、整治并建立相关台账的，每发现 1 家企业扣 0.5分。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（3）园区内存在工业炉窑或涉VOCs 重点行业企事业单位未按规定建设、运行有效收集处理设施并达标排放。扣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第（2）、（3）项累计最高扣 1分。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园区内工业炉窑、锅炉企事业单位按规定建设、运行有效收集处理设施并达标排放</w:t>
            </w:r>
            <w:r>
              <w:rPr>
                <w:rFonts w:hint="eastAsia" w:eastAsia="仿宋" w:cs="仿宋"/>
                <w:color w:val="auto"/>
                <w:sz w:val="24"/>
                <w:szCs w:val="24"/>
                <w:vertAlign w:val="baseline"/>
                <w:lang w:val="en-US" w:eastAsia="zh-CN"/>
              </w:rPr>
              <w:t>，园区无</w:t>
            </w:r>
            <w:r>
              <w:rPr>
                <w:rFonts w:hint="eastAsia" w:ascii="仿宋" w:hAnsi="仿宋" w:eastAsia="仿宋" w:cs="仿宋"/>
                <w:color w:val="auto"/>
                <w:sz w:val="24"/>
                <w:szCs w:val="24"/>
                <w:vertAlign w:val="baseline"/>
                <w:lang w:val="en-US" w:eastAsia="zh-CN"/>
              </w:rPr>
              <w:t>涉 VOCs 重点行业</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7</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产业园区内存在涉危险</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废物环境违法行为或连</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续 2 年规范化管理评估不达标企事业单位。</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（1）产业园区内不存在企事业单位发生危险废物违法行为或连续 2 年危险废物规范化管理评估不达标。不扣分。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（2）园区存在连续 2 年危险废物规范化管理评估不达标企业。扣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产业园区内不存在企事业单位发生危险废物违法行为或连续2年危险废物规范化管理评估不达标</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产业园区内存在土壤污</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染重点监管单位未按要</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求开展自行监测和隐患</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排查。</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（1）园区内土壤污染重点监管单位按要求开展自行监测和隐患排查。不扣分。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（2）园区内存在土壤污染重点监管单位未按要求开展自行监测或隐患排查。扣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（3）园区内土壤污染重点监管单位未按要求开展自行监测和隐患排查。扣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园区内土壤污染重点监管单位按要求开展自行监测和隐患排查</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产业园区未按规定开展</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自行监测或自行监测数</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据弄虚作假。</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-2</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（1）园区按规定开展了环境质量自行监测。不扣分。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（2）园区开展了环境质量自行监测，但监测频次、监测因子或监测点位不符合要求。扣 1分。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（3）园区未开展环境质量自行监测或自行监测数据弄虚作假。扣 2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园区按规定开展了环境质量自行监测</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10</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产业园区未按要求开展</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环境污染第三方治理。</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（1）园区按要求开展了环境污染第三方治理。不扣分。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（2）园区未按合同约定事项及实施方案开展环境污染第三方治理工作。扣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园区按要求开展了环境污染第三方治理</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11</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产业园区污染物排放超</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过总量控制要求或由于产业园区原因造成环境</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质量超标、环境质量恶</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化的情况。</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（1）园区污染物排放符合总量控制要求。园区环境质量未超标、未出现环境质量恶化情况，不扣分。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（2）园区污染物排放超过总量控制要求，或者由于园区原因造成环境质量超标、环境质量恶化的情况，扣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园区污染物排放符合总量控制要求。园区环境质量未超标、未出现环境质量恶化情况</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12</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产业园区建成较完善环</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境监测体系，并按要求</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将数据与省监管平台联</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网。</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（1）园区主要片区上、下风向至少各布设 1 个空气质量自动监测站点，同时根据园区实际情况布设一定数量的空气小微站。园区废水主排口所在水体上、下游至少各布设 1 个水质自动监测站点。并按要求将数据与省监管平台联网，能传输有效数据。加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（2）园区主要片区上、下风向至少各布设 1 个空气质量自动监测站点，同时根据园区实际情况布设一定数量的空气小微站。园区废水主排口所在水体上、下游至少各布设 1 个水质自动监测站点。加 0.5 分</w:t>
            </w:r>
          </w:p>
        </w:tc>
        <w:tc>
          <w:tcPr>
            <w:tcW w:w="3255" w:type="dxa"/>
            <w:noWrap w:val="0"/>
            <w:vAlign w:val="center"/>
          </w:tcPr>
          <w:p>
            <w:pPr>
              <w:pStyle w:val="32"/>
              <w:bidi w:val="0"/>
              <w:jc w:val="left"/>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园区布设1座空气小微站。</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13</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产业园区内存在被评为</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环保黑名单的企事业单</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位。</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（1）园区不存在环保黑名单企事业单位。不扣分。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（2）园区存在环保黑名单企事业单位。扣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园区不存在环保黑名单企事业单位</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14</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产业园区未按要求制定</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或修编园区突发环境事</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件应急预案、未定期组</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织开展应急演练、环境</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应急设施和救援物资配</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备不符合规定、环境风</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险防范措施不到位、未</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建设突发环境事件应急</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指挥平台。</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-2</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按要求制定并及时修编突发环境事件应急预案，并完成备案。园区定期组织开展应急演练，环境应急设施、救援物资配备和环境风险防范措施符合应急预案要求，并建设了突发环境事件应急指挥平台，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（2）园区未按要求制定或未及时修编突发环境事件应急预案。扣 1 分。已召开专家评审会，但未备案。扣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（3）园区未定期组织开展应急演练。扣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（4）园区环境应急设施、救援物资配备不符合规定。扣 0.5</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分。园区环境风险防范措施不到位。扣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（5）未建设突发环境事件应急指挥平台，扣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第（2）、（3）、（4）、（5）项累</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计最高扣 2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园区按要求制定并及时修编突发环境事件应急预案，并完成备案。园区定期组织开展应急演练，环境应急设施、救援物资配备和环境风险防范措施符合应急预案要求，并建设了突发环境事件应急指挥平台</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产业园区发生一般、较</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大突发环境事件或生态</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破坏事件。</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-2</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（1）园区未发生一般、较大突发环境事件或生态破坏事件。不扣分。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（2）园区因企业非法排污或者管理不到位引发的一般突发环境事件或生态破坏事件，扣1分；较大突发环境事件或生态破坏事件，扣 2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园区未发生一般、较大突发环境事件或生态破坏事件</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16</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产业园区存在被中央或</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省级环保督察、生态环</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境警示片等反馈问题，</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或出现被省级及以上主</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管部门挂牌督办或被省</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级主管部门约谈、典型</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案例曝光、区域限批、</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移交问责等情况。</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-4</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（1）产业园区不存在被中央或省级环保督察、生态环境警示片等反馈问题，未出现被省级以上主管部门挂牌督办或被省级主管部门约谈、典型案例曝光、区域限批、移交问责等情况。不扣分。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（2）园区存在被中央或省级环保督察、生态环境警示片等反馈问题。每存在 1 项扣 1 分，整改不力扣 2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（3）园区出现被省级及以上主管部门挂牌督办或被省级主管部门约谈、典型案例曝光、区域限批、移交问责等情况。每存在 1 项扣 2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第（2）、（3）项累计最高扣 4分。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产业园区不存在被中央或省级环保督察、生态环境警示片等反馈问题，未出现被省级以上主管部门挂牌督办或被省级主管部门约谈、典型案例曝光、区域限批、移交问责等情况</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17</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产业园区因发生突出生</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态环境问题被中央层面</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约谈、典型案例曝光、</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区域限批、移交问责等</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情况或发生重、特大突发环境事件或生态破坏</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事件。</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产业园区存在出台“土</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政策”或以其他方式干</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扰执法，妨碍生态环境</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部门依法查处环境违法</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问题的行为，且情节严</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重或者造成严重后果</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的。</w:t>
            </w:r>
          </w:p>
        </w:tc>
        <w:tc>
          <w:tcPr>
            <w:tcW w:w="720"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直接评</w:t>
            </w:r>
          </w:p>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为环保</w:t>
            </w:r>
          </w:p>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风险园</w:t>
            </w:r>
          </w:p>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区</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（1）园区存在因发生突出生态环境问题被中央层面约谈、典型案例曝光、移交问责的情况或发生重、特大突发环境事件或生态破坏事件。直接评为环保风险园区。</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对于产业园区出台“土政策”，或者以其他方式干扰执法，妨碍生态环境部门依法查处环境违法行为，情节严重或者造成严重后果的（污染严重、百勿反映强烈、违法排污造成污染事故、引发严重舆情事件、企业暴力抗法等严重后果），直接评为风险园区。</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w:t>
            </w:r>
            <w:r>
              <w:rPr>
                <w:rFonts w:hint="eastAsia" w:eastAsia="仿宋" w:cs="仿宋"/>
                <w:color w:val="auto"/>
                <w:sz w:val="24"/>
                <w:szCs w:val="24"/>
                <w:vertAlign w:val="baseline"/>
                <w:lang w:val="en-US" w:eastAsia="zh-CN"/>
              </w:rPr>
              <w:t>不</w:t>
            </w:r>
            <w:r>
              <w:rPr>
                <w:rFonts w:hint="eastAsia" w:ascii="仿宋" w:hAnsi="仿宋" w:eastAsia="仿宋" w:cs="仿宋"/>
                <w:color w:val="auto"/>
                <w:sz w:val="24"/>
                <w:szCs w:val="24"/>
                <w:vertAlign w:val="baseline"/>
                <w:lang w:val="en-US" w:eastAsia="zh-CN"/>
              </w:rPr>
              <w:t>存在因发生突出生态环境问题被中央层面约谈、典型案例曝光、移交问责的情况或发生重、特大突发环境事件或生态破坏事件。不存在出台“土政策”，或者其他方式干扰执法，妨碍生态环境部门依法查处环境违法行为</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18</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产业园区单位 GDP 主要污染物排放量排名前</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产业园区单位 GDP 主要污染物排放量排名前 10%的。加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 </w:t>
            </w:r>
            <w:r>
              <w:rPr>
                <w:rFonts w:hint="eastAsia" w:eastAsia="仿宋" w:cs="仿宋"/>
                <w:color w:val="auto"/>
                <w:sz w:val="24"/>
                <w:szCs w:val="24"/>
                <w:vertAlign w:val="baseline"/>
                <w:lang w:val="en-US" w:eastAsia="zh-CN"/>
              </w:rPr>
              <w:t>新晃产业开发区</w:t>
            </w:r>
            <w:r>
              <w:rPr>
                <w:rFonts w:hint="eastAsia" w:ascii="仿宋" w:hAnsi="仿宋" w:eastAsia="仿宋" w:cs="仿宋"/>
                <w:color w:val="auto"/>
                <w:sz w:val="24"/>
                <w:szCs w:val="24"/>
                <w:vertAlign w:val="baseline"/>
                <w:lang w:val="en-US" w:eastAsia="zh-CN"/>
              </w:rPr>
              <w:t>GDP主要污染物排放量排名</w:t>
            </w:r>
            <w:r>
              <w:rPr>
                <w:rFonts w:hint="eastAsia" w:eastAsia="仿宋" w:cs="仿宋"/>
                <w:color w:val="auto"/>
                <w:sz w:val="24"/>
                <w:szCs w:val="24"/>
                <w:vertAlign w:val="baseline"/>
                <w:lang w:val="en-US" w:eastAsia="zh-CN"/>
              </w:rPr>
              <w:t>不属于</w:t>
            </w:r>
            <w:r>
              <w:rPr>
                <w:rFonts w:hint="eastAsia" w:ascii="仿宋" w:hAnsi="仿宋" w:eastAsia="仿宋" w:cs="仿宋"/>
                <w:color w:val="auto"/>
                <w:sz w:val="24"/>
                <w:szCs w:val="24"/>
                <w:vertAlign w:val="baseline"/>
                <w:lang w:val="en-US" w:eastAsia="zh-CN"/>
              </w:rPr>
              <w:t>前10%。</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19</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产业园区在生态环境保</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护和绿色发展领域获得</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省部级及以上表彰、推</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荐推广。</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+2</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（1）园区获得“国家生态工业示范园区”“国家绿色园区”“节能环保示范园区”等称号，加1分。获得“省级绿色园区”“省级工业固废资源综合利用示范</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基地”称号，加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（2）产业园区在生态环境保护和绿色发展领域获得其他国家级表彰、推荐推广，加 1 分。获得省部级表彰、推荐推广，加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第（1）、（2）项每项最多加 1分，累计最高加 2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无上述情况</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20</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产业园区因环境问题引</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发集中或长时间信访、</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投诉、上访，引发负面</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舆情。</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园区因环境问题引发集中或长时间信访、投诉、上访，引发负面舆情等情况。扣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w:t>
            </w:r>
            <w:r>
              <w:rPr>
                <w:rFonts w:hint="eastAsia" w:eastAsia="仿宋" w:cs="仿宋"/>
                <w:color w:val="auto"/>
                <w:sz w:val="24"/>
                <w:szCs w:val="24"/>
                <w:vertAlign w:val="baseline"/>
                <w:lang w:val="en-US" w:eastAsia="zh-CN"/>
              </w:rPr>
              <w:t>不存在</w:t>
            </w:r>
            <w:r>
              <w:rPr>
                <w:rFonts w:hint="eastAsia" w:ascii="仿宋" w:hAnsi="仿宋" w:eastAsia="仿宋" w:cs="仿宋"/>
                <w:color w:val="auto"/>
                <w:sz w:val="24"/>
                <w:szCs w:val="24"/>
                <w:vertAlign w:val="baseline"/>
                <w:lang w:val="en-US" w:eastAsia="zh-CN"/>
              </w:rPr>
              <w:t>因环境问题引发集中或长时间信访、投诉、上访，引发负面舆情等情况</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21</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产业园区未按要求完成</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省生态环境厅其他年度</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任务。</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（1）园区内纳入环境污染强制责任保险投保范围的企事业单位均按规定完成投保。不扣分。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（2）园区内存在已纳入环境污染强制责任保险投保范围的企事业单位未按规定完成投保。每存在一家，扣 0.5 分，累计最高扣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园区存在已纳入环境污染强制责任保险投保范围的企事业单位未按规定完成投保情况</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22</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产业园区存在出台“土</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政策”或以其他方式干</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扰执法，妨碍生态环境</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部门依法查处环境违法</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问题的行为。</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对于园区出台“土政策”，或者其他方式干扰执法，妨碍生态环境部门依法查处环境违法行为的，每发现一起，扣 1 分。</w:t>
            </w:r>
          </w:p>
        </w:tc>
        <w:tc>
          <w:tcPr>
            <w:tcW w:w="3255" w:type="dxa"/>
            <w:noWrap w:val="0"/>
            <w:vAlign w:val="center"/>
          </w:tcPr>
          <w:p>
            <w:pPr>
              <w:pStyle w:val="32"/>
              <w:bidi w:val="0"/>
              <w:jc w:val="left"/>
              <w:rPr>
                <w:rFonts w:hint="eastAsia" w:ascii="仿宋" w:hAnsi="仿宋" w:eastAsia="仿宋" w:cs="仿宋"/>
                <w:color w:val="auto"/>
                <w:kern w:val="2"/>
                <w:sz w:val="24"/>
                <w:szCs w:val="24"/>
                <w:vertAlign w:val="baseline"/>
                <w:lang w:val="en-US" w:eastAsia="zh-CN" w:bidi="ar-SA"/>
              </w:rPr>
            </w:pPr>
            <w:r>
              <w:rPr>
                <w:rFonts w:hint="eastAsia" w:eastAsia="仿宋" w:cs="仿宋"/>
                <w:color w:val="auto"/>
                <w:sz w:val="24"/>
                <w:szCs w:val="24"/>
                <w:vertAlign w:val="baseline"/>
                <w:lang w:val="en-US" w:eastAsia="zh-CN"/>
              </w:rPr>
              <w:t>不</w:t>
            </w:r>
            <w:r>
              <w:rPr>
                <w:rFonts w:hint="eastAsia" w:ascii="仿宋" w:hAnsi="仿宋" w:eastAsia="仿宋" w:cs="仿宋"/>
                <w:color w:val="auto"/>
                <w:sz w:val="24"/>
                <w:szCs w:val="24"/>
                <w:vertAlign w:val="baseline"/>
                <w:lang w:val="en-US" w:eastAsia="zh-CN"/>
              </w:rPr>
              <w:t>存在出台“土政策”或以其他方式干扰执法，妨碍生态环境部门依法查处环境违法问题的行为。</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2670"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产业园区连续两年被评</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为环保诚信园区</w:t>
            </w:r>
          </w:p>
        </w:tc>
        <w:tc>
          <w:tcPr>
            <w:tcW w:w="720"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园区连续两年被评为环保诚信园区，加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w:t>
            </w:r>
            <w:r>
              <w:rPr>
                <w:rFonts w:hint="eastAsia" w:eastAsia="仿宋" w:cs="仿宋"/>
                <w:color w:val="auto"/>
                <w:sz w:val="24"/>
                <w:szCs w:val="24"/>
                <w:vertAlign w:val="baseline"/>
                <w:lang w:val="en-US" w:eastAsia="zh-CN"/>
              </w:rPr>
              <w:t>未</w:t>
            </w:r>
            <w:r>
              <w:rPr>
                <w:rFonts w:hint="eastAsia" w:ascii="仿宋" w:hAnsi="仿宋" w:eastAsia="仿宋" w:cs="仿宋"/>
                <w:color w:val="auto"/>
                <w:sz w:val="24"/>
                <w:szCs w:val="24"/>
                <w:vertAlign w:val="baseline"/>
                <w:lang w:val="en-US" w:eastAsia="zh-CN"/>
              </w:rPr>
              <w:t>连续两年被评为环保诚信园区</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bl>
    <w:p>
      <w:pPr>
        <w:bidi w:val="0"/>
        <w:ind w:left="0" w:leftChars="0" w:firstLine="0" w:firstLineChars="0"/>
        <w:rPr>
          <w:rFonts w:hint="default"/>
          <w:color w:val="auto"/>
          <w:sz w:val="21"/>
          <w:szCs w:val="21"/>
          <w:lang w:val="en-US"/>
        </w:rPr>
        <w:sectPr>
          <w:pgSz w:w="16838" w:h="11906" w:orient="landscape"/>
          <w:pgMar w:top="1440" w:right="1083" w:bottom="1440" w:left="1083" w:header="851" w:footer="992" w:gutter="0"/>
          <w:pgBorders>
            <w:top w:val="none" w:sz="0" w:space="0"/>
            <w:left w:val="none" w:sz="0" w:space="0"/>
            <w:bottom w:val="none" w:sz="0" w:space="0"/>
            <w:right w:val="none" w:sz="0" w:space="0"/>
          </w:pgBorders>
          <w:pgNumType w:fmt="decimal"/>
          <w:cols w:space="720" w:num="1"/>
          <w:rtlGutter w:val="0"/>
          <w:docGrid w:type="lines" w:linePitch="451" w:charSpace="0"/>
        </w:sectPr>
      </w:pPr>
      <w:r>
        <w:rPr>
          <w:rFonts w:hint="eastAsia" w:ascii="Times New Roman" w:eastAsia="仿宋_GB2312"/>
          <w:color w:val="auto"/>
          <w:sz w:val="21"/>
          <w:szCs w:val="21"/>
          <w:lang w:val="en-US" w:eastAsia="zh-CN"/>
        </w:rPr>
        <w:t>注：本评分细则仅针对湖南省 2023 年度省级及以上产业园区环保信用评价工作，最终解释权归省生态环境厅环境影响评价与排放管理处所有</w:t>
      </w:r>
    </w:p>
    <w:p>
      <w:pPr>
        <w:pStyle w:val="16"/>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通过对我园区202</w:t>
      </w:r>
      <w:r>
        <w:rPr>
          <w:rFonts w:hint="eastAsia" w:ascii="Times New Roman" w:hAnsi="Times New Roman" w:eastAsia="仿宋" w:cs="Times New Roman"/>
          <w:kern w:val="2"/>
          <w:sz w:val="32"/>
          <w:szCs w:val="32"/>
          <w:lang w:val="en-US" w:eastAsia="zh-CN" w:bidi="ar-SA"/>
        </w:rPr>
        <w:t>3</w:t>
      </w:r>
      <w:r>
        <w:rPr>
          <w:rFonts w:hint="default" w:ascii="Times New Roman" w:hAnsi="Times New Roman" w:eastAsia="仿宋" w:cs="Times New Roman"/>
          <w:kern w:val="2"/>
          <w:sz w:val="32"/>
          <w:szCs w:val="32"/>
          <w:lang w:val="en-US" w:eastAsia="zh-CN" w:bidi="ar-SA"/>
        </w:rPr>
        <w:t>年的环保工作进行自我评估，园区评估结果为</w:t>
      </w:r>
      <w:r>
        <w:rPr>
          <w:rFonts w:hint="eastAsia" w:ascii="Times New Roman" w:hAnsi="Times New Roman" w:eastAsia="仿宋" w:cs="Times New Roman"/>
          <w:kern w:val="2"/>
          <w:sz w:val="32"/>
          <w:szCs w:val="32"/>
          <w:lang w:val="en-US" w:eastAsia="zh-CN" w:bidi="ar-SA"/>
        </w:rPr>
        <w:t>8</w:t>
      </w:r>
      <w:r>
        <w:rPr>
          <w:rFonts w:hint="default" w:ascii="Times New Roman" w:hAnsi="Times New Roman" w:eastAsia="仿宋" w:cs="Times New Roman"/>
          <w:kern w:val="2"/>
          <w:sz w:val="32"/>
          <w:szCs w:val="32"/>
          <w:lang w:val="en-US" w:eastAsia="zh-CN" w:bidi="ar-SA"/>
        </w:rPr>
        <w:t>分，属于环保</w:t>
      </w:r>
      <w:r>
        <w:rPr>
          <w:rFonts w:hint="eastAsia" w:ascii="Times New Roman" w:hAnsi="Times New Roman" w:eastAsia="仿宋" w:cs="Times New Roman"/>
          <w:kern w:val="2"/>
          <w:sz w:val="32"/>
          <w:szCs w:val="32"/>
          <w:lang w:val="en-US" w:eastAsia="zh-CN" w:bidi="ar-SA"/>
        </w:rPr>
        <w:t>合格</w:t>
      </w:r>
      <w:r>
        <w:rPr>
          <w:rFonts w:hint="default" w:ascii="Times New Roman" w:hAnsi="Times New Roman" w:eastAsia="仿宋" w:cs="Times New Roman"/>
          <w:kern w:val="2"/>
          <w:sz w:val="32"/>
          <w:szCs w:val="32"/>
          <w:lang w:val="en-US" w:eastAsia="zh-CN" w:bidi="ar-SA"/>
        </w:rPr>
        <w:t>园区。</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sz w:val="36"/>
          <w:szCs w:val="20"/>
        </w:rPr>
      </w:pPr>
      <w:bookmarkStart w:id="20" w:name="_Toc13522"/>
      <w:r>
        <w:rPr>
          <w:rFonts w:hint="default" w:ascii="Times New Roman" w:hAnsi="Times New Roman" w:cs="Times New Roman"/>
          <w:b/>
          <w:sz w:val="36"/>
          <w:szCs w:val="20"/>
        </w:rPr>
        <w:t>三、园区环保工作成效、主要措施做法</w:t>
      </w:r>
      <w:bookmarkEnd w:id="20"/>
    </w:p>
    <w:p>
      <w:pPr>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w:t>
      </w:r>
      <w:r>
        <w:rPr>
          <w:rFonts w:hint="eastAsia" w:ascii="Times New Roman" w:hAnsi="Times New Roman" w:eastAsia="仿宋" w:cs="Times New Roman"/>
          <w:kern w:val="2"/>
          <w:sz w:val="32"/>
          <w:szCs w:val="32"/>
          <w:lang w:val="en-US" w:eastAsia="zh-CN" w:bidi="ar-SA"/>
        </w:rPr>
        <w:t>引进新晃产业开发区安全及环保应急救援指挥平台</w:t>
      </w:r>
      <w:r>
        <w:rPr>
          <w:rFonts w:hint="default" w:ascii="Times New Roman" w:hAnsi="Times New Roman" w:eastAsia="仿宋" w:cs="Times New Roman"/>
          <w:kern w:val="2"/>
          <w:sz w:val="32"/>
          <w:szCs w:val="32"/>
          <w:lang w:val="en-US" w:eastAsia="zh-CN" w:bidi="ar-SA"/>
        </w:rPr>
        <w:t>。</w:t>
      </w:r>
    </w:p>
    <w:p>
      <w:pPr>
        <w:pStyle w:val="16"/>
        <w:spacing w:after="0" w:line="600" w:lineRule="exact"/>
        <w:ind w:left="0" w:leftChars="0" w:firstLine="640" w:firstLineChars="200"/>
        <w:rPr>
          <w:rFonts w:hint="default"/>
          <w:lang w:val="en-US" w:eastAsia="zh-CN"/>
        </w:rPr>
      </w:pPr>
      <w:r>
        <w:rPr>
          <w:rFonts w:hint="default" w:ascii="Times New Roman" w:hAnsi="Times New Roman" w:eastAsia="仿宋" w:cs="Times New Roman"/>
          <w:kern w:val="2"/>
          <w:sz w:val="32"/>
          <w:szCs w:val="32"/>
          <w:lang w:val="en-US" w:eastAsia="zh-CN" w:bidi="ar-SA"/>
        </w:rPr>
        <w:t>今年以来，</w:t>
      </w:r>
      <w:r>
        <w:rPr>
          <w:rFonts w:hint="eastAsia" w:ascii="Times New Roman" w:hAnsi="Times New Roman" w:eastAsia="仿宋" w:cs="Times New Roman"/>
          <w:kern w:val="2"/>
          <w:sz w:val="32"/>
          <w:szCs w:val="32"/>
          <w:lang w:val="en-US" w:eastAsia="zh-CN" w:bidi="ar-SA"/>
        </w:rPr>
        <w:t>园区经过多方学习与探索，在原有第三方治理平台的基础上于2022年1月21日打造建设新晃工业集中区安全生产及环境保护综合监管和应急指挥平台，该平台通过安全生产、监控预警、应急、环保等多方面管理来加强园区环境保护能力，</w:t>
      </w:r>
      <w:r>
        <w:rPr>
          <w:rFonts w:hint="eastAsia" w:ascii="Times New Roman" w:hAnsi="Times New Roman" w:eastAsia="仿宋" w:cs="Times New Roman"/>
          <w:color w:val="auto"/>
          <w:kern w:val="2"/>
          <w:sz w:val="32"/>
          <w:szCs w:val="32"/>
          <w:lang w:val="en-US" w:eastAsia="zh-CN" w:bidi="ar-SA"/>
        </w:rPr>
        <w:t>并于2023年1月17日通过了《湖南省产业园区生态环境监管平台建设考核验收标准》的验收考核</w:t>
      </w:r>
      <w:r>
        <w:rPr>
          <w:rFonts w:hint="default" w:ascii="Times New Roman" w:hAnsi="Times New Roman" w:eastAsia="仿宋" w:cs="Times New Roman"/>
          <w:color w:val="auto"/>
          <w:kern w:val="2"/>
          <w:sz w:val="32"/>
          <w:szCs w:val="32"/>
          <w:lang w:val="en-US" w:eastAsia="zh-CN" w:bidi="ar-SA"/>
        </w:rPr>
        <w:t>。</w:t>
      </w:r>
      <w:r>
        <w:rPr>
          <w:rFonts w:hint="eastAsia" w:ascii="Times New Roman" w:hAnsi="Times New Roman" w:eastAsia="仿宋_GB2312" w:cs="Times New Roman"/>
          <w:color w:val="auto"/>
          <w:sz w:val="32"/>
          <w:szCs w:val="32"/>
          <w:lang w:val="en-US" w:eastAsia="zh-CN"/>
        </w:rPr>
        <w:t>将园区环境信息平台、安全生产平台及应急指挥信息平台进行整合，结合园区实际工作、入驻企业反馈问题以及各级部门监管要求，对平台进行优化升级迭代，确保更符合用户需求。</w:t>
      </w:r>
    </w:p>
    <w:p>
      <w:pPr>
        <w:pStyle w:val="16"/>
        <w:numPr>
          <w:ilvl w:val="0"/>
          <w:numId w:val="2"/>
        </w:numPr>
        <w:spacing w:after="0" w:line="600" w:lineRule="exact"/>
        <w:ind w:left="0" w:leftChars="0"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坚持建设项目先评价后建设原则。</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一是对不符合国家产业政策、不符合“三线一单”要求的项目一律不予入园。严格把关入园企业项目环评办理，实现“先环评、后建设”。二是对已经建成的企业进行日常监督管理，对巡查中发现的问题及时督促企业进行整改。三是配合上级环保部门开展突出环境问题整改工作，将所有问题全部整改到位。</w:t>
      </w:r>
    </w:p>
    <w:p>
      <w:pPr>
        <w:pStyle w:val="16"/>
        <w:numPr>
          <w:ilvl w:val="0"/>
          <w:numId w:val="2"/>
        </w:numPr>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水环境质量保持稳定</w:t>
      </w:r>
      <w:r>
        <w:rPr>
          <w:rFonts w:hint="default" w:ascii="Times New Roman" w:hAnsi="Times New Roman" w:eastAsia="仿宋" w:cs="Times New Roman"/>
          <w:kern w:val="2"/>
          <w:sz w:val="32"/>
          <w:szCs w:val="32"/>
          <w:lang w:val="en-US" w:eastAsia="zh-CN" w:bidi="ar-SA"/>
        </w:rPr>
        <w:t>。</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通过</w:t>
      </w:r>
      <w:r>
        <w:rPr>
          <w:rFonts w:hint="default" w:ascii="Times New Roman" w:hAnsi="Times New Roman" w:eastAsia="仿宋" w:cs="Times New Roman"/>
          <w:kern w:val="2"/>
          <w:sz w:val="32"/>
          <w:szCs w:val="32"/>
          <w:lang w:val="en-US" w:eastAsia="zh-CN" w:bidi="ar-SA"/>
        </w:rPr>
        <w:t>加强园区</w:t>
      </w:r>
      <w:r>
        <w:rPr>
          <w:rFonts w:hint="eastAsia" w:ascii="Times New Roman" w:hAnsi="Times New Roman" w:eastAsia="仿宋" w:cs="Times New Roman"/>
          <w:kern w:val="2"/>
          <w:sz w:val="32"/>
          <w:szCs w:val="32"/>
          <w:lang w:val="en-US" w:eastAsia="zh-CN" w:bidi="ar-SA"/>
        </w:rPr>
        <w:t>环境保护</w:t>
      </w:r>
      <w:r>
        <w:rPr>
          <w:rFonts w:hint="default" w:ascii="Times New Roman" w:hAnsi="Times New Roman" w:eastAsia="仿宋" w:cs="Times New Roman"/>
          <w:kern w:val="2"/>
          <w:sz w:val="32"/>
          <w:szCs w:val="32"/>
          <w:lang w:val="en-US" w:eastAsia="zh-CN" w:bidi="ar-SA"/>
        </w:rPr>
        <w:t>基础设施</w:t>
      </w:r>
      <w:r>
        <w:rPr>
          <w:rFonts w:hint="eastAsia" w:ascii="Times New Roman" w:hAnsi="Times New Roman" w:eastAsia="仿宋" w:cs="Times New Roman"/>
          <w:kern w:val="2"/>
          <w:sz w:val="32"/>
          <w:szCs w:val="32"/>
          <w:lang w:val="en-US" w:eastAsia="zh-CN" w:bidi="ar-SA"/>
        </w:rPr>
        <w:t>监督管理，一方面对已经建成的涉水企业严格监督污水排放预处理设施运行情况，对新入园的涉水企业在环评报告编制过程中积极沟通，严格要求企业在开工生产前做好污水预处理设施建设。另一方面加强</w:t>
      </w:r>
      <w:r>
        <w:rPr>
          <w:rFonts w:hint="default" w:ascii="Times New Roman" w:hAnsi="Times New Roman" w:eastAsia="仿宋" w:cs="Times New Roman"/>
          <w:kern w:val="2"/>
          <w:sz w:val="32"/>
          <w:szCs w:val="32"/>
          <w:lang w:val="en-US" w:eastAsia="zh-CN" w:bidi="ar-SA"/>
        </w:rPr>
        <w:t>聘请第三方技术服务机构对园区的环保基础设施进行专业化管理，确保环保设施正常运行。</w:t>
      </w:r>
      <w:bookmarkStart w:id="23" w:name="_GoBack"/>
      <w:bookmarkEnd w:id="23"/>
    </w:p>
    <w:p>
      <w:pPr>
        <w:pStyle w:val="3"/>
        <w:bidi w:val="0"/>
        <w:rPr>
          <w:rFonts w:hint="default"/>
        </w:rPr>
      </w:pPr>
      <w:bookmarkStart w:id="21" w:name="_Toc13728"/>
      <w:r>
        <w:rPr>
          <w:rFonts w:hint="default"/>
        </w:rPr>
        <w:t>四、园区生态环境管理存在主要问题和难题</w:t>
      </w:r>
      <w:bookmarkEnd w:id="21"/>
    </w:p>
    <w:bookmarkEnd w:id="0"/>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1、园区企业验收及排污许可证手续办理不到位，园区</w:t>
      </w:r>
      <w:r>
        <w:rPr>
          <w:rFonts w:hint="default" w:ascii="Times New Roman" w:hAnsi="Times New Roman" w:eastAsia="仿宋" w:cs="Times New Roman"/>
          <w:kern w:val="2"/>
          <w:sz w:val="32"/>
          <w:szCs w:val="32"/>
          <w:lang w:val="en-US" w:eastAsia="zh-CN" w:bidi="ar-SA"/>
        </w:rPr>
        <w:t>内有的企业完成了环评后进入试生产阶段，部分企业环保验收及排污许可证办理进度缓慢。</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w:t>
      </w:r>
      <w:r>
        <w:rPr>
          <w:rFonts w:hint="eastAsia" w:ascii="Times New Roman" w:hAnsi="Times New Roman" w:eastAsia="仿宋" w:cs="Times New Roman"/>
          <w:kern w:val="2"/>
          <w:sz w:val="32"/>
          <w:szCs w:val="32"/>
          <w:lang w:val="en-US" w:eastAsia="zh-CN" w:bidi="ar-SA"/>
        </w:rPr>
        <w:t>根据化工园区污水处理规范化建设暂行规定要求，园区还存在一定差距</w:t>
      </w:r>
      <w:r>
        <w:rPr>
          <w:rFonts w:hint="default" w:ascii="Times New Roman" w:hAnsi="Times New Roman" w:eastAsia="仿宋" w:cs="Times New Roman"/>
          <w:kern w:val="2"/>
          <w:sz w:val="32"/>
          <w:szCs w:val="32"/>
          <w:lang w:val="en-US" w:eastAsia="zh-CN" w:bidi="ar-SA"/>
        </w:rPr>
        <w:t>。</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3、</w:t>
      </w:r>
      <w:r>
        <w:rPr>
          <w:rFonts w:hint="eastAsia" w:ascii="Times New Roman" w:hAnsi="Times New Roman" w:eastAsia="仿宋" w:cs="Times New Roman"/>
          <w:kern w:val="2"/>
          <w:sz w:val="32"/>
          <w:szCs w:val="32"/>
          <w:lang w:val="en-US" w:eastAsia="zh-CN" w:bidi="ar-SA"/>
        </w:rPr>
        <w:t>园区污水处理厂处理量日益增加，需加快污水处理厂技术改造升级</w:t>
      </w:r>
      <w:r>
        <w:rPr>
          <w:rFonts w:hint="default" w:ascii="Times New Roman" w:hAnsi="Times New Roman" w:eastAsia="仿宋" w:cs="Times New Roman"/>
          <w:kern w:val="2"/>
          <w:sz w:val="32"/>
          <w:szCs w:val="32"/>
          <w:lang w:val="en-US" w:eastAsia="zh-CN" w:bidi="ar-SA"/>
        </w:rPr>
        <w:t>。</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4、</w:t>
      </w:r>
      <w:r>
        <w:rPr>
          <w:rFonts w:hint="eastAsia" w:ascii="Times New Roman" w:hAnsi="Times New Roman" w:eastAsia="仿宋" w:cs="Times New Roman"/>
          <w:kern w:val="2"/>
          <w:sz w:val="32"/>
          <w:szCs w:val="32"/>
          <w:lang w:val="en-US" w:eastAsia="zh-CN" w:bidi="ar-SA"/>
        </w:rPr>
        <w:t>环境监测能力建设不足</w:t>
      </w:r>
      <w:r>
        <w:rPr>
          <w:rFonts w:hint="default" w:ascii="Times New Roman" w:hAnsi="Times New Roman" w:eastAsia="仿宋" w:cs="Times New Roman"/>
          <w:kern w:val="2"/>
          <w:sz w:val="32"/>
          <w:szCs w:val="32"/>
          <w:lang w:val="en-US" w:eastAsia="zh-CN" w:bidi="ar-SA"/>
        </w:rPr>
        <w:t>。</w:t>
      </w:r>
    </w:p>
    <w:p>
      <w:pPr>
        <w:pStyle w:val="3"/>
        <w:bidi w:val="0"/>
        <w:rPr>
          <w:rFonts w:hint="default" w:ascii="Times New Roman" w:hAnsi="Times New Roman" w:cs="Times New Roman"/>
          <w:b/>
          <w:color w:val="auto"/>
          <w:sz w:val="36"/>
          <w:szCs w:val="20"/>
        </w:rPr>
      </w:pPr>
      <w:bookmarkStart w:id="22" w:name="_Toc2880"/>
      <w:r>
        <w:rPr>
          <w:rFonts w:hint="default" w:ascii="Times New Roman" w:hAnsi="Times New Roman" w:cs="Times New Roman"/>
          <w:b/>
          <w:color w:val="auto"/>
          <w:sz w:val="36"/>
          <w:szCs w:val="20"/>
        </w:rPr>
        <w:t>五、下一步工作计划</w:t>
      </w:r>
      <w:bookmarkEnd w:id="22"/>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针对园区存在的环境问题，提出相关生态环境管理工作计划安排：</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1、加强企业检查，发现企业未按要求完成环保手续的及时要求企业整改到位。</w:t>
      </w:r>
    </w:p>
    <w:p>
      <w:pPr>
        <w:pStyle w:val="16"/>
        <w:spacing w:after="0" w:line="600" w:lineRule="exact"/>
        <w:ind w:left="0" w:leftChars="0"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2、根据化工园区污水处理暂行管理规定，加快推进园区企业“一企一管”建设，加快推进园区雨水防范措施建设  </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w:t>
      </w:r>
      <w:r>
        <w:rPr>
          <w:rFonts w:hint="default" w:ascii="Times New Roman" w:hAnsi="Times New Roman" w:eastAsia="仿宋" w:cs="Times New Roman"/>
          <w:kern w:val="2"/>
          <w:sz w:val="32"/>
          <w:szCs w:val="32"/>
          <w:lang w:val="en-US" w:eastAsia="zh-CN" w:bidi="ar-SA"/>
        </w:rPr>
        <w:t>根据园区发展的情况扩建污水处理厂规模，并加快园区内生活污水和生产污水管网的建设工作，</w:t>
      </w:r>
      <w:r>
        <w:rPr>
          <w:rFonts w:hint="eastAsia" w:ascii="Times New Roman" w:hAnsi="Times New Roman" w:eastAsia="仿宋" w:cs="Times New Roman"/>
          <w:kern w:val="2"/>
          <w:sz w:val="32"/>
          <w:szCs w:val="32"/>
          <w:lang w:val="en-US" w:eastAsia="zh-CN" w:bidi="ar-SA"/>
        </w:rPr>
        <w:t>目前已开展了园区污水处理厂提质扩容改造工作，完成了污水处理厂可研及初步设计</w:t>
      </w:r>
      <w:r>
        <w:rPr>
          <w:rFonts w:hint="default" w:ascii="Times New Roman" w:hAnsi="Times New Roman" w:eastAsia="仿宋" w:cs="Times New Roman"/>
          <w:kern w:val="2"/>
          <w:sz w:val="32"/>
          <w:szCs w:val="32"/>
          <w:lang w:val="en-US" w:eastAsia="zh-CN" w:bidi="ar-SA"/>
        </w:rPr>
        <w:t>。</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4、园区目前已建设了一座大气自动监控站，并同时规划了化工园区（片区）上下风向空气自动监测站、特征VOCs因子组分自动监测站和恶臭自动监测站；排污口所在水体的上、下游特征污染物排放因子的水质自动监测站。</w:t>
      </w:r>
    </w:p>
    <w:p>
      <w:pPr>
        <w:pStyle w:val="16"/>
        <w:spacing w:after="0" w:line="600" w:lineRule="exact"/>
        <w:ind w:left="0" w:leftChars="0" w:firstLine="643"/>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附表：园区年度报告表格</w:t>
      </w:r>
    </w:p>
    <w:p>
      <w:pPr>
        <w:pStyle w:val="16"/>
        <w:spacing w:after="0" w:line="600" w:lineRule="exact"/>
        <w:ind w:left="0" w:leftChars="0" w:firstLine="0" w:firstLineChars="0"/>
        <w:rPr>
          <w:rFonts w:hint="default" w:ascii="Times New Roman" w:hAnsi="Times New Roman" w:eastAsia="仿宋" w:cs="Times New Roman"/>
          <w:sz w:val="32"/>
          <w:szCs w:val="32"/>
        </w:rPr>
      </w:pPr>
    </w:p>
    <w:p>
      <w:pPr>
        <w:pStyle w:val="16"/>
        <w:spacing w:after="0" w:line="600" w:lineRule="exact"/>
        <w:ind w:left="3514" w:leftChars="912" w:hanging="960" w:hangingChars="300"/>
        <w:jc w:val="cente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新晃</w:t>
      </w:r>
      <w:r>
        <w:rPr>
          <w:rFonts w:hint="eastAsia" w:ascii="Times New Roman" w:hAnsi="Times New Roman" w:eastAsia="仿宋" w:cs="Times New Roman"/>
          <w:sz w:val="32"/>
          <w:szCs w:val="32"/>
          <w:lang w:val="en-US" w:eastAsia="zh-CN"/>
        </w:rPr>
        <w:t>产业开发区</w:t>
      </w:r>
      <w:r>
        <w:rPr>
          <w:rFonts w:hint="default" w:ascii="Times New Roman" w:hAnsi="Times New Roman" w:eastAsia="仿宋" w:cs="Times New Roman"/>
          <w:sz w:val="32"/>
          <w:szCs w:val="32"/>
          <w:lang w:val="en-US" w:eastAsia="zh-CN"/>
        </w:rPr>
        <w:t>管理委员会</w:t>
      </w:r>
    </w:p>
    <w:p>
      <w:pPr>
        <w:pStyle w:val="16"/>
        <w:spacing w:after="0" w:line="600" w:lineRule="exact"/>
        <w:ind w:left="3511" w:leftChars="1254"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p>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Times New Roman" w:hAnsi="Times New Roman" w:cs="Times New Roman" w:eastAsiaTheme="minorEastAsia"/>
        <w:sz w:val="24"/>
        <w:szCs w:val="24"/>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24"/>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p>
                          <w:pPr>
                            <w:pStyle w:val="8"/>
                            <w:jc w:val="center"/>
                            <w:rPr>
                              <w:rFonts w:hint="default" w:ascii="仿宋_GB2312" w:hAnsi="仿宋_GB2312" w:eastAsia="仿宋_GB2312" w:cs="仿宋_GB2312"/>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p>
                    <w:pPr>
                      <w:pStyle w:val="8"/>
                      <w:jc w:val="center"/>
                      <w:rPr>
                        <w:rFonts w:hint="default" w:ascii="仿宋_GB2312" w:hAnsi="仿宋_GB2312" w:eastAsia="仿宋_GB2312" w:cs="仿宋_GB2312"/>
                        <w:sz w:val="28"/>
                        <w:szCs w:val="28"/>
                        <w:lang w:val="en-US" w:eastAsia="zh-CN"/>
                      </w:rPr>
                    </w:pPr>
                  </w:p>
                </w:txbxContent>
              </v:textbox>
            </v:shape>
          </w:pict>
        </mc:Fallback>
      </mc:AlternateContent>
    </w:r>
    <w:r>
      <w:rPr>
        <w:rFonts w:hint="eastAsia"/>
        <w:sz w:val="24"/>
        <w:lang w:val="en-US" w:eastAsia="zh-CN"/>
      </w:rPr>
      <w:t>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FAD95C"/>
    <w:multiLevelType w:val="singleLevel"/>
    <w:tmpl w:val="E4FAD95C"/>
    <w:lvl w:ilvl="0" w:tentative="0">
      <w:start w:val="2"/>
      <w:numFmt w:val="decimal"/>
      <w:suff w:val="nothing"/>
      <w:lvlText w:val="%1、"/>
      <w:lvlJc w:val="left"/>
    </w:lvl>
  </w:abstractNum>
  <w:abstractNum w:abstractNumId="1">
    <w:nsid w:val="0DC91CEB"/>
    <w:multiLevelType w:val="multilevel"/>
    <w:tmpl w:val="0DC91CEB"/>
    <w:lvl w:ilvl="0" w:tentative="0">
      <w:start w:val="1"/>
      <w:numFmt w:val="chineseCountingThousand"/>
      <w:lvlText w:val="第%1章  "/>
      <w:lvlJc w:val="left"/>
      <w:pPr>
        <w:ind w:left="2269" w:firstLine="0"/>
      </w:pPr>
      <w:rPr>
        <w:rFonts w:hint="default" w:ascii="Times New Roman" w:hAnsi="Times New Roman" w:eastAsia="宋体"/>
        <w:b/>
        <w:i w:val="0"/>
        <w:sz w:val="36"/>
        <w:szCs w:val="36"/>
      </w:rPr>
    </w:lvl>
    <w:lvl w:ilvl="1" w:tentative="0">
      <w:start w:val="1"/>
      <w:numFmt w:val="decimal"/>
      <w:isLgl/>
      <w:suff w:val="space"/>
      <w:lvlText w:val="%1.%2 "/>
      <w:lvlJc w:val="left"/>
      <w:pPr>
        <w:ind w:left="2127" w:firstLine="0"/>
      </w:pPr>
      <w:rPr>
        <w:rFonts w:hint="default" w:ascii="Times New Roman" w:hAnsi="Times New Roman" w:eastAsia="黑体"/>
        <w:b/>
        <w:i w:val="0"/>
        <w:sz w:val="32"/>
        <w:szCs w:val="32"/>
      </w:rPr>
    </w:lvl>
    <w:lvl w:ilvl="2" w:tentative="0">
      <w:start w:val="1"/>
      <w:numFmt w:val="decimal"/>
      <w:isLgl/>
      <w:suff w:val="space"/>
      <w:lvlText w:val="%1.%2.%3 "/>
      <w:lvlJc w:val="left"/>
      <w:pPr>
        <w:ind w:left="0" w:firstLine="0"/>
      </w:pPr>
      <w:rPr>
        <w:rFonts w:hint="default" w:ascii="Times New Roman" w:hAnsi="Times New Roman" w:eastAsia="黑体"/>
        <w:b/>
        <w:i w:val="0"/>
        <w:color w:val="auto"/>
        <w:sz w:val="30"/>
      </w:rPr>
    </w:lvl>
    <w:lvl w:ilvl="3" w:tentative="0">
      <w:start w:val="1"/>
      <w:numFmt w:val="decimal"/>
      <w:isLgl/>
      <w:suff w:val="space"/>
      <w:lvlText w:val="%1.%2.%3.%4 "/>
      <w:lvlJc w:val="left"/>
      <w:pPr>
        <w:ind w:left="-1843" w:firstLine="0"/>
      </w:pPr>
      <w:rPr>
        <w:rFonts w:hint="default" w:ascii="Times New Roman" w:hAnsi="Times New Roman" w:eastAsia="黑体"/>
        <w:b/>
        <w:i w:val="0"/>
        <w:sz w:val="24"/>
      </w:rPr>
    </w:lvl>
    <w:lvl w:ilvl="4" w:tentative="0">
      <w:start w:val="1"/>
      <w:numFmt w:val="decimal"/>
      <w:lvlRestart w:val="2"/>
      <w:pStyle w:val="24"/>
      <w:isLgl/>
      <w:suff w:val="space"/>
      <w:lvlText w:val="表 %1.%2-%5  "/>
      <w:lvlJc w:val="left"/>
      <w:pPr>
        <w:ind w:left="-1843" w:firstLine="0"/>
      </w:pPr>
      <w:rPr>
        <w:rFonts w:hint="default" w:ascii="Times New Roman" w:hAnsi="Times New Roman" w:eastAsia="宋体" w:cs="Times New Roman"/>
        <w:b/>
        <w:bCs w:val="0"/>
        <w:i w:val="0"/>
        <w:iCs w:val="0"/>
        <w:caps w:val="0"/>
        <w:strike w:val="0"/>
        <w:dstrike w:val="0"/>
        <w:vanish w:val="0"/>
        <w:spacing w:val="0"/>
        <w:position w:val="0"/>
        <w:sz w:val="21"/>
        <w:u w:val="none"/>
        <w:vertAlign w:val="baseline"/>
      </w:rPr>
    </w:lvl>
    <w:lvl w:ilvl="5" w:tentative="0">
      <w:start w:val="1"/>
      <w:numFmt w:val="decimal"/>
      <w:lvlRestart w:val="2"/>
      <w:isLgl/>
      <w:suff w:val="space"/>
      <w:lvlText w:val="图 %1.%2-%6  "/>
      <w:lvlJc w:val="left"/>
      <w:pPr>
        <w:ind w:left="-1843" w:firstLine="0"/>
      </w:pPr>
      <w:rPr>
        <w:rFonts w:hint="default" w:ascii="Times New Roman" w:hAnsi="Times New Roman" w:eastAsia="宋体"/>
        <w:b/>
        <w:i w:val="0"/>
        <w:sz w:val="21"/>
      </w:rPr>
    </w:lvl>
    <w:lvl w:ilvl="6" w:tentative="0">
      <w:start w:val="1"/>
      <w:numFmt w:val="decimal"/>
      <w:lvlText w:val="%1.%2.%3.%4.%5.%6.%7"/>
      <w:lvlJc w:val="left"/>
      <w:pPr>
        <w:ind w:left="-547" w:hanging="1296"/>
      </w:pPr>
      <w:rPr>
        <w:rFonts w:hint="eastAsia"/>
      </w:rPr>
    </w:lvl>
    <w:lvl w:ilvl="7" w:tentative="0">
      <w:start w:val="1"/>
      <w:numFmt w:val="decimal"/>
      <w:lvlText w:val="%1.%2.%3.%4.%5.%6.%7.%8"/>
      <w:lvlJc w:val="left"/>
      <w:pPr>
        <w:ind w:left="-403" w:hanging="1440"/>
      </w:pPr>
      <w:rPr>
        <w:rFonts w:hint="eastAsia"/>
      </w:rPr>
    </w:lvl>
    <w:lvl w:ilvl="8" w:tentative="0">
      <w:start w:val="1"/>
      <w:numFmt w:val="decimal"/>
      <w:lvlText w:val="%1.%2.%3.%4.%5.%6.%7.%8.%9"/>
      <w:lvlJc w:val="left"/>
      <w:pPr>
        <w:ind w:left="-259"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OGIyM2JlNjI3OTYxMjM0ZTMxZTExNjk1M2FhN2EifQ=="/>
    <w:docVar w:name="KSO_WPS_MARK_KEY" w:val="8785db15-62f8-42e2-b9b1-fae4084ed3d5"/>
  </w:docVars>
  <w:rsids>
    <w:rsidRoot w:val="7BC5745B"/>
    <w:rsid w:val="00D24FF0"/>
    <w:rsid w:val="00E13486"/>
    <w:rsid w:val="03C52532"/>
    <w:rsid w:val="05107584"/>
    <w:rsid w:val="05154C6E"/>
    <w:rsid w:val="08766D46"/>
    <w:rsid w:val="0B28022D"/>
    <w:rsid w:val="0DDF0D4D"/>
    <w:rsid w:val="0DEA0FA8"/>
    <w:rsid w:val="10F93ED3"/>
    <w:rsid w:val="13E23345"/>
    <w:rsid w:val="156264EB"/>
    <w:rsid w:val="1B6D11D7"/>
    <w:rsid w:val="1B7063C5"/>
    <w:rsid w:val="1C283DBA"/>
    <w:rsid w:val="1E046FEB"/>
    <w:rsid w:val="1F5473EE"/>
    <w:rsid w:val="2012631B"/>
    <w:rsid w:val="23D54B1D"/>
    <w:rsid w:val="24065F74"/>
    <w:rsid w:val="24286294"/>
    <w:rsid w:val="24875E43"/>
    <w:rsid w:val="25BB7E0B"/>
    <w:rsid w:val="27D8088F"/>
    <w:rsid w:val="2F2441A9"/>
    <w:rsid w:val="30A25EDE"/>
    <w:rsid w:val="32AC4DF2"/>
    <w:rsid w:val="335E0EED"/>
    <w:rsid w:val="34821599"/>
    <w:rsid w:val="36D0597D"/>
    <w:rsid w:val="374A1790"/>
    <w:rsid w:val="39070FD4"/>
    <w:rsid w:val="399A3EFC"/>
    <w:rsid w:val="39DC6326"/>
    <w:rsid w:val="3BA0693C"/>
    <w:rsid w:val="3CC86CCC"/>
    <w:rsid w:val="3D9025F8"/>
    <w:rsid w:val="41670862"/>
    <w:rsid w:val="42F80F18"/>
    <w:rsid w:val="4312090C"/>
    <w:rsid w:val="450874BB"/>
    <w:rsid w:val="45915881"/>
    <w:rsid w:val="465A1B66"/>
    <w:rsid w:val="493E4AC4"/>
    <w:rsid w:val="4A183841"/>
    <w:rsid w:val="4CB678D6"/>
    <w:rsid w:val="4D810EFD"/>
    <w:rsid w:val="4DB04A8F"/>
    <w:rsid w:val="4E262DD2"/>
    <w:rsid w:val="503C7C14"/>
    <w:rsid w:val="511B3417"/>
    <w:rsid w:val="53DD7FE6"/>
    <w:rsid w:val="561D3F78"/>
    <w:rsid w:val="569555D7"/>
    <w:rsid w:val="56F94360"/>
    <w:rsid w:val="57351A5F"/>
    <w:rsid w:val="57607E54"/>
    <w:rsid w:val="58A65CBC"/>
    <w:rsid w:val="5B2B7073"/>
    <w:rsid w:val="5B3171D2"/>
    <w:rsid w:val="5BB4249E"/>
    <w:rsid w:val="5C7E485A"/>
    <w:rsid w:val="5F481CA4"/>
    <w:rsid w:val="6051475F"/>
    <w:rsid w:val="624D71A8"/>
    <w:rsid w:val="62885CDB"/>
    <w:rsid w:val="63A64DC2"/>
    <w:rsid w:val="66091638"/>
    <w:rsid w:val="66A83253"/>
    <w:rsid w:val="6AEA0F51"/>
    <w:rsid w:val="6DF82EE1"/>
    <w:rsid w:val="70116E40"/>
    <w:rsid w:val="70874800"/>
    <w:rsid w:val="725A5FC2"/>
    <w:rsid w:val="74195766"/>
    <w:rsid w:val="74B9291B"/>
    <w:rsid w:val="7AB60375"/>
    <w:rsid w:val="7BC57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3">
    <w:name w:val="heading 1"/>
    <w:basedOn w:val="1"/>
    <w:next w:val="1"/>
    <w:qFormat/>
    <w:uiPriority w:val="9"/>
    <w:pPr>
      <w:keepNext/>
      <w:keepLines/>
      <w:spacing w:before="220" w:beforeLines="0" w:beforeAutospacing="0" w:after="210" w:afterLines="0" w:afterAutospacing="0" w:line="240" w:lineRule="auto"/>
      <w:outlineLvl w:val="0"/>
    </w:pPr>
    <w:rPr>
      <w:rFonts w:asciiTheme="minorAscii" w:hAnsiTheme="minorAscii"/>
      <w:b/>
      <w:kern w:val="44"/>
      <w:sz w:val="36"/>
    </w:rPr>
  </w:style>
  <w:style w:type="paragraph" w:styleId="4">
    <w:name w:val="heading 2"/>
    <w:basedOn w:val="3"/>
    <w:next w:val="1"/>
    <w:unhideWhenUsed/>
    <w:qFormat/>
    <w:uiPriority w:val="9"/>
    <w:pPr>
      <w:keepNext/>
      <w:keepLines/>
      <w:spacing w:before="260" w:beforeLines="0" w:beforeAutospacing="0" w:after="260" w:afterLines="0" w:afterAutospacing="0" w:line="413" w:lineRule="auto"/>
      <w:outlineLvl w:val="1"/>
    </w:pPr>
    <w:rPr>
      <w:rFonts w:ascii="Arial" w:hAnsi="Arial" w:eastAsia="宋体"/>
      <w:sz w:val="32"/>
    </w:rPr>
  </w:style>
  <w:style w:type="paragraph" w:styleId="5">
    <w:name w:val="heading 5"/>
    <w:basedOn w:val="1"/>
    <w:next w:val="1"/>
    <w:unhideWhenUsed/>
    <w:qFormat/>
    <w:uiPriority w:val="0"/>
    <w:pPr>
      <w:keepNext/>
      <w:keepLines/>
      <w:spacing w:before="280" w:after="290" w:line="376" w:lineRule="auto"/>
      <w:ind w:firstLine="0" w:firstLineChars="0"/>
      <w:outlineLvl w:val="4"/>
    </w:pPr>
    <w:rPr>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annotation text"/>
    <w:basedOn w:val="1"/>
    <w:qFormat/>
    <w:uiPriority w:val="0"/>
    <w:pPr>
      <w:jc w:val="left"/>
    </w:pPr>
  </w:style>
  <w:style w:type="paragraph" w:styleId="7">
    <w:name w:val="Body Text Indent"/>
    <w:basedOn w:val="1"/>
    <w:next w:val="2"/>
    <w:unhideWhenUsed/>
    <w:qFormat/>
    <w:uiPriority w:val="99"/>
    <w:pPr>
      <w:spacing w:after="120"/>
      <w:ind w:left="420" w:leftChars="200"/>
    </w:p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Body Text 2"/>
    <w:basedOn w:val="1"/>
    <w:qFormat/>
    <w:uiPriority w:val="99"/>
    <w:pPr>
      <w:ind w:firstLine="200" w:firstLineChars="200"/>
    </w:pPr>
    <w:rPr>
      <w:kern w:val="2"/>
      <w:szCs w:val="24"/>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5"/>
    <w:next w:val="1"/>
    <w:qFormat/>
    <w:uiPriority w:val="0"/>
    <w:pPr>
      <w:spacing w:before="50" w:beforeLines="50" w:after="50" w:afterLines="50" w:line="240" w:lineRule="auto"/>
      <w:jc w:val="center"/>
      <w:outlineLvl w:val="9"/>
    </w:pPr>
    <w:rPr>
      <w:rFonts w:cs="Times New Roman"/>
      <w:bCs w:val="0"/>
      <w:sz w:val="21"/>
      <w:szCs w:val="32"/>
    </w:rPr>
  </w:style>
  <w:style w:type="paragraph" w:styleId="15">
    <w:name w:val="Body Text First Indent"/>
    <w:basedOn w:val="2"/>
    <w:qFormat/>
    <w:uiPriority w:val="99"/>
    <w:pPr>
      <w:ind w:firstLine="420" w:firstLineChars="100"/>
    </w:pPr>
    <w:rPr>
      <w:lang w:val="zh-CN"/>
    </w:rPr>
  </w:style>
  <w:style w:type="paragraph" w:styleId="16">
    <w:name w:val="Body Text First Indent 2"/>
    <w:basedOn w:val="7"/>
    <w:next w:val="1"/>
    <w:qFormat/>
    <w:uiPriority w:val="0"/>
    <w:pPr>
      <w:ind w:firstLine="420" w:firstLineChars="200"/>
    </w:pPr>
    <w:rPr>
      <w:rFonts w:ascii="Calibri" w:hAnsi="Calibri" w:eastAsia="宋体" w:cs="Times New Roman"/>
      <w:sz w:val="32"/>
    </w:rPr>
  </w:style>
  <w:style w:type="table" w:styleId="18">
    <w:name w:val="Table Grid"/>
    <w:basedOn w:val="1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xl27"/>
    <w:basedOn w:val="1"/>
    <w:qFormat/>
    <w:uiPriority w:val="99"/>
    <w:pPr>
      <w:widowControl/>
      <w:pBdr>
        <w:bottom w:val="single" w:color="auto" w:sz="4" w:space="0"/>
        <w:right w:val="single" w:color="auto" w:sz="4" w:space="0"/>
      </w:pBdr>
      <w:spacing w:before="100" w:beforeAutospacing="1" w:after="100" w:afterAutospacing="1" w:line="240" w:lineRule="auto"/>
      <w:jc w:val="center"/>
    </w:pPr>
    <w:rPr>
      <w:kern w:val="0"/>
      <w:sz w:val="21"/>
      <w:szCs w:val="21"/>
    </w:rPr>
  </w:style>
  <w:style w:type="paragraph" w:customStyle="1" w:styleId="22">
    <w:name w:val="（正文）"/>
    <w:basedOn w:val="1"/>
    <w:qFormat/>
    <w:uiPriority w:val="0"/>
    <w:pPr>
      <w:ind w:firstLine="200" w:firstLineChars="200"/>
    </w:pPr>
    <w:rPr>
      <w:rFonts w:asciiTheme="minorHAnsi" w:hAnsiTheme="minorHAnsi" w:eastAsiaTheme="minorEastAsia" w:cstheme="minorBidi"/>
      <w:kern w:val="2"/>
      <w:szCs w:val="22"/>
    </w:rPr>
  </w:style>
  <w:style w:type="table" w:customStyle="1" w:styleId="23">
    <w:name w:val="Table Normal"/>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24">
    <w:name w:val="S表标题"/>
    <w:next w:val="25"/>
    <w:qFormat/>
    <w:uiPriority w:val="0"/>
    <w:pPr>
      <w:keepNext/>
      <w:keepLines/>
      <w:widowControl w:val="0"/>
      <w:numPr>
        <w:ilvl w:val="4"/>
        <w:numId w:val="1"/>
      </w:numPr>
      <w:wordWrap w:val="0"/>
      <w:spacing w:before="50" w:beforeLines="50" w:after="50" w:afterLines="50"/>
      <w:ind w:left="0"/>
      <w:jc w:val="center"/>
    </w:pPr>
    <w:rPr>
      <w:rFonts w:ascii="Times New Roman" w:hAnsi="Times New Roman" w:eastAsia="宋体" w:cs="Times New Roman"/>
      <w:b/>
      <w:kern w:val="2"/>
      <w:sz w:val="21"/>
      <w:szCs w:val="32"/>
      <w:lang w:val="en-US" w:eastAsia="zh-CN" w:bidi="ar-SA"/>
    </w:rPr>
  </w:style>
  <w:style w:type="paragraph" w:customStyle="1" w:styleId="25">
    <w:name w:val="S正文"/>
    <w:basedOn w:val="1"/>
    <w:qFormat/>
    <w:uiPriority w:val="0"/>
    <w:rPr>
      <w:rFonts w:cs="Times New Roman"/>
    </w:rPr>
  </w:style>
  <w:style w:type="paragraph" w:customStyle="1" w:styleId="26">
    <w:name w:val="S表正文"/>
    <w:basedOn w:val="14"/>
    <w:qFormat/>
    <w:uiPriority w:val="0"/>
    <w:pPr>
      <w:keepNext w:val="0"/>
      <w:keepLines w:val="0"/>
      <w:spacing w:before="0" w:beforeLines="0" w:after="0" w:afterLines="0"/>
    </w:pPr>
    <w:rPr>
      <w:rFonts w:cs="Times New Roman"/>
      <w:b w:val="0"/>
    </w:rPr>
  </w:style>
  <w:style w:type="character" w:customStyle="1" w:styleId="27">
    <w:name w:val="样式 正文文本 2lifr 正文 + 宋体 Char"/>
    <w:link w:val="28"/>
    <w:qFormat/>
    <w:uiPriority w:val="0"/>
    <w:rPr>
      <w:kern w:val="0"/>
    </w:rPr>
  </w:style>
  <w:style w:type="paragraph" w:customStyle="1" w:styleId="28">
    <w:name w:val="样式 正文文本 2lifr 正文 + 宋体"/>
    <w:basedOn w:val="12"/>
    <w:link w:val="27"/>
    <w:qFormat/>
    <w:uiPriority w:val="0"/>
    <w:rPr>
      <w:kern w:val="0"/>
    </w:rPr>
  </w:style>
  <w:style w:type="paragraph" w:customStyle="1" w:styleId="29">
    <w:name w:val="表文字"/>
    <w:basedOn w:val="1"/>
    <w:qFormat/>
    <w:uiPriority w:val="0"/>
    <w:pPr>
      <w:overflowPunct w:val="0"/>
      <w:autoSpaceDE w:val="0"/>
      <w:autoSpaceDN w:val="0"/>
      <w:adjustRightInd w:val="0"/>
      <w:spacing w:line="240" w:lineRule="atLeast"/>
      <w:jc w:val="center"/>
      <w:textAlignment w:val="baseline"/>
    </w:pPr>
    <w:rPr>
      <w:kern w:val="0"/>
    </w:rPr>
  </w:style>
  <w:style w:type="character" w:customStyle="1" w:styleId="30">
    <w:name w:val="font01"/>
    <w:basedOn w:val="19"/>
    <w:qFormat/>
    <w:uiPriority w:val="0"/>
    <w:rPr>
      <w:rFonts w:hint="eastAsia" w:ascii="宋体" w:hAnsi="宋体" w:eastAsia="宋体" w:cs="宋体"/>
      <w:color w:val="000000"/>
      <w:sz w:val="22"/>
      <w:szCs w:val="22"/>
      <w:u w:val="none"/>
    </w:rPr>
  </w:style>
  <w:style w:type="paragraph" w:customStyle="1" w:styleId="31">
    <w:name w:val="Table Paragraph"/>
    <w:qFormat/>
    <w:uiPriority w:val="1"/>
    <w:pPr>
      <w:widowControl w:val="0"/>
      <w:adjustRightInd w:val="0"/>
      <w:snapToGrid w:val="0"/>
      <w:spacing w:line="240" w:lineRule="auto"/>
      <w:ind w:firstLine="0" w:firstLineChars="0"/>
      <w:jc w:val="both"/>
    </w:pPr>
    <w:rPr>
      <w:rFonts w:ascii="Times New Roman" w:hAnsi="Times New Roman" w:eastAsia="仿宋_GB2312" w:cs="仿宋"/>
      <w:kern w:val="2"/>
      <w:sz w:val="24"/>
      <w:szCs w:val="24"/>
      <w:lang w:val="en-US" w:eastAsia="zh-CN" w:bidi="ar-SA"/>
    </w:rPr>
  </w:style>
  <w:style w:type="paragraph" w:customStyle="1" w:styleId="32">
    <w:name w:val="操作-表文"/>
    <w:basedOn w:val="33"/>
    <w:qFormat/>
    <w:uiPriority w:val="0"/>
    <w:pPr>
      <w:widowControl w:val="0"/>
      <w:spacing w:line="240" w:lineRule="auto"/>
      <w:ind w:firstLine="0" w:firstLineChars="0"/>
      <w:jc w:val="center"/>
    </w:pPr>
    <w:rPr>
      <w:rFonts w:ascii="仿宋" w:hAnsi="仿宋" w:eastAsia="黑体" w:cs="仿宋"/>
      <w:kern w:val="2"/>
      <w:sz w:val="28"/>
      <w:szCs w:val="24"/>
      <w:lang w:val="en-US" w:eastAsia="zh-CN" w:bidi="ar-SA"/>
    </w:rPr>
  </w:style>
  <w:style w:type="paragraph" w:customStyle="1" w:styleId="33">
    <w:name w:val="操作规程-正文"/>
    <w:basedOn w:val="1"/>
    <w:qFormat/>
    <w:uiPriority w:val="0"/>
    <w:pPr>
      <w:spacing w:line="360" w:lineRule="auto"/>
      <w:ind w:firstLine="640" w:firstLineChars="200"/>
      <w:jc w:val="both"/>
    </w:pPr>
    <w:rPr>
      <w:rFonts w:ascii="仿宋" w:hAnsi="仿宋" w:eastAsia="仿宋" w:cs="仿宋"/>
      <w:kern w:val="2"/>
      <w:sz w:val="28"/>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20385</Words>
  <Characters>23254</Characters>
  <Lines>0</Lines>
  <Paragraphs>0</Paragraphs>
  <TotalTime>4</TotalTime>
  <ScaleCrop>false</ScaleCrop>
  <LinksUpToDate>false</LinksUpToDate>
  <CharactersWithSpaces>23485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2022-02-10T03:05:00Z</dcterms:created>
  <dc:creator>Hyupunos</dc:creator>
  <cp:lastModifiedBy>逆势而上</cp:lastModifiedBy>
  <dcterms:modified xsi:type="dcterms:W3CDTF">2024-02-19T02:00:42Z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E7AEFDA6D2B741D1A944223E41B28494</vt:lpwstr>
  </property>
</Properties>
</file>