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8"/>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新晃产业开发区</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14:paraId="257D9EB6"/>
    <w:p w14:paraId="4B9CD697">
      <w:pPr>
        <w:pStyle w:val="8"/>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绩效管理工作开展情况</w:t>
      </w:r>
    </w:p>
    <w:p w14:paraId="5C8C6330">
      <w:pPr>
        <w:spacing w:line="560" w:lineRule="exact"/>
        <w:ind w:left="0" w:firstLine="640" w:firstLineChars="200"/>
        <w:jc w:val="left"/>
        <w:rPr>
          <w:rFonts w:hint="default" w:eastAsia="仿宋_GB2312"/>
          <w:sz w:val="32"/>
          <w:szCs w:val="32"/>
        </w:rPr>
      </w:pPr>
      <w:r>
        <w:rPr>
          <w:rFonts w:hint="eastAsia" w:ascii="仿宋_GB2312" w:hAnsi="Times New Roman" w:eastAsia="仿宋_GB2312" w:cs="Times New Roman"/>
          <w:sz w:val="32"/>
          <w:szCs w:val="32"/>
        </w:rPr>
        <w:t>本次绩效</w:t>
      </w:r>
      <w:r>
        <w:rPr>
          <w:rFonts w:hint="eastAsia" w:ascii="仿宋_GB2312" w:hAnsi="Times New Roman" w:eastAsia="仿宋_GB2312" w:cs="Times New Roman"/>
          <w:sz w:val="32"/>
          <w:szCs w:val="32"/>
          <w:lang w:eastAsia="zh-CN"/>
        </w:rPr>
        <w:t>运行监控</w:t>
      </w:r>
      <w:r>
        <w:rPr>
          <w:rFonts w:hint="eastAsia" w:ascii="仿宋_GB2312" w:hAnsi="Times New Roman" w:eastAsia="仿宋_GB2312" w:cs="Times New Roman"/>
          <w:sz w:val="32"/>
          <w:szCs w:val="32"/>
        </w:rPr>
        <w:t>对象为</w:t>
      </w:r>
      <w:r>
        <w:rPr>
          <w:rFonts w:hint="eastAsia" w:eastAsia="仿宋_GB2312"/>
          <w:sz w:val="32"/>
          <w:szCs w:val="32"/>
          <w:lang w:val="en-US" w:eastAsia="zh-CN"/>
        </w:rPr>
        <w:t>新晃产业开发区基础设施建设</w:t>
      </w:r>
      <w:r>
        <w:rPr>
          <w:rFonts w:hint="default" w:eastAsia="仿宋_GB2312"/>
          <w:sz w:val="32"/>
          <w:szCs w:val="32"/>
        </w:rPr>
        <w:t>项目</w:t>
      </w:r>
      <w:r>
        <w:rPr>
          <w:rFonts w:hint="eastAsia" w:ascii="仿宋_GB2312" w:hAnsi="Times New Roman" w:eastAsia="仿宋_GB2312" w:cs="Times New Roman"/>
          <w:sz w:val="32"/>
          <w:szCs w:val="32"/>
        </w:rPr>
        <w:t>，范围涉及</w:t>
      </w:r>
      <w:r>
        <w:rPr>
          <w:rFonts w:hint="eastAsia" w:ascii="仿宋_GB2312" w:hAnsi="Times New Roman" w:eastAsia="仿宋_GB2312" w:cs="Times New Roman"/>
          <w:sz w:val="32"/>
          <w:szCs w:val="32"/>
          <w:lang w:eastAsia="zh-CN"/>
        </w:rPr>
        <w:t>新晃产业开发区范围内</w:t>
      </w:r>
      <w:r>
        <w:rPr>
          <w:rFonts w:hint="eastAsia" w:ascii="仿宋_GB2312" w:hAnsi="Times New Roman" w:eastAsia="仿宋_GB2312" w:cs="Times New Roman"/>
          <w:sz w:val="32"/>
          <w:szCs w:val="32"/>
          <w:lang w:val="en-US" w:eastAsia="zh-CN"/>
        </w:rPr>
        <w:t>2023年度</w:t>
      </w:r>
      <w:r>
        <w:rPr>
          <w:rFonts w:hint="eastAsia" w:ascii="仿宋_GB2312" w:hAnsi="Times New Roman" w:eastAsia="仿宋_GB2312" w:cs="Times New Roman"/>
          <w:sz w:val="32"/>
          <w:szCs w:val="32"/>
          <w:lang w:eastAsia="zh-CN"/>
        </w:rPr>
        <w:t>所有项目</w:t>
      </w:r>
      <w:r>
        <w:rPr>
          <w:rFonts w:hint="eastAsia" w:ascii="仿宋_GB2312" w:hAnsi="Times New Roman" w:eastAsia="仿宋_GB2312" w:cs="Times New Roman"/>
          <w:sz w:val="32"/>
          <w:szCs w:val="32"/>
        </w:rPr>
        <w:t>。</w:t>
      </w:r>
      <w:r>
        <w:rPr>
          <w:rFonts w:hint="eastAsia" w:eastAsia="仿宋_GB2312"/>
          <w:sz w:val="32"/>
          <w:szCs w:val="32"/>
          <w:lang w:val="en-US" w:eastAsia="zh-CN"/>
        </w:rPr>
        <w:t>新晃产业开发区</w:t>
      </w:r>
      <w:r>
        <w:rPr>
          <w:rFonts w:hint="default" w:eastAsia="仿宋_GB2312"/>
          <w:sz w:val="32"/>
          <w:szCs w:val="32"/>
        </w:rPr>
        <w:t>成立了以</w:t>
      </w:r>
      <w:r>
        <w:rPr>
          <w:rFonts w:hint="eastAsia" w:eastAsia="仿宋_GB2312"/>
          <w:sz w:val="32"/>
          <w:szCs w:val="32"/>
          <w:lang w:eastAsia="zh-CN"/>
        </w:rPr>
        <w:t>党工委</w:t>
      </w:r>
      <w:r>
        <w:rPr>
          <w:rFonts w:hint="default" w:eastAsia="仿宋_GB2312"/>
          <w:sz w:val="32"/>
          <w:szCs w:val="32"/>
        </w:rPr>
        <w:t>书记为</w:t>
      </w:r>
      <w:r>
        <w:rPr>
          <w:rFonts w:hint="default" w:eastAsia="仿宋_GB2312"/>
          <w:sz w:val="32"/>
          <w:szCs w:val="32"/>
          <w:lang w:val="en-US" w:eastAsia="zh-CN"/>
        </w:rPr>
        <w:t>组长</w:t>
      </w:r>
      <w:r>
        <w:rPr>
          <w:rFonts w:hint="default" w:eastAsia="仿宋_GB2312"/>
          <w:sz w:val="32"/>
          <w:szCs w:val="32"/>
        </w:rPr>
        <w:t>的</w:t>
      </w:r>
      <w:r>
        <w:rPr>
          <w:rFonts w:hint="eastAsia" w:eastAsia="仿宋_GB2312"/>
          <w:sz w:val="32"/>
          <w:szCs w:val="32"/>
          <w:lang w:val="en-US" w:eastAsia="zh-CN"/>
        </w:rPr>
        <w:t>项目自评工作</w:t>
      </w:r>
      <w:r>
        <w:rPr>
          <w:rFonts w:hint="default" w:eastAsia="仿宋_GB2312"/>
          <w:sz w:val="32"/>
          <w:szCs w:val="32"/>
          <w:lang w:val="en-US" w:eastAsia="zh-CN"/>
        </w:rPr>
        <w:t>小组</w:t>
      </w:r>
      <w:r>
        <w:rPr>
          <w:rFonts w:hint="default" w:eastAsia="仿宋_GB2312"/>
          <w:sz w:val="32"/>
          <w:szCs w:val="32"/>
        </w:rPr>
        <w:t>，明确了</w:t>
      </w:r>
      <w:r>
        <w:rPr>
          <w:rFonts w:hint="eastAsia" w:eastAsia="仿宋_GB2312"/>
          <w:sz w:val="32"/>
          <w:szCs w:val="32"/>
          <w:lang w:eastAsia="zh-CN"/>
        </w:rPr>
        <w:t>项目自评</w:t>
      </w:r>
      <w:r>
        <w:rPr>
          <w:rFonts w:hint="default" w:eastAsia="仿宋_GB2312"/>
          <w:sz w:val="32"/>
          <w:szCs w:val="32"/>
          <w:lang w:val="en-US" w:eastAsia="zh-CN"/>
        </w:rPr>
        <w:t>小组</w:t>
      </w:r>
      <w:r>
        <w:rPr>
          <w:rFonts w:hint="default" w:eastAsia="仿宋_GB2312"/>
          <w:sz w:val="32"/>
          <w:szCs w:val="32"/>
        </w:rPr>
        <w:t>、</w:t>
      </w:r>
      <w:r>
        <w:rPr>
          <w:rFonts w:hint="eastAsia" w:eastAsia="仿宋_GB2312"/>
          <w:sz w:val="32"/>
          <w:szCs w:val="32"/>
          <w:lang w:eastAsia="zh-CN"/>
        </w:rPr>
        <w:t>各部室长的</w:t>
      </w:r>
      <w:r>
        <w:rPr>
          <w:rFonts w:hint="default" w:eastAsia="仿宋_GB2312"/>
          <w:sz w:val="32"/>
          <w:szCs w:val="32"/>
        </w:rPr>
        <w:t>主要职责，并出台了相应的管理制度，加强</w:t>
      </w:r>
      <w:r>
        <w:rPr>
          <w:rFonts w:hint="eastAsia" w:eastAsia="仿宋_GB2312"/>
          <w:sz w:val="32"/>
          <w:szCs w:val="32"/>
          <w:lang w:eastAsia="zh-CN"/>
        </w:rPr>
        <w:t>项目资金</w:t>
      </w:r>
      <w:r>
        <w:rPr>
          <w:rFonts w:hint="default" w:eastAsia="仿宋_GB2312"/>
          <w:sz w:val="32"/>
          <w:szCs w:val="32"/>
        </w:rPr>
        <w:t>管理。同时，明确了项目</w:t>
      </w:r>
      <w:r>
        <w:rPr>
          <w:rFonts w:hint="eastAsia" w:eastAsia="仿宋_GB2312"/>
          <w:sz w:val="32"/>
          <w:szCs w:val="32"/>
          <w:lang w:eastAsia="zh-CN"/>
        </w:rPr>
        <w:t>管理</w:t>
      </w:r>
      <w:r>
        <w:rPr>
          <w:rFonts w:hint="default" w:eastAsia="仿宋_GB2312"/>
          <w:sz w:val="32"/>
          <w:szCs w:val="32"/>
        </w:rPr>
        <w:t>主体</w:t>
      </w:r>
      <w:r>
        <w:rPr>
          <w:rFonts w:hint="eastAsia" w:eastAsia="仿宋_GB2312"/>
          <w:sz w:val="32"/>
          <w:szCs w:val="32"/>
          <w:lang w:eastAsia="zh-CN"/>
        </w:rPr>
        <w:t>部门</w:t>
      </w:r>
      <w:r>
        <w:rPr>
          <w:rFonts w:hint="default" w:eastAsia="仿宋_GB2312"/>
          <w:sz w:val="32"/>
          <w:szCs w:val="32"/>
        </w:rPr>
        <w:t>。但项目存在</w:t>
      </w:r>
      <w:r>
        <w:rPr>
          <w:rFonts w:hint="eastAsia" w:eastAsia="仿宋_GB2312"/>
          <w:sz w:val="32"/>
          <w:szCs w:val="32"/>
          <w:lang w:eastAsia="zh-CN"/>
        </w:rPr>
        <w:t>财政资金拨入不及时</w:t>
      </w:r>
      <w:r>
        <w:rPr>
          <w:rFonts w:hint="default" w:eastAsia="仿宋_GB2312"/>
          <w:sz w:val="32"/>
          <w:szCs w:val="32"/>
        </w:rPr>
        <w:t>，部分项目实施进度缓慢等问题。</w:t>
      </w:r>
    </w:p>
    <w:p w14:paraId="3E78AFC4">
      <w:pPr>
        <w:pStyle w:val="8"/>
        <w:keepNext w:val="0"/>
        <w:keepLines w:val="0"/>
        <w:pageBreakBefore w:val="0"/>
        <w:widowControl w:val="0"/>
        <w:numPr>
          <w:numId w:val="0"/>
        </w:numPr>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lang w:eastAsia="zh-CN"/>
        </w:rPr>
      </w:pPr>
    </w:p>
    <w:p w14:paraId="0157170E">
      <w:pPr>
        <w:pStyle w:val="8"/>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09A69A0D">
      <w:pPr>
        <w:widowControl/>
        <w:spacing w:line="520" w:lineRule="atLeast"/>
        <w:ind w:firstLine="640" w:firstLineChars="200"/>
        <w:jc w:val="left"/>
        <w:rPr>
          <w:rFonts w:ascii="仿宋" w:hAnsi="仿宋" w:eastAsia="仿宋"/>
          <w:sz w:val="32"/>
          <w:szCs w:val="32"/>
        </w:rPr>
      </w:pPr>
      <w:r>
        <w:rPr>
          <w:rFonts w:ascii="仿宋_GB2312" w:hAnsi="仿宋" w:eastAsia="仿宋_GB2312" w:cs="Times New Roman"/>
          <w:kern w:val="2"/>
          <w:sz w:val="32"/>
          <w:szCs w:val="32"/>
        </w:rPr>
        <w:t>新晃产业开发区党工委、管委会</w:t>
      </w:r>
      <w:r>
        <w:rPr>
          <w:rFonts w:hint="default" w:ascii="Times New Roman" w:hAnsi="Times New Roman" w:eastAsia="仿宋_GB2312" w:cs="Times New Roman"/>
          <w:color w:val="auto"/>
          <w:sz w:val="32"/>
          <w:szCs w:val="32"/>
        </w:rPr>
        <w:t>在县委、县政府的领导下，坚持以习近平新时代中国特色社会主义思想为指导，深入学习党的二十大精神，全面贯彻落实中央、省、市决策部署，围绕我县“一堡五高地”总体布局，抢抓国际陆港新晃港成立第一历史机遇，以项目建设为抓手，积极申报化工园区和金属材料基地，推进精细化工和50万吨高碳铬铁两基地建设，锚定“五好”园区考核创先争优</w:t>
      </w:r>
      <w:r>
        <w:rPr>
          <w:rFonts w:ascii="仿宋_GB2312" w:hAnsi="仿宋" w:eastAsia="仿宋_GB2312" w:cs="Times New Roman"/>
          <w:kern w:val="2"/>
          <w:sz w:val="32"/>
          <w:szCs w:val="32"/>
        </w:rPr>
        <w:t>。</w:t>
      </w:r>
      <w:r>
        <w:rPr>
          <w:rFonts w:ascii="仿宋" w:hAnsi="仿宋" w:eastAsia="仿宋"/>
          <w:sz w:val="32"/>
          <w:szCs w:val="32"/>
        </w:rPr>
        <w:t xml:space="preserve">根据《部门整体支出绩效评价指标》评分， </w:t>
      </w:r>
      <w:r>
        <w:rPr>
          <w:rFonts w:hint="eastAsia" w:ascii="仿宋" w:hAnsi="仿宋" w:eastAsia="仿宋"/>
          <w:sz w:val="32"/>
          <w:szCs w:val="32"/>
          <w:lang w:eastAsia="zh-CN"/>
        </w:rPr>
        <w:t>2023年</w:t>
      </w:r>
      <w:r>
        <w:rPr>
          <w:rFonts w:ascii="仿宋" w:hAnsi="仿宋" w:eastAsia="仿宋"/>
          <w:sz w:val="32"/>
          <w:szCs w:val="32"/>
        </w:rPr>
        <w:t>度评价得</w:t>
      </w:r>
      <w:r>
        <w:rPr>
          <w:rFonts w:ascii="仿宋" w:hAnsi="仿宋" w:eastAsia="仿宋"/>
          <w:color w:val="auto"/>
          <w:sz w:val="32"/>
          <w:szCs w:val="32"/>
        </w:rPr>
        <w:t>分</w:t>
      </w:r>
      <w:r>
        <w:rPr>
          <w:rFonts w:hint="eastAsia" w:ascii="仿宋" w:hAnsi="仿宋" w:eastAsia="仿宋"/>
          <w:color w:val="auto"/>
          <w:sz w:val="32"/>
          <w:szCs w:val="32"/>
          <w:lang w:val="en-US" w:eastAsia="zh-CN"/>
        </w:rPr>
        <w:t>92</w:t>
      </w:r>
      <w:r>
        <w:rPr>
          <w:rFonts w:ascii="仿宋" w:hAnsi="仿宋" w:eastAsia="仿宋"/>
          <w:color w:val="auto"/>
          <w:sz w:val="32"/>
          <w:szCs w:val="32"/>
        </w:rPr>
        <w:t>分(</w:t>
      </w:r>
      <w:r>
        <w:rPr>
          <w:rFonts w:hint="eastAsia" w:ascii="仿宋" w:hAnsi="仿宋" w:eastAsia="仿宋"/>
          <w:sz w:val="32"/>
          <w:szCs w:val="32"/>
        </w:rPr>
        <w:t>详见附件</w:t>
      </w:r>
      <w:r>
        <w:rPr>
          <w:rFonts w:ascii="仿宋" w:hAnsi="仿宋" w:eastAsia="仿宋"/>
          <w:sz w:val="32"/>
          <w:szCs w:val="32"/>
        </w:rPr>
        <w:t>)</w:t>
      </w:r>
      <w:r>
        <w:rPr>
          <w:rFonts w:hint="eastAsia" w:ascii="仿宋" w:hAnsi="仿宋" w:eastAsia="仿宋"/>
          <w:sz w:val="32"/>
          <w:szCs w:val="32"/>
        </w:rPr>
        <w:t>，部门整体支出绩效为“</w:t>
      </w:r>
      <w:r>
        <w:rPr>
          <w:rFonts w:hint="eastAsia" w:ascii="仿宋" w:hAnsi="仿宋" w:eastAsia="仿宋"/>
          <w:sz w:val="32"/>
          <w:szCs w:val="32"/>
          <w:lang w:val="en-US" w:eastAsia="zh-CN"/>
        </w:rPr>
        <w:t>优秀</w:t>
      </w:r>
      <w:r>
        <w:rPr>
          <w:rFonts w:hint="eastAsia" w:ascii="仿宋" w:hAnsi="仿宋" w:eastAsia="仿宋"/>
          <w:sz w:val="32"/>
          <w:szCs w:val="32"/>
        </w:rPr>
        <w:t>”。</w:t>
      </w:r>
      <w:r>
        <w:rPr>
          <w:rFonts w:ascii="仿宋" w:hAnsi="仿宋" w:eastAsia="仿宋"/>
          <w:sz w:val="32"/>
          <w:szCs w:val="32"/>
        </w:rPr>
        <w:t>主要绩效如下：</w:t>
      </w:r>
    </w:p>
    <w:p w14:paraId="01522658">
      <w:pPr>
        <w:spacing w:line="360" w:lineRule="auto"/>
        <w:ind w:firstLine="643" w:firstLineChars="200"/>
        <w:rPr>
          <w:rFonts w:ascii="仿宋" w:hAnsi="仿宋" w:eastAsia="仿宋"/>
          <w:b/>
          <w:sz w:val="32"/>
          <w:szCs w:val="32"/>
        </w:rPr>
      </w:pPr>
      <w:bookmarkStart w:id="0" w:name="_Toc419142222"/>
      <w:r>
        <w:rPr>
          <w:rFonts w:ascii="仿宋" w:hAnsi="仿宋" w:eastAsia="仿宋"/>
          <w:b/>
          <w:sz w:val="32"/>
          <w:szCs w:val="32"/>
        </w:rPr>
        <w:t>（一）经济性评价</w:t>
      </w:r>
      <w:bookmarkEnd w:id="0"/>
    </w:p>
    <w:p w14:paraId="29BBDBDC">
      <w:pPr>
        <w:widowControl/>
        <w:spacing w:line="520" w:lineRule="atLeast"/>
        <w:ind w:firstLine="640" w:firstLineChars="200"/>
        <w:jc w:val="left"/>
        <w:rPr>
          <w:rFonts w:hint="eastAsia" w:ascii="仿宋" w:hAnsi="仿宋" w:eastAsia="仿宋"/>
          <w:color w:val="auto"/>
          <w:sz w:val="32"/>
          <w:szCs w:val="32"/>
          <w:lang w:eastAsia="zh-CN"/>
        </w:rPr>
      </w:pPr>
      <w:r>
        <w:rPr>
          <w:rFonts w:ascii="仿宋" w:hAnsi="仿宋" w:eastAsia="仿宋"/>
          <w:color w:val="auto"/>
          <w:sz w:val="32"/>
          <w:szCs w:val="32"/>
        </w:rPr>
        <w:t>预算配置方面：财政供养人员控制</w:t>
      </w:r>
      <w:r>
        <w:rPr>
          <w:rFonts w:hint="eastAsia" w:ascii="仿宋" w:hAnsi="仿宋" w:eastAsia="仿宋"/>
          <w:color w:val="auto"/>
          <w:sz w:val="32"/>
          <w:szCs w:val="32"/>
          <w:lang w:eastAsia="zh-CN"/>
        </w:rPr>
        <w:t>未</w:t>
      </w:r>
      <w:r>
        <w:rPr>
          <w:rFonts w:ascii="仿宋" w:hAnsi="仿宋" w:eastAsia="仿宋"/>
          <w:color w:val="auto"/>
          <w:sz w:val="32"/>
          <w:szCs w:val="32"/>
        </w:rPr>
        <w:t>超预算编制，在职人员控制率为</w:t>
      </w:r>
      <w:r>
        <w:rPr>
          <w:rFonts w:hint="eastAsia" w:ascii="仿宋" w:hAnsi="仿宋" w:eastAsia="仿宋"/>
          <w:color w:val="auto"/>
          <w:sz w:val="32"/>
          <w:szCs w:val="32"/>
          <w:lang w:val="en-US" w:eastAsia="zh-CN"/>
        </w:rPr>
        <w:t>92.5</w:t>
      </w:r>
      <w:r>
        <w:rPr>
          <w:rFonts w:ascii="仿宋" w:hAnsi="仿宋" w:eastAsia="仿宋"/>
          <w:color w:val="auto"/>
          <w:sz w:val="32"/>
          <w:szCs w:val="32"/>
        </w:rPr>
        <w:t>%；三公经费预算</w:t>
      </w:r>
      <w:r>
        <w:rPr>
          <w:rFonts w:hint="eastAsia" w:ascii="仿宋" w:hAnsi="仿宋" w:eastAsia="仿宋"/>
          <w:color w:val="auto"/>
          <w:sz w:val="32"/>
          <w:szCs w:val="32"/>
          <w:lang w:eastAsia="zh-CN"/>
        </w:rPr>
        <w:t>与上年持平。</w:t>
      </w:r>
    </w:p>
    <w:p w14:paraId="37B341B6">
      <w:pPr>
        <w:widowControl/>
        <w:spacing w:line="520" w:lineRule="atLeast"/>
        <w:ind w:firstLine="640" w:firstLineChars="200"/>
        <w:jc w:val="left"/>
        <w:rPr>
          <w:rFonts w:ascii="仿宋" w:hAnsi="仿宋" w:eastAsia="仿宋"/>
          <w:color w:val="auto"/>
          <w:sz w:val="32"/>
          <w:szCs w:val="32"/>
        </w:rPr>
      </w:pPr>
      <w:r>
        <w:rPr>
          <w:rFonts w:ascii="仿宋" w:hAnsi="仿宋" w:eastAsia="仿宋"/>
          <w:color w:val="auto"/>
          <w:sz w:val="32"/>
          <w:szCs w:val="32"/>
        </w:rPr>
        <w:t>预算执行方面：支出总额控制在预算总额以内，“三公经费”支出总额较上年</w:t>
      </w:r>
      <w:r>
        <w:rPr>
          <w:rFonts w:hint="eastAsia" w:ascii="仿宋" w:hAnsi="仿宋" w:eastAsia="仿宋"/>
          <w:color w:val="auto"/>
          <w:sz w:val="32"/>
          <w:szCs w:val="32"/>
          <w:lang w:eastAsia="zh-CN"/>
        </w:rPr>
        <w:t>增加</w:t>
      </w:r>
      <w:r>
        <w:rPr>
          <w:rFonts w:hint="eastAsia" w:ascii="仿宋" w:hAnsi="仿宋" w:eastAsia="仿宋"/>
          <w:sz w:val="28"/>
          <w:szCs w:val="28"/>
          <w:lang w:val="en-US" w:eastAsia="zh-CN"/>
        </w:rPr>
        <w:t>7.41</w:t>
      </w:r>
      <w:r>
        <w:rPr>
          <w:rFonts w:ascii="仿宋" w:hAnsi="仿宋" w:eastAsia="仿宋"/>
          <w:color w:val="auto"/>
          <w:sz w:val="32"/>
          <w:szCs w:val="32"/>
        </w:rPr>
        <w:t>万元，较预算</w:t>
      </w:r>
      <w:r>
        <w:rPr>
          <w:rFonts w:hint="eastAsia" w:ascii="仿宋" w:hAnsi="仿宋" w:eastAsia="仿宋"/>
          <w:color w:val="auto"/>
          <w:sz w:val="32"/>
          <w:szCs w:val="32"/>
          <w:lang w:eastAsia="zh-CN"/>
        </w:rPr>
        <w:t>超支</w:t>
      </w:r>
      <w:r>
        <w:rPr>
          <w:rFonts w:hint="eastAsia" w:ascii="仿宋" w:hAnsi="仿宋" w:eastAsia="仿宋"/>
          <w:sz w:val="28"/>
          <w:szCs w:val="28"/>
          <w:lang w:val="en-US" w:eastAsia="zh-CN"/>
        </w:rPr>
        <w:t>6.97</w:t>
      </w:r>
      <w:r>
        <w:rPr>
          <w:rFonts w:ascii="仿宋" w:hAnsi="仿宋" w:eastAsia="仿宋"/>
          <w:color w:val="auto"/>
          <w:sz w:val="32"/>
          <w:szCs w:val="32"/>
        </w:rPr>
        <w:t>万元</w:t>
      </w:r>
      <w:r>
        <w:rPr>
          <w:rFonts w:hint="eastAsia" w:ascii="仿宋" w:hAnsi="仿宋" w:eastAsia="仿宋"/>
          <w:color w:val="auto"/>
          <w:sz w:val="32"/>
          <w:szCs w:val="32"/>
          <w:lang w:eastAsia="zh-CN"/>
        </w:rPr>
        <w:t>，原因为</w:t>
      </w:r>
      <w:r>
        <w:rPr>
          <w:rFonts w:hint="eastAsia" w:ascii="仿宋" w:hAnsi="仿宋" w:eastAsia="仿宋"/>
          <w:sz w:val="32"/>
          <w:szCs w:val="32"/>
          <w:lang w:eastAsia="zh-CN"/>
        </w:rPr>
        <w:t>本年度发生临时因公出国费用</w:t>
      </w:r>
      <w:r>
        <w:rPr>
          <w:rFonts w:hint="eastAsia" w:ascii="仿宋" w:hAnsi="仿宋" w:eastAsia="仿宋" w:cs="Times New Roman"/>
          <w:sz w:val="32"/>
          <w:szCs w:val="32"/>
          <w:lang w:val="en-US" w:eastAsia="zh-CN"/>
        </w:rPr>
        <w:t>6.98万元。</w:t>
      </w:r>
    </w:p>
    <w:p w14:paraId="367BD5B0">
      <w:pPr>
        <w:spacing w:line="360" w:lineRule="auto"/>
        <w:ind w:firstLine="643" w:firstLineChars="200"/>
        <w:rPr>
          <w:rFonts w:ascii="仿宋" w:hAnsi="仿宋" w:eastAsia="仿宋"/>
          <w:b/>
          <w:sz w:val="32"/>
          <w:szCs w:val="32"/>
        </w:rPr>
      </w:pPr>
      <w:bookmarkStart w:id="1" w:name="_Toc419142226"/>
      <w:r>
        <w:rPr>
          <w:rFonts w:ascii="仿宋" w:hAnsi="仿宋" w:eastAsia="仿宋"/>
          <w:b/>
          <w:sz w:val="32"/>
          <w:szCs w:val="32"/>
        </w:rPr>
        <w:t>（二）行政效能评价</w:t>
      </w:r>
      <w:bookmarkEnd w:id="1"/>
    </w:p>
    <w:p w14:paraId="6CC38D8A">
      <w:pPr>
        <w:keepNext w:val="0"/>
        <w:keepLines w:val="0"/>
        <w:pageBreakBefore w:val="0"/>
        <w:widowControl w:val="0"/>
        <w:numPr>
          <w:ilvl w:val="0"/>
          <w:numId w:val="0"/>
        </w:numPr>
        <w:kinsoku/>
        <w:wordWrap/>
        <w:overflowPunct w:val="0"/>
        <w:topLinePunct w:val="0"/>
        <w:autoSpaceDE w:val="0"/>
        <w:autoSpaceDN/>
        <w:bidi w:val="0"/>
        <w:snapToGrid w:val="0"/>
        <w:spacing w:line="620" w:lineRule="exact"/>
        <w:ind w:firstLine="643" w:firstLineChars="200"/>
        <w:rPr>
          <w:rFonts w:hint="eastAsia"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1.完成经济指标，筑牢发展根基。</w:t>
      </w:r>
      <w:r>
        <w:rPr>
          <w:rFonts w:hint="eastAsia" w:ascii="Times New Roman" w:hAnsi="Times New Roman" w:eastAsia="仿宋_GB2312" w:cs="Times New Roman"/>
          <w:color w:val="auto"/>
          <w:sz w:val="32"/>
          <w:szCs w:val="32"/>
          <w:lang w:val="en-US" w:eastAsia="zh-CN"/>
        </w:rPr>
        <w:t>1-12月，园区实现技工贸收入105.55亿元，同比增长3.38%，；实现规模工业增加值21.99亿元，增速为25.1%；应交税金总额39061万元，亩均税收12.64万元/亩；高新技术企业营业收入58.23亿元，同比增长33.3%，占比55.17%；主导产业营业收入76.09亿元，同比增长2.77%，占比72.09%；完成招商引资总额内资到位13.21亿元，外资到位3.497万美元，进出口总额20867万元；完成固定资产投资19亿元，增速1.79%；新开工重大项目17个，新增规模工业企业10家，净增7家，新增专精特新小巨人企业2家。</w:t>
      </w:r>
    </w:p>
    <w:p w14:paraId="6AFC45D8">
      <w:pPr>
        <w:keepNext w:val="0"/>
        <w:keepLines w:val="0"/>
        <w:pageBreakBefore w:val="0"/>
        <w:widowControl w:val="0"/>
        <w:numPr>
          <w:ilvl w:val="0"/>
          <w:numId w:val="0"/>
        </w:numPr>
        <w:tabs>
          <w:tab w:val="left" w:pos="2661"/>
        </w:tabs>
        <w:kinsoku/>
        <w:wordWrap/>
        <w:overflowPunct/>
        <w:topLinePunct w:val="0"/>
        <w:autoSpaceDE/>
        <w:autoSpaceDN/>
        <w:bidi w:val="0"/>
        <w:adjustRightInd/>
        <w:snapToGrid/>
        <w:spacing w:line="620" w:lineRule="exact"/>
        <w:ind w:firstLine="643" w:firstLineChars="200"/>
        <w:jc w:val="both"/>
        <w:textAlignment w:val="auto"/>
        <w:rPr>
          <w:rFonts w:hint="default" w:ascii="Times New Roman" w:hAnsi="Times New Roman" w:eastAsia="仿宋_GB2312" w:cs="Times New Roman"/>
          <w:color w:val="auto"/>
          <w:sz w:val="32"/>
          <w:szCs w:val="32"/>
          <w:highlight w:val="none"/>
          <w:lang w:eastAsia="zh-CN" w:bidi="ar"/>
        </w:rPr>
      </w:pPr>
      <w:r>
        <w:rPr>
          <w:rFonts w:hint="eastAsia" w:ascii="Times New Roman" w:hAnsi="Times New Roman" w:eastAsia="楷体_GB2312" w:cs="Times New Roman"/>
          <w:b/>
          <w:bCs/>
          <w:color w:val="auto"/>
          <w:sz w:val="32"/>
          <w:szCs w:val="32"/>
          <w:highlight w:val="none"/>
          <w:lang w:val="en-US" w:eastAsia="zh-CN"/>
        </w:rPr>
        <w:t>2.</w:t>
      </w:r>
      <w:r>
        <w:rPr>
          <w:rFonts w:hint="default" w:ascii="Times New Roman" w:hAnsi="Times New Roman" w:eastAsia="楷体_GB2312" w:cs="Times New Roman"/>
          <w:b/>
          <w:bCs/>
          <w:color w:val="auto"/>
          <w:sz w:val="32"/>
          <w:szCs w:val="32"/>
          <w:highlight w:val="none"/>
          <w:lang w:val="en-US" w:eastAsia="zh-CN"/>
        </w:rPr>
        <w:t>申报两个基地，推动产业发展。</w:t>
      </w:r>
      <w:r>
        <w:rPr>
          <w:rFonts w:hint="default" w:ascii="Times New Roman" w:hAnsi="Times New Roman" w:eastAsia="仿宋_GB2312" w:cs="Times New Roman"/>
          <w:b/>
          <w:bCs/>
          <w:color w:val="auto"/>
          <w:sz w:val="32"/>
          <w:szCs w:val="32"/>
          <w:highlight w:val="none"/>
          <w:lang w:val="en-US" w:eastAsia="zh-CN" w:bidi="ar"/>
        </w:rPr>
        <w:t>一是高碳铬铁合金基地建设。</w:t>
      </w:r>
      <w:r>
        <w:rPr>
          <w:rFonts w:hint="default" w:ascii="Times New Roman" w:hAnsi="Times New Roman" w:eastAsia="仿宋_GB2312" w:cs="Times New Roman"/>
          <w:color w:val="auto"/>
          <w:sz w:val="32"/>
          <w:szCs w:val="32"/>
          <w:highlight w:val="none"/>
          <w:lang w:bidi="ar"/>
        </w:rPr>
        <w:t>推动市政府出台了铁合金产业高质量发展行动方案，明确新晃建设高碳铬铁生产基地，编制完成《湖南怀化铁合金基地西部片区新金属材料产业规划》</w:t>
      </w:r>
      <w:r>
        <w:rPr>
          <w:rFonts w:hint="eastAsia" w:ascii="Times New Roman" w:hAnsi="Times New Roman" w:eastAsia="仿宋_GB2312" w:cs="Times New Roman"/>
          <w:color w:val="auto"/>
          <w:sz w:val="32"/>
          <w:szCs w:val="32"/>
          <w:highlight w:val="none"/>
          <w:lang w:eastAsia="zh-CN" w:bidi="ar"/>
        </w:rPr>
        <w:t>，</w:t>
      </w:r>
      <w:r>
        <w:rPr>
          <w:rFonts w:hint="default" w:ascii="Times New Roman" w:hAnsi="Times New Roman" w:eastAsia="仿宋_GB2312" w:cs="Times New Roman"/>
          <w:color w:val="auto"/>
          <w:sz w:val="32"/>
          <w:szCs w:val="32"/>
          <w:highlight w:val="none"/>
          <w:lang w:bidi="ar"/>
        </w:rPr>
        <w:t>于5月24日获得省工信厅对该《规划》的同意复函，</w:t>
      </w:r>
      <w:r>
        <w:rPr>
          <w:rFonts w:hint="default" w:ascii="Times New Roman" w:hAnsi="Times New Roman" w:eastAsia="仿宋_GB2312" w:cs="Times New Roman"/>
          <w:color w:val="auto"/>
          <w:sz w:val="32"/>
          <w:szCs w:val="32"/>
          <w:highlight w:val="none"/>
          <w:lang w:eastAsia="zh-CN" w:bidi="ar"/>
        </w:rPr>
        <w:t>并于</w:t>
      </w:r>
      <w:r>
        <w:rPr>
          <w:rFonts w:hint="default" w:ascii="Times New Roman" w:hAnsi="Times New Roman" w:eastAsia="仿宋_GB2312" w:cs="Times New Roman"/>
          <w:color w:val="auto"/>
          <w:sz w:val="32"/>
          <w:szCs w:val="32"/>
          <w:highlight w:val="none"/>
          <w:lang w:val="en-US" w:eastAsia="zh-CN" w:bidi="ar"/>
        </w:rPr>
        <w:t>6月13日在新晃县人民政府官网公示，金属材料基地正式获批。基地建设现有支撑项目3个，其中贵州亿鑫能源有限公司年产30万吨中、低、微碳铬铁项目，目前正在编制项目可研报告；湖南厚补新材料有限公司年产10万吨高铁铬铁项目，也在进行项目可研报告编制；继续推进园区3家高碳铬铁生产企业6*33000KVA矿热炉技改升级项目建设。</w:t>
      </w:r>
      <w:r>
        <w:rPr>
          <w:rFonts w:hint="default" w:ascii="Times New Roman" w:hAnsi="Times New Roman" w:eastAsia="仿宋_GB2312" w:cs="Times New Roman"/>
          <w:b/>
          <w:bCs/>
          <w:color w:val="auto"/>
          <w:sz w:val="32"/>
          <w:szCs w:val="32"/>
          <w:highlight w:val="none"/>
          <w:lang w:val="en-US" w:eastAsia="zh-CN" w:bidi="ar"/>
        </w:rPr>
        <w:t>二是化工园区申报成功。</w:t>
      </w:r>
      <w:r>
        <w:rPr>
          <w:rFonts w:hint="default" w:ascii="Times New Roman" w:hAnsi="Times New Roman" w:eastAsia="仿宋_GB2312" w:cs="Times New Roman"/>
          <w:color w:val="auto"/>
          <w:sz w:val="32"/>
          <w:szCs w:val="32"/>
          <w:highlight w:val="none"/>
          <w:lang w:bidi="ar"/>
        </w:rPr>
        <w:t>在2022年11月第二轮上报总体申报材料后，先后又按各厅局的细则补充材料资料承诺二十余次，在县委、县政府领导下，七部门积极主动作为共同推进，园区坚持做好协调统揽和枢纽保障工作，</w:t>
      </w:r>
      <w:r>
        <w:rPr>
          <w:rFonts w:hint="default" w:ascii="Times New Roman" w:hAnsi="Times New Roman" w:eastAsia="仿宋_GB2312" w:cs="Times New Roman"/>
          <w:color w:val="auto"/>
          <w:sz w:val="32"/>
          <w:szCs w:val="32"/>
          <w:highlight w:val="none"/>
          <w:lang w:eastAsia="zh-CN" w:bidi="ar"/>
        </w:rPr>
        <w:t>新晃化工园区</w:t>
      </w:r>
      <w:r>
        <w:rPr>
          <w:rFonts w:hint="default" w:ascii="Times New Roman" w:hAnsi="Times New Roman" w:eastAsia="仿宋_GB2312" w:cs="Times New Roman"/>
          <w:color w:val="auto"/>
          <w:sz w:val="32"/>
          <w:szCs w:val="32"/>
          <w:highlight w:val="none"/>
          <w:lang w:bidi="ar"/>
        </w:rPr>
        <w:t>总体申报已于6月29日完成公示，</w:t>
      </w:r>
      <w:r>
        <w:rPr>
          <w:rFonts w:hint="default" w:ascii="Times New Roman" w:hAnsi="Times New Roman" w:eastAsia="仿宋_GB2312" w:cs="Times New Roman"/>
          <w:color w:val="auto"/>
          <w:sz w:val="32"/>
          <w:szCs w:val="32"/>
          <w:highlight w:val="none"/>
          <w:lang w:eastAsia="zh-CN" w:bidi="ar"/>
        </w:rPr>
        <w:t>报经</w:t>
      </w:r>
      <w:r>
        <w:rPr>
          <w:rFonts w:hint="default" w:ascii="Times New Roman" w:hAnsi="Times New Roman" w:eastAsia="仿宋_GB2312" w:cs="Times New Roman"/>
          <w:color w:val="auto"/>
          <w:sz w:val="32"/>
          <w:szCs w:val="32"/>
          <w:highlight w:val="none"/>
          <w:lang w:bidi="ar"/>
        </w:rPr>
        <w:t>省政府批准后已于9月11日</w:t>
      </w:r>
      <w:r>
        <w:rPr>
          <w:rFonts w:hint="default" w:ascii="Times New Roman" w:hAnsi="Times New Roman" w:eastAsia="仿宋_GB2312" w:cs="Times New Roman"/>
          <w:color w:val="auto"/>
          <w:sz w:val="32"/>
          <w:szCs w:val="32"/>
          <w:highlight w:val="none"/>
          <w:lang w:eastAsia="zh-CN" w:bidi="ar"/>
        </w:rPr>
        <w:t>由</w:t>
      </w:r>
      <w:r>
        <w:rPr>
          <w:rFonts w:hint="default" w:ascii="Times New Roman" w:hAnsi="Times New Roman" w:eastAsia="仿宋_GB2312" w:cs="Times New Roman"/>
          <w:color w:val="auto"/>
          <w:sz w:val="32"/>
          <w:szCs w:val="32"/>
          <w:highlight w:val="none"/>
          <w:lang w:bidi="ar"/>
        </w:rPr>
        <w:t>七部门联合行文批复</w:t>
      </w:r>
      <w:r>
        <w:rPr>
          <w:rFonts w:hint="default" w:ascii="Times New Roman" w:hAnsi="Times New Roman" w:eastAsia="仿宋_GB2312" w:cs="Times New Roman"/>
          <w:color w:val="auto"/>
          <w:sz w:val="32"/>
          <w:szCs w:val="32"/>
          <w:highlight w:val="none"/>
          <w:lang w:eastAsia="zh-CN" w:bidi="ar"/>
        </w:rPr>
        <w:t>，认定新晃产业开发区（新晃化工片区）为化工园区。</w:t>
      </w:r>
    </w:p>
    <w:p w14:paraId="73729FDE">
      <w:pPr>
        <w:keepNext w:val="0"/>
        <w:keepLines w:val="0"/>
        <w:pageBreakBefore w:val="0"/>
        <w:widowControl w:val="0"/>
        <w:numPr>
          <w:ilvl w:val="0"/>
          <w:numId w:val="0"/>
        </w:numPr>
        <w:kinsoku/>
        <w:wordWrap/>
        <w:overflowPunct/>
        <w:topLinePunct w:val="0"/>
        <w:autoSpaceDE/>
        <w:autoSpaceDN/>
        <w:bidi w:val="0"/>
        <w:spacing w:line="620" w:lineRule="exact"/>
        <w:ind w:left="0" w:leftChars="0" w:firstLine="643"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楷体_GB2312" w:cs="Times New Roman"/>
          <w:b/>
          <w:bCs/>
          <w:color w:val="auto"/>
          <w:kern w:val="2"/>
          <w:sz w:val="32"/>
          <w:szCs w:val="32"/>
          <w:highlight w:val="none"/>
          <w:lang w:val="en-US" w:eastAsia="zh-CN" w:bidi="ar-SA"/>
        </w:rPr>
        <w:t>3.</w:t>
      </w:r>
      <w:r>
        <w:rPr>
          <w:rFonts w:hint="default" w:ascii="Times New Roman" w:hAnsi="Times New Roman" w:eastAsia="楷体_GB2312" w:cs="Times New Roman"/>
          <w:b/>
          <w:bCs/>
          <w:color w:val="auto"/>
          <w:kern w:val="2"/>
          <w:sz w:val="32"/>
          <w:szCs w:val="32"/>
          <w:highlight w:val="none"/>
          <w:lang w:val="en-US" w:eastAsia="zh-CN" w:bidi="ar-SA"/>
        </w:rPr>
        <w:t>全力招商引资，增强发展动力</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eastAsia="zh-CN"/>
        </w:rPr>
        <w:t>202</w:t>
      </w:r>
      <w:r>
        <w:rPr>
          <w:rFonts w:hint="default" w:ascii="Times New Roman" w:hAnsi="Times New Roman" w:eastAsia="仿宋_GB2312" w:cs="Times New Roman"/>
          <w:b w:val="0"/>
          <w:bCs w:val="0"/>
          <w:color w:val="auto"/>
          <w:sz w:val="32"/>
          <w:szCs w:val="32"/>
          <w:highlight w:val="none"/>
          <w:lang w:val="en-US" w:eastAsia="zh-CN"/>
        </w:rPr>
        <w:t>3</w:t>
      </w:r>
      <w:r>
        <w:rPr>
          <w:rFonts w:hint="default" w:ascii="Times New Roman" w:hAnsi="Times New Roman" w:eastAsia="仿宋_GB2312" w:cs="Times New Roman"/>
          <w:b w:val="0"/>
          <w:bCs w:val="0"/>
          <w:color w:val="auto"/>
          <w:sz w:val="32"/>
          <w:szCs w:val="32"/>
          <w:highlight w:val="none"/>
          <w:lang w:eastAsia="zh-CN"/>
        </w:rPr>
        <w:t>年</w:t>
      </w:r>
      <w:r>
        <w:rPr>
          <w:rFonts w:hint="default" w:ascii="Times New Roman" w:hAnsi="Times New Roman" w:eastAsia="仿宋_GB2312" w:cs="Times New Roman"/>
          <w:b w:val="0"/>
          <w:bCs w:val="0"/>
          <w:color w:val="auto"/>
          <w:sz w:val="32"/>
          <w:szCs w:val="32"/>
          <w:highlight w:val="none"/>
          <w:lang w:val="en-US" w:eastAsia="zh-CN"/>
        </w:rPr>
        <w:t>以来</w:t>
      </w:r>
      <w:r>
        <w:rPr>
          <w:rFonts w:hint="default" w:ascii="Times New Roman" w:hAnsi="Times New Roman" w:eastAsia="仿宋_GB2312" w:cs="Times New Roman"/>
          <w:b w:val="0"/>
          <w:bCs w:val="0"/>
          <w:color w:val="auto"/>
          <w:sz w:val="32"/>
          <w:szCs w:val="32"/>
          <w:highlight w:val="none"/>
          <w:lang w:eastAsia="zh-CN"/>
        </w:rPr>
        <w:t>，园区招商引资</w:t>
      </w:r>
      <w:r>
        <w:rPr>
          <w:rFonts w:hint="eastAsia" w:ascii="Times New Roman" w:hAnsi="Times New Roman" w:eastAsia="仿宋_GB2312" w:cs="Times New Roman"/>
          <w:b w:val="0"/>
          <w:bCs w:val="0"/>
          <w:color w:val="auto"/>
          <w:sz w:val="32"/>
          <w:szCs w:val="32"/>
          <w:highlight w:val="none"/>
          <w:lang w:eastAsia="zh-CN"/>
        </w:rPr>
        <w:t>落地</w:t>
      </w:r>
      <w:r>
        <w:rPr>
          <w:rFonts w:hint="default" w:ascii="Times New Roman" w:hAnsi="Times New Roman" w:eastAsia="仿宋_GB2312" w:cs="Times New Roman"/>
          <w:b w:val="0"/>
          <w:bCs w:val="0"/>
          <w:color w:val="auto"/>
          <w:sz w:val="32"/>
          <w:szCs w:val="32"/>
          <w:highlight w:val="none"/>
          <w:lang w:eastAsia="zh-CN"/>
        </w:rPr>
        <w:t>项目1</w:t>
      </w:r>
      <w:r>
        <w:rPr>
          <w:rFonts w:hint="default" w:ascii="Times New Roman" w:hAnsi="Times New Roman" w:eastAsia="仿宋_GB2312" w:cs="Times New Roman"/>
          <w:b w:val="0"/>
          <w:bCs w:val="0"/>
          <w:color w:val="auto"/>
          <w:sz w:val="32"/>
          <w:szCs w:val="32"/>
          <w:highlight w:val="none"/>
          <w:lang w:val="en-US" w:eastAsia="zh-CN"/>
        </w:rPr>
        <w:t>2</w:t>
      </w:r>
      <w:r>
        <w:rPr>
          <w:rFonts w:hint="default" w:ascii="Times New Roman" w:hAnsi="Times New Roman" w:eastAsia="仿宋_GB2312" w:cs="Times New Roman"/>
          <w:b w:val="0"/>
          <w:bCs w:val="0"/>
          <w:color w:val="auto"/>
          <w:sz w:val="32"/>
          <w:szCs w:val="32"/>
          <w:highlight w:val="none"/>
          <w:lang w:eastAsia="zh-CN"/>
        </w:rPr>
        <w:t>个，其中化工类项目</w:t>
      </w:r>
      <w:r>
        <w:rPr>
          <w:rFonts w:hint="default"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lang w:eastAsia="zh-CN"/>
        </w:rPr>
        <w:t>个，金属材料类项目2个，其他类项目2个。</w:t>
      </w:r>
      <w:r>
        <w:rPr>
          <w:rFonts w:hint="eastAsia" w:ascii="Times New Roman" w:hAnsi="Times New Roman" w:eastAsia="仿宋_GB2312" w:cs="Times New Roman"/>
          <w:b/>
          <w:bCs/>
          <w:color w:val="auto"/>
          <w:sz w:val="32"/>
          <w:szCs w:val="32"/>
          <w:highlight w:val="none"/>
          <w:lang w:val="en-US" w:eastAsia="zh-CN"/>
        </w:rPr>
        <w:t>其中</w:t>
      </w:r>
      <w:r>
        <w:rPr>
          <w:rFonts w:hint="default" w:ascii="Times New Roman" w:hAnsi="Times New Roman" w:eastAsia="仿宋_GB2312" w:cs="Times New Roman"/>
          <w:b/>
          <w:bCs/>
          <w:color w:val="auto"/>
          <w:sz w:val="32"/>
          <w:szCs w:val="32"/>
          <w:highlight w:val="none"/>
          <w:lang w:eastAsia="zh-CN"/>
        </w:rPr>
        <w:t>投产项目4个，</w:t>
      </w:r>
      <w:r>
        <w:rPr>
          <w:rFonts w:hint="default" w:ascii="Times New Roman" w:hAnsi="Times New Roman" w:eastAsia="仿宋_GB2312" w:cs="Times New Roman"/>
          <w:b w:val="0"/>
          <w:bCs w:val="0"/>
          <w:color w:val="auto"/>
          <w:sz w:val="32"/>
          <w:szCs w:val="32"/>
          <w:highlight w:val="none"/>
          <w:lang w:eastAsia="zh-CN"/>
        </w:rPr>
        <w:t>分别是</w:t>
      </w:r>
      <w:r>
        <w:rPr>
          <w:rFonts w:hint="default" w:ascii="Times New Roman" w:hAnsi="Times New Roman" w:eastAsia="仿宋_GB2312" w:cs="Times New Roman"/>
          <w:b w:val="0"/>
          <w:bCs w:val="0"/>
          <w:color w:val="auto"/>
          <w:sz w:val="32"/>
          <w:szCs w:val="32"/>
          <w:highlight w:val="none"/>
          <w:lang w:val="en-US" w:eastAsia="zh-CN"/>
        </w:rPr>
        <w:t>贵州腾达环保设备有限公司</w:t>
      </w:r>
      <w:r>
        <w:rPr>
          <w:rFonts w:hint="default" w:ascii="Times New Roman" w:hAnsi="Times New Roman" w:eastAsia="仿宋_GB2312" w:cs="Times New Roman"/>
          <w:b w:val="0"/>
          <w:bCs w:val="0"/>
          <w:color w:val="auto"/>
          <w:sz w:val="32"/>
          <w:szCs w:val="32"/>
          <w:highlight w:val="none"/>
          <w:lang w:eastAsia="zh-CN"/>
        </w:rPr>
        <w:t>玻璃钢缠绕容器项目，</w:t>
      </w:r>
      <w:r>
        <w:rPr>
          <w:rFonts w:hint="default" w:ascii="Times New Roman" w:hAnsi="Times New Roman" w:eastAsia="仿宋_GB2312" w:cs="Times New Roman"/>
          <w:b w:val="0"/>
          <w:bCs w:val="0"/>
          <w:color w:val="auto"/>
          <w:sz w:val="32"/>
          <w:szCs w:val="32"/>
          <w:highlight w:val="none"/>
          <w:lang w:val="en-US" w:eastAsia="zh-CN"/>
        </w:rPr>
        <w:t>湖南英宏再生资源有限责任公司</w:t>
      </w:r>
      <w:r>
        <w:rPr>
          <w:rFonts w:hint="default" w:ascii="Times New Roman" w:hAnsi="Times New Roman" w:eastAsia="仿宋_GB2312" w:cs="Times New Roman"/>
          <w:b w:val="0"/>
          <w:bCs w:val="0"/>
          <w:color w:val="auto"/>
          <w:sz w:val="32"/>
          <w:szCs w:val="32"/>
          <w:highlight w:val="none"/>
          <w:lang w:eastAsia="zh-CN"/>
        </w:rPr>
        <w:t>废钢破碎尾料综合利用项目，</w:t>
      </w:r>
      <w:r>
        <w:rPr>
          <w:rFonts w:hint="default" w:ascii="Times New Roman" w:hAnsi="Times New Roman" w:eastAsia="仿宋_GB2312" w:cs="Times New Roman"/>
          <w:b w:val="0"/>
          <w:bCs w:val="0"/>
          <w:color w:val="auto"/>
          <w:sz w:val="32"/>
          <w:szCs w:val="32"/>
          <w:highlight w:val="none"/>
          <w:lang w:val="en-US" w:eastAsia="zh-CN"/>
        </w:rPr>
        <w:t>湖南美蓝环保科技有限公司危废转运</w:t>
      </w:r>
      <w:r>
        <w:rPr>
          <w:rFonts w:hint="default" w:ascii="Times New Roman" w:hAnsi="Times New Roman" w:eastAsia="仿宋_GB2312" w:cs="Times New Roman"/>
          <w:b w:val="0"/>
          <w:bCs w:val="0"/>
          <w:color w:val="auto"/>
          <w:sz w:val="32"/>
          <w:szCs w:val="32"/>
          <w:highlight w:val="none"/>
          <w:lang w:eastAsia="zh-CN"/>
        </w:rPr>
        <w:t>项目，长沙道尚循环科技有限公司废旧锂离子电池材料资源化循环利用项目。</w:t>
      </w:r>
      <w:r>
        <w:rPr>
          <w:rFonts w:hint="default" w:ascii="Times New Roman" w:hAnsi="Times New Roman" w:eastAsia="仿宋_GB2312" w:cs="Times New Roman"/>
          <w:b/>
          <w:bCs/>
          <w:color w:val="auto"/>
          <w:sz w:val="32"/>
          <w:szCs w:val="32"/>
          <w:highlight w:val="none"/>
          <w:lang w:eastAsia="zh-CN"/>
        </w:rPr>
        <w:t>开展前期工作项目</w:t>
      </w:r>
      <w:r>
        <w:rPr>
          <w:rFonts w:hint="default" w:ascii="Times New Roman" w:hAnsi="Times New Roman" w:eastAsia="仿宋_GB2312" w:cs="Times New Roman"/>
          <w:b/>
          <w:bCs/>
          <w:color w:val="auto"/>
          <w:sz w:val="32"/>
          <w:szCs w:val="32"/>
          <w:highlight w:val="none"/>
          <w:lang w:val="en-US" w:eastAsia="zh-CN"/>
        </w:rPr>
        <w:t>8个</w:t>
      </w:r>
      <w:r>
        <w:rPr>
          <w:rFonts w:hint="default" w:ascii="Times New Roman" w:hAnsi="Times New Roman" w:eastAsia="仿宋_GB2312" w:cs="Times New Roman"/>
          <w:b/>
          <w:bCs/>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eastAsia="zh-CN"/>
        </w:rPr>
        <w:t>分别是</w:t>
      </w:r>
      <w:r>
        <w:rPr>
          <w:rFonts w:hint="default" w:ascii="Times New Roman" w:hAnsi="Times New Roman" w:eastAsia="仿宋_GB2312" w:cs="Times New Roman"/>
          <w:b w:val="0"/>
          <w:bCs w:val="0"/>
          <w:color w:val="auto"/>
          <w:sz w:val="32"/>
          <w:szCs w:val="32"/>
          <w:highlight w:val="none"/>
          <w:lang w:val="en-US" w:eastAsia="zh-CN"/>
        </w:rPr>
        <w:t>青岛红星化工集团重晶石综合加工利用项目，已完成选址和立项备案；广东创鹰环保科技有限公司</w:t>
      </w:r>
      <w:r>
        <w:rPr>
          <w:rFonts w:hint="default" w:ascii="Times New Roman" w:hAnsi="Times New Roman" w:eastAsia="仿宋_GB2312" w:cs="Times New Roman"/>
          <w:b w:val="0"/>
          <w:bCs w:val="0"/>
          <w:color w:val="auto"/>
          <w:sz w:val="32"/>
          <w:szCs w:val="32"/>
          <w:highlight w:val="none"/>
          <w:lang w:eastAsia="zh-CN"/>
        </w:rPr>
        <w:t>无卤阻燃剂项目，已完成设备</w:t>
      </w:r>
      <w:r>
        <w:rPr>
          <w:rFonts w:hint="default" w:ascii="Times New Roman" w:hAnsi="Times New Roman" w:eastAsia="仿宋_GB2312" w:cs="Times New Roman"/>
          <w:b w:val="0"/>
          <w:bCs w:val="0"/>
          <w:color w:val="auto"/>
          <w:sz w:val="32"/>
          <w:szCs w:val="32"/>
          <w:highlight w:val="none"/>
          <w:lang w:val="en-US" w:eastAsia="zh-CN"/>
        </w:rPr>
        <w:t>安装</w:t>
      </w:r>
      <w:r>
        <w:rPr>
          <w:rFonts w:hint="default" w:ascii="Times New Roman" w:hAnsi="Times New Roman" w:eastAsia="仿宋_GB2312" w:cs="Times New Roman"/>
          <w:b w:val="0"/>
          <w:bCs w:val="0"/>
          <w:color w:val="auto"/>
          <w:sz w:val="32"/>
          <w:szCs w:val="32"/>
          <w:highlight w:val="none"/>
          <w:lang w:eastAsia="zh-CN"/>
        </w:rPr>
        <w:t>，即将投产；国药(湘西)科技有限公司龙脑产业项目</w:t>
      </w:r>
      <w:r>
        <w:rPr>
          <w:rFonts w:hint="default" w:ascii="Times New Roman" w:hAnsi="Times New Roman" w:eastAsia="仿宋_GB2312" w:cs="Times New Roman"/>
          <w:b w:val="0"/>
          <w:bCs w:val="0"/>
          <w:color w:val="auto"/>
          <w:sz w:val="32"/>
          <w:szCs w:val="32"/>
          <w:highlight w:val="none"/>
          <w:lang w:val="en-US" w:eastAsia="zh-CN"/>
        </w:rPr>
        <w:t>正在进行厂房改造和设备采购；湖南</w:t>
      </w:r>
      <w:r>
        <w:rPr>
          <w:rFonts w:hint="default" w:ascii="Times New Roman" w:hAnsi="Times New Roman" w:eastAsia="仿宋_GB2312" w:cs="Times New Roman"/>
          <w:b w:val="0"/>
          <w:bCs w:val="0"/>
          <w:color w:val="auto"/>
          <w:sz w:val="32"/>
          <w:szCs w:val="32"/>
          <w:highlight w:val="none"/>
          <w:lang w:eastAsia="zh-CN"/>
        </w:rPr>
        <w:t>铱太科技有限公司50GW钙钛矿太阳能电池前驱体原料项目，</w:t>
      </w:r>
      <w:r>
        <w:rPr>
          <w:rFonts w:hint="default" w:ascii="Times New Roman" w:hAnsi="Times New Roman" w:eastAsia="仿宋_GB2312" w:cs="Times New Roman"/>
          <w:b w:val="0"/>
          <w:bCs w:val="0"/>
          <w:color w:val="auto"/>
          <w:sz w:val="32"/>
          <w:szCs w:val="32"/>
          <w:highlight w:val="none"/>
          <w:lang w:val="en-US" w:eastAsia="zh-CN"/>
        </w:rPr>
        <w:t>完成厂房选址，</w:t>
      </w:r>
      <w:r>
        <w:rPr>
          <w:rFonts w:hint="default" w:ascii="Times New Roman" w:hAnsi="Times New Roman" w:eastAsia="仿宋_GB2312" w:cs="Times New Roman"/>
          <w:b w:val="0"/>
          <w:bCs w:val="0"/>
          <w:color w:val="auto"/>
          <w:sz w:val="32"/>
          <w:szCs w:val="32"/>
          <w:highlight w:val="none"/>
          <w:lang w:eastAsia="zh-CN"/>
        </w:rPr>
        <w:t>正在优化工艺设计；湖南华深达科技有限公司红磷阻燃剂项目，</w:t>
      </w:r>
      <w:r>
        <w:rPr>
          <w:rFonts w:hint="default" w:ascii="Times New Roman" w:hAnsi="Times New Roman" w:eastAsia="仿宋_GB2312" w:cs="Times New Roman"/>
          <w:b w:val="0"/>
          <w:bCs w:val="0"/>
          <w:color w:val="auto"/>
          <w:sz w:val="32"/>
          <w:szCs w:val="32"/>
          <w:highlight w:val="none"/>
          <w:lang w:val="en-US" w:eastAsia="zh-CN"/>
        </w:rPr>
        <w:t>正在编制项目可研</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湖南</w:t>
      </w:r>
      <w:r>
        <w:rPr>
          <w:rFonts w:hint="default" w:ascii="Times New Roman" w:hAnsi="Times New Roman" w:eastAsia="仿宋_GB2312" w:cs="Times New Roman"/>
          <w:b w:val="0"/>
          <w:bCs w:val="0"/>
          <w:color w:val="auto"/>
          <w:sz w:val="32"/>
          <w:szCs w:val="32"/>
          <w:highlight w:val="none"/>
          <w:lang w:eastAsia="zh-CN"/>
        </w:rPr>
        <w:t>统参酒业</w:t>
      </w:r>
      <w:r>
        <w:rPr>
          <w:rFonts w:hint="default" w:ascii="Times New Roman" w:hAnsi="Times New Roman" w:eastAsia="仿宋_GB2312" w:cs="Times New Roman"/>
          <w:b w:val="0"/>
          <w:bCs w:val="0"/>
          <w:color w:val="auto"/>
          <w:sz w:val="32"/>
          <w:szCs w:val="32"/>
          <w:highlight w:val="none"/>
          <w:lang w:val="en-US" w:eastAsia="zh-CN"/>
        </w:rPr>
        <w:t>有限公司</w:t>
      </w:r>
      <w:r>
        <w:rPr>
          <w:rFonts w:hint="eastAsia" w:ascii="Times New Roman" w:hAnsi="Times New Roman" w:eastAsia="仿宋_GB2312" w:cs="Times New Roman"/>
          <w:b w:val="0"/>
          <w:bCs w:val="0"/>
          <w:color w:val="auto"/>
          <w:sz w:val="32"/>
          <w:szCs w:val="32"/>
          <w:highlight w:val="none"/>
          <w:lang w:eastAsia="zh-CN"/>
        </w:rPr>
        <w:t>新晃</w:t>
      </w:r>
      <w:r>
        <w:rPr>
          <w:rFonts w:hint="default" w:ascii="Times New Roman" w:hAnsi="Times New Roman" w:eastAsia="仿宋_GB2312" w:cs="Times New Roman"/>
          <w:b w:val="0"/>
          <w:bCs w:val="0"/>
          <w:color w:val="auto"/>
          <w:sz w:val="32"/>
          <w:szCs w:val="32"/>
          <w:highlight w:val="none"/>
          <w:lang w:eastAsia="zh-CN"/>
        </w:rPr>
        <w:t>酱酒项目，正在</w:t>
      </w:r>
      <w:r>
        <w:rPr>
          <w:rFonts w:hint="default" w:ascii="Times New Roman" w:hAnsi="Times New Roman" w:eastAsia="仿宋_GB2312" w:cs="Times New Roman"/>
          <w:b w:val="0"/>
          <w:bCs w:val="0"/>
          <w:color w:val="auto"/>
          <w:sz w:val="32"/>
          <w:szCs w:val="32"/>
          <w:highlight w:val="none"/>
          <w:lang w:val="en-US" w:eastAsia="zh-CN"/>
        </w:rPr>
        <w:t>进行厂房改造和设备进驻</w:t>
      </w:r>
      <w:r>
        <w:rPr>
          <w:rFonts w:hint="eastAsia"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湖南三扬新能源科技有限公司</w:t>
      </w:r>
      <w:r>
        <w:rPr>
          <w:rFonts w:hint="default" w:ascii="Times New Roman" w:hAnsi="Times New Roman" w:eastAsia="仿宋_GB2312" w:cs="Times New Roman"/>
          <w:b w:val="0"/>
          <w:bCs w:val="0"/>
          <w:color w:val="auto"/>
          <w:sz w:val="32"/>
          <w:szCs w:val="32"/>
          <w:highlight w:val="none"/>
          <w:lang w:eastAsia="zh-CN"/>
        </w:rPr>
        <w:t>锂电新材料sps生产线项目，</w:t>
      </w:r>
      <w:r>
        <w:rPr>
          <w:rFonts w:hint="default" w:ascii="Times New Roman" w:hAnsi="Times New Roman" w:eastAsia="仿宋_GB2312" w:cs="Times New Roman"/>
          <w:b w:val="0"/>
          <w:bCs w:val="0"/>
          <w:color w:val="auto"/>
          <w:sz w:val="32"/>
          <w:szCs w:val="32"/>
          <w:highlight w:val="none"/>
          <w:lang w:val="en-US" w:eastAsia="zh-CN"/>
        </w:rPr>
        <w:t>完成厂房选址，正在编制项目可研；长沙道尚科技有限公司</w:t>
      </w:r>
      <w:r>
        <w:rPr>
          <w:rFonts w:hint="default" w:ascii="Times New Roman" w:hAnsi="Times New Roman" w:eastAsia="仿宋_GB2312" w:cs="Times New Roman"/>
          <w:b w:val="0"/>
          <w:bCs w:val="0"/>
          <w:color w:val="auto"/>
          <w:sz w:val="32"/>
          <w:szCs w:val="32"/>
          <w:highlight w:val="none"/>
          <w:lang w:eastAsia="zh-CN"/>
        </w:rPr>
        <w:t>废旧锂离子电池材料资源化循环利用项目</w:t>
      </w:r>
      <w:r>
        <w:rPr>
          <w:rFonts w:hint="default" w:ascii="Times New Roman" w:hAnsi="Times New Roman" w:eastAsia="仿宋_GB2312" w:cs="Times New Roman"/>
          <w:b w:val="0"/>
          <w:bCs w:val="0"/>
          <w:color w:val="auto"/>
          <w:sz w:val="32"/>
          <w:szCs w:val="32"/>
          <w:highlight w:val="none"/>
          <w:lang w:val="en-US" w:eastAsia="zh-CN"/>
        </w:rPr>
        <w:t>二期正在编制安评、环评资料</w:t>
      </w:r>
      <w:r>
        <w:rPr>
          <w:rFonts w:hint="default" w:ascii="Times New Roman" w:hAnsi="Times New Roman" w:eastAsia="仿宋_GB2312" w:cs="Times New Roman"/>
          <w:b w:val="0"/>
          <w:bCs w:val="0"/>
          <w:color w:val="auto"/>
          <w:sz w:val="32"/>
          <w:szCs w:val="32"/>
          <w:highlight w:val="none"/>
          <w:lang w:eastAsia="zh-CN"/>
        </w:rPr>
        <w:t>。</w:t>
      </w:r>
    </w:p>
    <w:p w14:paraId="563FC8B3">
      <w:pPr>
        <w:keepNext w:val="0"/>
        <w:keepLines w:val="0"/>
        <w:pageBreakBefore w:val="0"/>
        <w:widowControl w:val="0"/>
        <w:numPr>
          <w:ilvl w:val="0"/>
          <w:numId w:val="0"/>
        </w:numPr>
        <w:kinsoku/>
        <w:wordWrap/>
        <w:overflowPunct/>
        <w:topLinePunct w:val="0"/>
        <w:autoSpaceDE/>
        <w:autoSpaceDN/>
        <w:bidi w:val="0"/>
        <w:spacing w:after="0" w:line="620" w:lineRule="exact"/>
        <w:ind w:left="0" w:leftChars="0" w:firstLine="643" w:firstLineChars="200"/>
        <w:jc w:val="both"/>
        <w:textAlignment w:val="auto"/>
        <w:rPr>
          <w:rFonts w:hint="default" w:ascii="Times New Roman" w:hAnsi="Times New Roman" w:eastAsia="仿宋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4.</w:t>
      </w:r>
      <w:r>
        <w:rPr>
          <w:rFonts w:hint="default" w:ascii="Times New Roman" w:hAnsi="Times New Roman" w:eastAsia="楷体_GB2312" w:cs="Times New Roman"/>
          <w:b/>
          <w:bCs/>
          <w:color w:val="auto"/>
          <w:kern w:val="2"/>
          <w:sz w:val="32"/>
          <w:szCs w:val="32"/>
          <w:highlight w:val="none"/>
          <w:lang w:val="en-US" w:eastAsia="zh-CN" w:bidi="ar-SA"/>
        </w:rPr>
        <w:t>加强对外协作，促进合作共赢</w:t>
      </w:r>
      <w:r>
        <w:rPr>
          <w:rFonts w:hint="default" w:ascii="Times New Roman" w:hAnsi="Times New Roman" w:eastAsia="楷体_GB2312" w:cs="Times New Roman"/>
          <w:b/>
          <w:color w:val="auto"/>
          <w:sz w:val="32"/>
          <w:szCs w:val="32"/>
          <w:highlight w:val="none"/>
          <w:lang w:bidi="ar"/>
        </w:rPr>
        <w:t>。</w:t>
      </w:r>
      <w:r>
        <w:rPr>
          <w:rFonts w:hint="default" w:ascii="Times New Roman" w:hAnsi="Times New Roman" w:eastAsia="仿宋_GB2312" w:cs="Times New Roman"/>
          <w:b/>
          <w:bCs/>
          <w:color w:val="auto"/>
          <w:kern w:val="2"/>
          <w:sz w:val="32"/>
          <w:szCs w:val="32"/>
          <w:highlight w:val="none"/>
          <w:lang w:val="en-US" w:eastAsia="zh-CN" w:bidi="ar"/>
        </w:rPr>
        <w:t>一是中南大学合作。</w:t>
      </w:r>
      <w:r>
        <w:rPr>
          <w:rFonts w:hint="default" w:ascii="Times New Roman" w:hAnsi="Times New Roman" w:eastAsia="仿宋_GB2312" w:cs="Times New Roman"/>
          <w:color w:val="auto"/>
          <w:kern w:val="2"/>
          <w:sz w:val="32"/>
          <w:szCs w:val="32"/>
          <w:highlight w:val="none"/>
          <w:lang w:val="en-US" w:eastAsia="zh-CN" w:bidi="ar"/>
        </w:rPr>
        <w:t>与中南大学化工学院联合建立“中南大学化学品分析检测中心新晃分中心”形成了初步建设方案并进入设计阶段，冶金与环境学院刘芳洋教授钙钛矿太阳能电池前驱体原料项目签约落户新晃，并与中南大学化学化工学院、冶金与环境学院按照“1+N”合作理念就“一主一特”发展要求达成战略合作共识，于9月15日与中南大学化学化工学院、冶金与环境学院签订战略合作框架协议及合作备忘录。</w:t>
      </w:r>
      <w:r>
        <w:rPr>
          <w:rFonts w:hint="default" w:ascii="Times New Roman" w:hAnsi="Times New Roman" w:eastAsia="仿宋_GB2312" w:cs="Times New Roman"/>
          <w:b/>
          <w:bCs/>
          <w:color w:val="auto"/>
          <w:kern w:val="2"/>
          <w:sz w:val="32"/>
          <w:szCs w:val="32"/>
          <w:highlight w:val="none"/>
          <w:lang w:val="en-US" w:eastAsia="zh-CN" w:bidi="ar"/>
        </w:rPr>
        <w:t>二是大新协作。</w:t>
      </w:r>
      <w:r>
        <w:rPr>
          <w:rFonts w:hint="default" w:ascii="Times New Roman" w:hAnsi="Times New Roman" w:eastAsia="仿宋_GB2312" w:cs="Times New Roman"/>
          <w:color w:val="auto"/>
          <w:sz w:val="32"/>
          <w:szCs w:val="32"/>
          <w:highlight w:val="none"/>
          <w:lang w:val="en-US" w:eastAsia="zh-CN" w:bidi="ar"/>
        </w:rPr>
        <w:t>2月13日，</w:t>
      </w:r>
      <w:r>
        <w:rPr>
          <w:rFonts w:hint="default" w:ascii="Times New Roman" w:hAnsi="Times New Roman" w:eastAsia="仿宋_GB2312" w:cs="Times New Roman"/>
          <w:color w:val="auto"/>
          <w:sz w:val="32"/>
          <w:szCs w:val="32"/>
          <w:highlight w:val="none"/>
          <w:lang w:val="en-US" w:eastAsia="zh-CN"/>
        </w:rPr>
        <w:t>周重颜书记带队前往贵阳就湘黔交界地区推进区域协同发展与合作向贵州省常务副省长吴强进行专题汇报后，县领导多次带队前往大龙就相关事宜进行对接，推动</w:t>
      </w:r>
      <w:r>
        <w:rPr>
          <w:rFonts w:hint="default" w:ascii="Times New Roman" w:hAnsi="Times New Roman" w:eastAsia="仿宋_GB2312" w:cs="Times New Roman"/>
          <w:color w:val="auto"/>
          <w:sz w:val="32"/>
          <w:szCs w:val="32"/>
          <w:highlight w:val="none"/>
          <w:lang w:val="en-US" w:eastAsia="zh-CN" w:bidi="ar"/>
        </w:rPr>
        <w:t>大新经济协作取得实质性进展。</w:t>
      </w:r>
      <w:r>
        <w:rPr>
          <w:rFonts w:hint="default" w:ascii="Times New Roman" w:hAnsi="Times New Roman" w:eastAsia="仿宋_GB2312" w:cs="Times New Roman"/>
          <w:color w:val="auto"/>
          <w:sz w:val="32"/>
          <w:szCs w:val="32"/>
          <w:highlight w:val="none"/>
          <w:lang w:bidi="ar"/>
        </w:rPr>
        <w:t>6月20日，在新晃“就业帮”产业开发区站揭牌暨大（龙）新（晃）经济协作示范园区专场招聘会活动现场，双方签订了关于人力资源共享相关事项协议。</w:t>
      </w:r>
      <w:r>
        <w:rPr>
          <w:rFonts w:hint="default" w:ascii="Times New Roman" w:hAnsi="Times New Roman" w:eastAsia="仿宋_GB2312" w:cs="Times New Roman"/>
          <w:b w:val="0"/>
          <w:bCs w:val="0"/>
          <w:color w:val="auto"/>
          <w:sz w:val="32"/>
          <w:szCs w:val="32"/>
          <w:highlight w:val="none"/>
          <w:lang w:val="en-US" w:eastAsia="zh-CN" w:bidi="ar"/>
        </w:rPr>
        <w:t>11月6日，杨鹏县长带队前往大龙经济开发区，双方签订大（龙）新（晃）经济协作示范园建设合作协议，并</w:t>
      </w:r>
      <w:r>
        <w:rPr>
          <w:rStyle w:val="9"/>
          <w:rFonts w:hint="default" w:ascii="Times New Roman" w:hAnsi="Times New Roman" w:eastAsia="仿宋_GB2312" w:cs="Times New Roman"/>
          <w:bCs/>
          <w:color w:val="auto"/>
          <w:kern w:val="0"/>
          <w:sz w:val="32"/>
          <w:szCs w:val="32"/>
          <w:highlight w:val="none"/>
        </w:rPr>
        <w:t>与大龙经开区管委会、大龙百通汇源热力公司对接查看由大龙直供蒸汽线路</w:t>
      </w:r>
      <w:r>
        <w:rPr>
          <w:rStyle w:val="9"/>
          <w:rFonts w:hint="default" w:ascii="Times New Roman" w:hAnsi="Times New Roman" w:eastAsia="仿宋_GB2312" w:cs="Times New Roman"/>
          <w:bCs/>
          <w:color w:val="auto"/>
          <w:kern w:val="0"/>
          <w:sz w:val="32"/>
          <w:szCs w:val="32"/>
          <w:highlight w:val="none"/>
          <w:lang w:eastAsia="zh-CN"/>
        </w:rPr>
        <w:t>，</w:t>
      </w:r>
      <w:r>
        <w:rPr>
          <w:rStyle w:val="9"/>
          <w:rFonts w:hint="default" w:ascii="Times New Roman" w:hAnsi="Times New Roman" w:eastAsia="仿宋_GB2312" w:cs="Times New Roman"/>
          <w:bCs/>
          <w:color w:val="auto"/>
          <w:kern w:val="0"/>
          <w:sz w:val="32"/>
          <w:szCs w:val="32"/>
          <w:highlight w:val="none"/>
          <w:lang w:val="en-US" w:eastAsia="zh-CN"/>
        </w:rPr>
        <w:t>预计可以在</w:t>
      </w:r>
      <w:r>
        <w:rPr>
          <w:rStyle w:val="9"/>
          <w:rFonts w:hint="default" w:ascii="Times New Roman" w:hAnsi="Times New Roman" w:eastAsia="仿宋_GB2312" w:cs="Times New Roman"/>
          <w:bCs/>
          <w:color w:val="auto"/>
          <w:kern w:val="0"/>
          <w:sz w:val="32"/>
          <w:szCs w:val="32"/>
          <w:highlight w:val="none"/>
        </w:rPr>
        <w:t>2024年实施。</w:t>
      </w:r>
      <w:r>
        <w:rPr>
          <w:rFonts w:hint="default" w:ascii="Times New Roman" w:hAnsi="Times New Roman" w:eastAsia="仿宋_GB2312" w:cs="Times New Roman"/>
          <w:b/>
          <w:bCs/>
          <w:color w:val="auto"/>
          <w:kern w:val="2"/>
          <w:sz w:val="32"/>
          <w:szCs w:val="32"/>
          <w:highlight w:val="none"/>
          <w:lang w:val="en-US" w:eastAsia="zh-CN" w:bidi="ar"/>
        </w:rPr>
        <w:t>三是建立友好园区。</w:t>
      </w:r>
      <w:r>
        <w:rPr>
          <w:rFonts w:hint="default" w:ascii="Times New Roman" w:hAnsi="Times New Roman" w:eastAsia="仿宋_GB2312" w:cs="Times New Roman"/>
          <w:color w:val="auto"/>
          <w:kern w:val="2"/>
          <w:sz w:val="32"/>
          <w:szCs w:val="32"/>
          <w:highlight w:val="none"/>
          <w:lang w:val="en-US" w:eastAsia="zh-CN" w:bidi="ar"/>
        </w:rPr>
        <w:t>10月12日，根据工作安排，分管县领导带领县应急、环保、产业园区等部门主要负责人及园区相关工作人员，赴甘肃省兰州新区秦川园区学习考察，从</w:t>
      </w:r>
      <w:r>
        <w:rPr>
          <w:rFonts w:hint="default" w:ascii="Times New Roman" w:hAnsi="Times New Roman" w:eastAsia="仿宋_GB2312" w:cs="Times New Roman"/>
          <w:color w:val="auto"/>
          <w:kern w:val="2"/>
          <w:sz w:val="32"/>
          <w:szCs w:val="32"/>
          <w:highlight w:val="none"/>
          <w:lang w:val="en-US" w:eastAsia="zh-CN" w:bidi="ar-SA"/>
        </w:rPr>
        <w:t>化工产业规划布局、产业链建设、专精特新产业集群建设及数字赋能智慧管理等园区建设方面向秦川园区学习先进经验，并邀请秦川园区领导到新晃实地考察。10月17日，秦川园区党委书记赵宇宁与杨鹏县长分别代表两地签订友好县区合作框架协议，当天周重颜书记与赵宇宁书记就双方缔结友好园区后续相关事宜进行了深入交流。11月24日，周重颜书记带队赴甘肃兰州新区秦川园区，双方签约跨省友好合作示范园区并举办揭牌仪式，双方将发挥各自园区优势，推动两地园区建立信息互通共享和合作协调工作机制。</w:t>
      </w:r>
    </w:p>
    <w:p w14:paraId="79DF02C4">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楷体_GB2312" w:cs="Times New Roman"/>
          <w:b/>
          <w:bCs/>
          <w:color w:val="auto"/>
          <w:kern w:val="2"/>
          <w:sz w:val="32"/>
          <w:szCs w:val="32"/>
          <w:highlight w:val="none"/>
          <w:lang w:val="en-US" w:eastAsia="zh-CN" w:bidi="ar-SA"/>
        </w:rPr>
        <w:t>5.</w:t>
      </w:r>
      <w:r>
        <w:rPr>
          <w:rFonts w:hint="default" w:ascii="Times New Roman" w:hAnsi="Times New Roman" w:eastAsia="楷体_GB2312" w:cs="Times New Roman"/>
          <w:b/>
          <w:bCs/>
          <w:color w:val="auto"/>
          <w:kern w:val="2"/>
          <w:sz w:val="32"/>
          <w:szCs w:val="32"/>
          <w:highlight w:val="none"/>
          <w:lang w:val="en-US" w:eastAsia="zh-CN" w:bidi="ar-SA"/>
        </w:rPr>
        <w:t>推进调区扩区，拓展发展空间</w:t>
      </w:r>
      <w:r>
        <w:rPr>
          <w:rFonts w:hint="default" w:ascii="Times New Roman" w:hAnsi="Times New Roman" w:eastAsia="楷体_GB2312" w:cs="Times New Roman"/>
          <w:b/>
          <w:bCs/>
          <w:color w:val="auto"/>
          <w:sz w:val="32"/>
          <w:szCs w:val="32"/>
          <w:highlight w:val="none"/>
          <w:lang w:val="en-US" w:eastAsia="zh-CN"/>
        </w:rPr>
        <w:t>。</w:t>
      </w:r>
      <w:r>
        <w:rPr>
          <w:rStyle w:val="9"/>
          <w:rFonts w:hint="default" w:ascii="Times New Roman" w:hAnsi="Times New Roman" w:eastAsia="仿宋_GB2312" w:cs="Times New Roman"/>
          <w:bCs/>
          <w:color w:val="auto"/>
          <w:kern w:val="0"/>
          <w:sz w:val="32"/>
          <w:szCs w:val="32"/>
          <w:highlight w:val="none"/>
          <w:lang w:val="en-US" w:eastAsia="zh-CN"/>
        </w:rPr>
        <w:t>2023年9月启动调扩区工作，省自然资源厅于11月10日对园区土地集约利用更新评价回函，同意认定报告中土地开发率、集约评价分值等数据，为调扩区打下基础。12月15日与12月19日两次提交拟扩区方案、扩区指标说明以及开展扩区工作的请示到省发改委园区处，于12月29日获得路条。</w:t>
      </w:r>
    </w:p>
    <w:p w14:paraId="6AAC35C6">
      <w:pPr>
        <w:keepNext w:val="0"/>
        <w:keepLines w:val="0"/>
        <w:pageBreakBefore w:val="0"/>
        <w:kinsoku/>
        <w:wordWrap/>
        <w:overflowPunct/>
        <w:topLinePunct w:val="0"/>
        <w:autoSpaceDE/>
        <w:autoSpaceDN/>
        <w:bidi w:val="0"/>
        <w:spacing w:line="620" w:lineRule="exact"/>
        <w:ind w:firstLine="643" w:firstLineChars="200"/>
        <w:textAlignment w:val="auto"/>
        <w:rPr>
          <w:rStyle w:val="9"/>
          <w:rFonts w:hint="default" w:ascii="Times New Roman" w:hAnsi="Times New Roman" w:eastAsia="仿宋_GB2312" w:cs="Times New Roman"/>
          <w:bCs/>
          <w:color w:val="auto"/>
          <w:kern w:val="0"/>
          <w:sz w:val="32"/>
          <w:szCs w:val="32"/>
          <w:highlight w:val="none"/>
        </w:rPr>
      </w:pPr>
      <w:r>
        <w:rPr>
          <w:rFonts w:hint="eastAsia" w:ascii="Times New Roman" w:hAnsi="Times New Roman" w:eastAsia="楷体_GB2312" w:cs="Times New Roman"/>
          <w:b/>
          <w:bCs/>
          <w:color w:val="auto"/>
          <w:kern w:val="2"/>
          <w:sz w:val="32"/>
          <w:szCs w:val="32"/>
          <w:highlight w:val="none"/>
          <w:lang w:val="en-US" w:eastAsia="zh-CN" w:bidi="ar-SA"/>
        </w:rPr>
        <w:t>6.</w:t>
      </w:r>
      <w:r>
        <w:rPr>
          <w:rFonts w:hint="default" w:ascii="Times New Roman" w:hAnsi="Times New Roman" w:eastAsia="楷体_GB2312" w:cs="Times New Roman"/>
          <w:b/>
          <w:bCs/>
          <w:color w:val="auto"/>
          <w:kern w:val="2"/>
          <w:sz w:val="32"/>
          <w:szCs w:val="32"/>
          <w:highlight w:val="none"/>
          <w:lang w:val="en-US" w:eastAsia="zh-CN" w:bidi="ar-SA"/>
        </w:rPr>
        <w:t>完善基础设施，提升园区品质</w:t>
      </w:r>
      <w:r>
        <w:rPr>
          <w:rFonts w:hint="default" w:ascii="Times New Roman" w:hAnsi="Times New Roman" w:eastAsia="楷体_GB2312" w:cs="Times New Roman"/>
          <w:b/>
          <w:bCs/>
          <w:color w:val="auto"/>
          <w:sz w:val="32"/>
          <w:szCs w:val="32"/>
          <w:highlight w:val="none"/>
        </w:rPr>
        <w:t>。</w:t>
      </w:r>
      <w:r>
        <w:rPr>
          <w:rFonts w:hint="default" w:ascii="Times New Roman" w:hAnsi="Times New Roman" w:eastAsia="仿宋_GB2312" w:cs="Times New Roman"/>
          <w:b/>
          <w:bCs/>
          <w:color w:val="auto"/>
          <w:sz w:val="32"/>
          <w:szCs w:val="32"/>
          <w:highlight w:val="none"/>
          <w:lang w:val="en-US" w:eastAsia="zh-CN"/>
        </w:rPr>
        <w:t>一是集中供气供热项目，</w:t>
      </w:r>
      <w:r>
        <w:rPr>
          <w:rFonts w:hint="default" w:ascii="Times New Roman" w:hAnsi="Times New Roman" w:eastAsia="仿宋_GB2312" w:cs="Times New Roman"/>
          <w:color w:val="auto"/>
          <w:sz w:val="32"/>
          <w:szCs w:val="32"/>
          <w:highlight w:val="none"/>
          <w:lang w:val="en-US" w:eastAsia="zh-CN"/>
        </w:rPr>
        <w:t>场地平整完成95%，场内尚有2棺坟未迁；燃气设备基础、消防水池主体结构、控制用房主体已完成；燃气站场坪已完成基层压实、正在施工边坡支护。</w:t>
      </w:r>
      <w:r>
        <w:rPr>
          <w:rFonts w:hint="default" w:ascii="Times New Roman" w:hAnsi="Times New Roman" w:eastAsia="仿宋_GB2312" w:cs="Times New Roman"/>
          <w:b/>
          <w:bCs/>
          <w:color w:val="auto"/>
          <w:sz w:val="32"/>
          <w:szCs w:val="32"/>
          <w:highlight w:val="none"/>
          <w:lang w:val="en-US" w:eastAsia="zh-CN"/>
        </w:rPr>
        <w:t>二是消防站建设，</w:t>
      </w:r>
      <w:r>
        <w:rPr>
          <w:rFonts w:hint="default" w:ascii="Times New Roman" w:hAnsi="Times New Roman" w:eastAsia="仿宋_GB2312" w:cs="Times New Roman"/>
          <w:color w:val="auto"/>
          <w:sz w:val="32"/>
          <w:szCs w:val="32"/>
          <w:highlight w:val="none"/>
          <w:lang w:val="en-US" w:eastAsia="zh-CN"/>
        </w:rPr>
        <w:t>工程实体方面已完成基础施工，已办理工程用地规划许可、工程规划许可，正在办理施工许可。因该项目停工时间过长，涉及材料费及人工费调差，现已重新编制预算，新预算上报晃源集团并通过了董事会决议，下一步走投资变更审批流程，报县人民政府及相关单位同意后重新进行财评。</w:t>
      </w:r>
      <w:r>
        <w:rPr>
          <w:rFonts w:hint="default" w:ascii="Times New Roman" w:hAnsi="Times New Roman" w:eastAsia="仿宋_GB2312" w:cs="Times New Roman"/>
          <w:b/>
          <w:bCs/>
          <w:color w:val="auto"/>
          <w:sz w:val="32"/>
          <w:szCs w:val="32"/>
          <w:highlight w:val="none"/>
          <w:lang w:val="en-US" w:eastAsia="zh-CN"/>
        </w:rPr>
        <w:t>三是园区污水厂提标改造，</w:t>
      </w:r>
      <w:r>
        <w:rPr>
          <w:rFonts w:hint="default" w:ascii="Times New Roman" w:hAnsi="Times New Roman" w:eastAsia="仿宋_GB2312" w:cs="Times New Roman"/>
          <w:color w:val="auto"/>
          <w:sz w:val="32"/>
          <w:szCs w:val="32"/>
          <w:highlight w:val="none"/>
          <w:lang w:val="en-US" w:eastAsia="zh-CN"/>
        </w:rPr>
        <w:t>湖南省环科院正在编制可研，各部门提供相关资料，自然资源局已出具用地红线及地类表，第三方正在做用地预审选址相关资料。</w:t>
      </w:r>
      <w:r>
        <w:rPr>
          <w:rFonts w:hint="default" w:ascii="Times New Roman" w:hAnsi="Times New Roman" w:eastAsia="仿宋_GB2312" w:cs="Times New Roman"/>
          <w:b/>
          <w:bCs/>
          <w:color w:val="auto"/>
          <w:sz w:val="32"/>
          <w:szCs w:val="32"/>
          <w:highlight w:val="none"/>
          <w:lang w:val="en-US" w:eastAsia="zh-CN"/>
        </w:rPr>
        <w:t>四是新能源大厂房建设，</w:t>
      </w:r>
      <w:r>
        <w:rPr>
          <w:rFonts w:hint="default" w:ascii="Times New Roman" w:hAnsi="Times New Roman" w:eastAsia="仿宋_GB2312" w:cs="Times New Roman"/>
          <w:color w:val="auto"/>
          <w:sz w:val="32"/>
          <w:szCs w:val="32"/>
          <w:highlight w:val="none"/>
          <w:lang w:val="en-US" w:eastAsia="zh-CN"/>
        </w:rPr>
        <w:t>磷酸铁锂厂房完成建设任务的100%，一期厂房内部道路已完成80%，剩余上面层沥青混凝土未摊铺。道路管线已敷设30%，绿化已完成50%。二期及其他配套设施：完成综合楼独立基础、人工挖孔桩成孔施工；门卫室已建设完成；设备用房主体及装饰工程已完成。</w:t>
      </w:r>
      <w:r>
        <w:rPr>
          <w:rFonts w:hint="default" w:ascii="Times New Roman" w:hAnsi="Times New Roman" w:eastAsia="仿宋_GB2312" w:cs="Times New Roman"/>
          <w:b/>
          <w:bCs/>
          <w:color w:val="auto"/>
          <w:sz w:val="32"/>
          <w:szCs w:val="32"/>
          <w:highlight w:val="none"/>
          <w:lang w:val="en-US" w:eastAsia="zh-CN"/>
        </w:rPr>
        <w:t>五是前进路，</w:t>
      </w:r>
      <w:r>
        <w:rPr>
          <w:rFonts w:hint="default" w:ascii="Times New Roman" w:hAnsi="Times New Roman" w:eastAsia="仿宋_GB2312" w:cs="Times New Roman"/>
          <w:color w:val="auto"/>
          <w:sz w:val="32"/>
          <w:szCs w:val="32"/>
          <w:highlight w:val="none"/>
          <w:lang w:val="en-US" w:eastAsia="zh-CN"/>
        </w:rPr>
        <w:t>已完成清表，正在填路基，电力公司将尽快进行杆迁工作。</w:t>
      </w:r>
      <w:r>
        <w:rPr>
          <w:rFonts w:hint="default" w:ascii="Times New Roman" w:hAnsi="Times New Roman" w:eastAsia="仿宋_GB2312" w:cs="Times New Roman"/>
          <w:b/>
          <w:bCs/>
          <w:color w:val="auto"/>
          <w:sz w:val="32"/>
          <w:szCs w:val="32"/>
          <w:highlight w:val="none"/>
          <w:lang w:val="en-US" w:eastAsia="zh-CN"/>
        </w:rPr>
        <w:t>六是化学品分析检测中心，</w:t>
      </w:r>
      <w:r>
        <w:rPr>
          <w:rFonts w:hint="default" w:ascii="Times New Roman" w:hAnsi="Times New Roman" w:eastAsia="仿宋_GB2312" w:cs="Times New Roman"/>
          <w:b w:val="0"/>
          <w:bCs w:val="0"/>
          <w:color w:val="auto"/>
          <w:sz w:val="32"/>
          <w:szCs w:val="32"/>
          <w:highlight w:val="none"/>
          <w:lang w:val="en-US" w:eastAsia="zh-CN"/>
        </w:rPr>
        <w:t>现</w:t>
      </w:r>
      <w:r>
        <w:rPr>
          <w:rFonts w:hint="default" w:ascii="Times New Roman" w:hAnsi="Times New Roman" w:eastAsia="仿宋_GB2312" w:cs="Times New Roman"/>
          <w:color w:val="auto"/>
          <w:sz w:val="32"/>
          <w:szCs w:val="32"/>
          <w:highlight w:val="none"/>
          <w:lang w:val="en-US" w:eastAsia="zh-CN"/>
        </w:rPr>
        <w:t>已出效果图，正在做施工图设计。</w:t>
      </w:r>
    </w:p>
    <w:p w14:paraId="64AA3F36">
      <w:pPr>
        <w:keepNext w:val="0"/>
        <w:keepLines w:val="0"/>
        <w:pageBreakBefore w:val="0"/>
        <w:kinsoku/>
        <w:wordWrap/>
        <w:overflowPunct/>
        <w:topLinePunct w:val="0"/>
        <w:autoSpaceDE/>
        <w:autoSpaceDN/>
        <w:bidi w:val="0"/>
        <w:spacing w:line="620" w:lineRule="exact"/>
        <w:ind w:firstLine="643" w:firstLineChars="200"/>
        <w:textAlignment w:val="auto"/>
        <w:rPr>
          <w:rStyle w:val="9"/>
          <w:rFonts w:hint="default" w:ascii="Times New Roman" w:hAnsi="Times New Roman" w:eastAsia="仿宋_GB2312" w:cs="Times New Roman"/>
          <w:bCs/>
          <w:color w:val="auto"/>
          <w:kern w:val="0"/>
          <w:sz w:val="32"/>
          <w:szCs w:val="32"/>
          <w:highlight w:val="none"/>
          <w:lang w:val="en-US" w:eastAsia="zh-CN"/>
        </w:rPr>
      </w:pPr>
      <w:r>
        <w:rPr>
          <w:rStyle w:val="9"/>
          <w:rFonts w:hint="eastAsia" w:ascii="Times New Roman" w:hAnsi="Times New Roman" w:eastAsia="楷体_GB2312" w:cs="Times New Roman"/>
          <w:b/>
          <w:bCs w:val="0"/>
          <w:color w:val="auto"/>
          <w:kern w:val="0"/>
          <w:sz w:val="32"/>
          <w:szCs w:val="32"/>
          <w:highlight w:val="none"/>
          <w:lang w:val="en-US" w:eastAsia="zh-CN"/>
        </w:rPr>
        <w:t>7.</w:t>
      </w:r>
      <w:r>
        <w:rPr>
          <w:rStyle w:val="9"/>
          <w:rFonts w:hint="default" w:ascii="Times New Roman" w:hAnsi="Times New Roman" w:eastAsia="楷体_GB2312" w:cs="Times New Roman"/>
          <w:b/>
          <w:bCs w:val="0"/>
          <w:color w:val="auto"/>
          <w:kern w:val="0"/>
          <w:sz w:val="32"/>
          <w:szCs w:val="32"/>
          <w:highlight w:val="none"/>
          <w:lang w:val="en-US" w:eastAsia="zh-CN"/>
        </w:rPr>
        <w:t>严</w:t>
      </w:r>
      <w:r>
        <w:rPr>
          <w:rStyle w:val="9"/>
          <w:rFonts w:hint="default" w:ascii="Times New Roman" w:hAnsi="Times New Roman" w:eastAsia="楷体_GB2312" w:cs="Times New Roman"/>
          <w:b/>
          <w:bCs w:val="0"/>
          <w:color w:val="auto"/>
          <w:kern w:val="0"/>
          <w:sz w:val="32"/>
          <w:szCs w:val="32"/>
          <w:highlight w:val="none"/>
          <w:lang w:eastAsia="zh-CN"/>
        </w:rPr>
        <w:t>抓安全生产，保障</w:t>
      </w:r>
      <w:r>
        <w:rPr>
          <w:rStyle w:val="9"/>
          <w:rFonts w:hint="eastAsia" w:ascii="Times New Roman" w:hAnsi="Times New Roman" w:eastAsia="楷体_GB2312" w:cs="Times New Roman"/>
          <w:b/>
          <w:bCs w:val="0"/>
          <w:color w:val="auto"/>
          <w:kern w:val="0"/>
          <w:sz w:val="32"/>
          <w:szCs w:val="32"/>
          <w:highlight w:val="none"/>
          <w:lang w:eastAsia="zh-CN"/>
        </w:rPr>
        <w:t>安全</w:t>
      </w:r>
      <w:r>
        <w:rPr>
          <w:rStyle w:val="9"/>
          <w:rFonts w:hint="default" w:ascii="Times New Roman" w:hAnsi="Times New Roman" w:eastAsia="楷体_GB2312" w:cs="Times New Roman"/>
          <w:b/>
          <w:bCs w:val="0"/>
          <w:color w:val="auto"/>
          <w:kern w:val="0"/>
          <w:sz w:val="32"/>
          <w:szCs w:val="32"/>
          <w:highlight w:val="none"/>
          <w:lang w:val="en-US" w:eastAsia="zh-CN"/>
        </w:rPr>
        <w:t>底线</w:t>
      </w:r>
      <w:r>
        <w:rPr>
          <w:rStyle w:val="9"/>
          <w:rFonts w:hint="default" w:ascii="Times New Roman" w:hAnsi="Times New Roman" w:eastAsia="楷体_GB2312" w:cs="Times New Roman"/>
          <w:b/>
          <w:bCs w:val="0"/>
          <w:color w:val="auto"/>
          <w:kern w:val="0"/>
          <w:sz w:val="32"/>
          <w:szCs w:val="32"/>
          <w:highlight w:val="none"/>
          <w:lang w:eastAsia="zh-CN"/>
        </w:rPr>
        <w:t>。</w:t>
      </w:r>
      <w:r>
        <w:rPr>
          <w:rStyle w:val="9"/>
          <w:rFonts w:hint="default" w:ascii="Times New Roman" w:hAnsi="Times New Roman" w:eastAsia="仿宋_GB2312" w:cs="Times New Roman"/>
          <w:b/>
          <w:bCs w:val="0"/>
          <w:color w:val="auto"/>
          <w:kern w:val="0"/>
          <w:sz w:val="32"/>
          <w:szCs w:val="32"/>
          <w:highlight w:val="none"/>
          <w:lang w:val="en-US" w:eastAsia="zh-CN"/>
        </w:rPr>
        <w:t>一是坚守安全生产底线。</w:t>
      </w:r>
      <w:r>
        <w:rPr>
          <w:rFonts w:hint="default" w:ascii="Times New Roman" w:hAnsi="Times New Roman" w:eastAsia="仿宋_GB2312" w:cs="Times New Roman"/>
          <w:color w:val="auto"/>
          <w:sz w:val="32"/>
          <w:szCs w:val="32"/>
          <w:highlight w:val="none"/>
          <w:u w:val="none"/>
          <w:lang w:val="en-US" w:eastAsia="zh-CN"/>
        </w:rPr>
        <w:t>认真贯彻落实安全生产法律法规，严格落实“党政同责、一岗双责”安全生产责任制，始终把安全生产工作放在首位。</w:t>
      </w:r>
      <w:r>
        <w:rPr>
          <w:rFonts w:hint="default" w:ascii="Times New Roman" w:hAnsi="Times New Roman" w:eastAsia="仿宋_GB2312" w:cs="Times New Roman"/>
          <w:b/>
          <w:bCs/>
          <w:color w:val="auto"/>
          <w:sz w:val="32"/>
          <w:szCs w:val="32"/>
          <w:highlight w:val="none"/>
          <w:u w:val="none"/>
          <w:lang w:val="en-US" w:eastAsia="zh-CN"/>
        </w:rPr>
        <w:t>二是强化隐患排查整治。</w:t>
      </w:r>
      <w:r>
        <w:rPr>
          <w:rFonts w:hint="default" w:ascii="Times New Roman" w:hAnsi="Times New Roman" w:eastAsia="仿宋_GB2312" w:cs="Times New Roman"/>
          <w:color w:val="auto"/>
          <w:sz w:val="32"/>
          <w:szCs w:val="32"/>
          <w:highlight w:val="none"/>
          <w:u w:val="none"/>
          <w:lang w:val="en-US" w:eastAsia="zh-CN"/>
        </w:rPr>
        <w:t>年初制定了《新晃产业开发安全生产监督检查计划》并报县人民政府批准执行，全年开展计划检查36次，检查企业92家次，出动检查人员108人次，发现隐患123条，现已全部整改。开展行政处罚3次，处罚企业3家，处罚金额400元。对园区19家规模以上企业开展了安全设施设计诊断，园区现有29家规模以上制造企业完成安全生产“三同时”建设。</w:t>
      </w:r>
      <w:r>
        <w:rPr>
          <w:rFonts w:hint="default" w:ascii="Times New Roman" w:hAnsi="Times New Roman" w:eastAsia="仿宋_GB2312" w:cs="Times New Roman"/>
          <w:b/>
          <w:bCs/>
          <w:color w:val="auto"/>
          <w:sz w:val="32"/>
          <w:szCs w:val="32"/>
          <w:highlight w:val="none"/>
          <w:u w:val="none"/>
          <w:lang w:val="en-US" w:eastAsia="zh-CN"/>
        </w:rPr>
        <w:t>三是加强宣传教育培训。</w:t>
      </w:r>
      <w:r>
        <w:rPr>
          <w:rFonts w:hint="default" w:ascii="Times New Roman" w:hAnsi="Times New Roman" w:eastAsia="仿宋_GB2312" w:cs="Times New Roman"/>
          <w:color w:val="auto"/>
          <w:sz w:val="32"/>
          <w:szCs w:val="32"/>
          <w:highlight w:val="none"/>
          <w:u w:val="none"/>
          <w:lang w:val="en-US" w:eastAsia="zh-CN"/>
        </w:rPr>
        <w:t>各项会议及时传达学习习近平总书记对内蒙古阿拉善塌方事故等重要指示批示精神，提升干部职工安全生产意识。制定下发了《新晃产业开发区2023年“安全生产月”活动实施方案》，由县应急管理局邀请专家每季度组织企业主要负责人和安全员开展一次安全生产培训，进一步提高园区企业安全生产意识和管理水平。</w:t>
      </w:r>
    </w:p>
    <w:p w14:paraId="0ECF2833">
      <w:pPr>
        <w:pStyle w:val="8"/>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62ACF18D">
      <w:pPr>
        <w:widowControl/>
        <w:spacing w:line="640" w:lineRule="exact"/>
        <w:ind w:firstLine="640" w:firstLineChars="200"/>
        <w:jc w:val="left"/>
        <w:rPr>
          <w:rFonts w:eastAsia="黑体"/>
          <w:sz w:val="32"/>
          <w:szCs w:val="32"/>
        </w:rPr>
      </w:pPr>
      <w:r>
        <w:rPr>
          <w:rFonts w:hint="eastAsia" w:eastAsia="仿宋_GB2312"/>
          <w:sz w:val="32"/>
          <w:szCs w:val="32"/>
          <w:lang w:eastAsia="zh-CN"/>
        </w:rPr>
        <w:t>我单位项目多，项目资金需求量大，而县财政每年初只批拨少量预算指标完全不够项目支出。</w:t>
      </w:r>
      <w:bookmarkStart w:id="2" w:name="_GoBack"/>
      <w:bookmarkEnd w:id="2"/>
    </w:p>
    <w:p w14:paraId="080B8E98">
      <w:pPr>
        <w:widowControl/>
        <w:spacing w:line="64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（一）因园区项目较多，建议县财政局每年初增加园区项目资金预算，而不是每年年中来调整预算。</w:t>
      </w:r>
    </w:p>
    <w:p w14:paraId="2AB4D629">
      <w:pPr>
        <w:widowControl/>
        <w:spacing w:line="6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sz w:val="32"/>
          <w:szCs w:val="32"/>
        </w:rPr>
        <w:t>）加强对</w:t>
      </w:r>
      <w:r>
        <w:rPr>
          <w:rFonts w:hint="eastAsia" w:ascii="Times New Roman" w:hAnsi="Times New Roman" w:eastAsia="仿宋_GB2312" w:cs="Times New Roman"/>
          <w:sz w:val="32"/>
          <w:szCs w:val="32"/>
          <w:lang w:eastAsia="zh-CN"/>
        </w:rPr>
        <w:t>园区基础设施建设项目</w:t>
      </w:r>
      <w:r>
        <w:rPr>
          <w:rFonts w:hint="eastAsia" w:ascii="Times New Roman" w:hAnsi="Times New Roman" w:eastAsia="仿宋_GB2312" w:cs="Times New Roman"/>
          <w:sz w:val="32"/>
          <w:szCs w:val="32"/>
        </w:rPr>
        <w:t>资金</w:t>
      </w:r>
      <w:r>
        <w:rPr>
          <w:rFonts w:hint="eastAsia" w:ascii="Times New Roman" w:hAnsi="Times New Roman" w:eastAsia="仿宋_GB2312" w:cs="Times New Roman"/>
          <w:sz w:val="32"/>
          <w:szCs w:val="32"/>
          <w:lang w:eastAsia="zh-CN"/>
        </w:rPr>
        <w:t>的</w:t>
      </w:r>
      <w:r>
        <w:rPr>
          <w:rFonts w:hint="eastAsia" w:ascii="Times New Roman" w:hAnsi="Times New Roman" w:eastAsia="仿宋_GB2312" w:cs="Times New Roman"/>
          <w:sz w:val="32"/>
          <w:szCs w:val="32"/>
        </w:rPr>
        <w:t>管理和对财政配套资金到位的及时性，确保</w:t>
      </w:r>
      <w:r>
        <w:rPr>
          <w:rFonts w:hint="eastAsia" w:ascii="Times New Roman" w:hAnsi="Times New Roman" w:eastAsia="仿宋_GB2312" w:cs="Times New Roman"/>
          <w:sz w:val="32"/>
          <w:szCs w:val="32"/>
          <w:lang w:eastAsia="zh-CN"/>
        </w:rPr>
        <w:t>项目</w:t>
      </w:r>
      <w:r>
        <w:rPr>
          <w:rFonts w:hint="eastAsia" w:ascii="Times New Roman" w:hAnsi="Times New Roman" w:eastAsia="仿宋_GB2312" w:cs="Times New Roman"/>
          <w:sz w:val="32"/>
          <w:szCs w:val="32"/>
        </w:rPr>
        <w:t>资金充分发挥效益</w:t>
      </w:r>
    </w:p>
    <w:p w14:paraId="2749B27C">
      <w:pPr>
        <w:widowControl/>
        <w:spacing w:line="6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加强对</w:t>
      </w:r>
      <w:r>
        <w:rPr>
          <w:rFonts w:hint="eastAsia" w:ascii="Times New Roman" w:hAnsi="Times New Roman" w:eastAsia="仿宋_GB2312" w:cs="Times New Roman"/>
          <w:sz w:val="32"/>
          <w:szCs w:val="32"/>
          <w:lang w:eastAsia="zh-CN"/>
        </w:rPr>
        <w:t>项目</w:t>
      </w:r>
      <w:r>
        <w:rPr>
          <w:rFonts w:hint="eastAsia" w:ascii="Times New Roman" w:hAnsi="Times New Roman" w:eastAsia="仿宋_GB2312" w:cs="Times New Roman"/>
          <w:sz w:val="32"/>
          <w:szCs w:val="32"/>
        </w:rPr>
        <w:t>资金的核算，做到“专人管理、专户储存、专账核算、专项使用”。同时按工程进度及时配套财政资金，确保项目顺利推进。</w:t>
      </w:r>
    </w:p>
    <w:p w14:paraId="2DD83BB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60F0A"/>
    <w:multiLevelType w:val="singleLevel"/>
    <w:tmpl w:val="58F60F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MjZiZTAxZGVhMTliODJiYTQ1MGYwZDQxYjY2NGIifQ=="/>
  </w:docVars>
  <w:rsids>
    <w:rsidRoot w:val="00000000"/>
    <w:rsid w:val="489A18C8"/>
    <w:rsid w:val="6F1D6A12"/>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Date"/>
    <w:basedOn w:val="1"/>
    <w:next w:val="1"/>
    <w:unhideWhenUsed/>
    <w:qFormat/>
    <w:uiPriority w:val="99"/>
    <w:pPr>
      <w:ind w:left="100" w:leftChars="2500"/>
    </w:pPr>
  </w:style>
  <w:style w:type="paragraph" w:styleId="4">
    <w:name w:val="index 5"/>
    <w:basedOn w:val="1"/>
    <w:next w:val="1"/>
    <w:qFormat/>
    <w:uiPriority w:val="0"/>
    <w:pPr>
      <w:ind w:left="1680"/>
    </w:pPr>
  </w:style>
  <w:style w:type="paragraph" w:styleId="5">
    <w:name w:val="footer"/>
    <w:basedOn w:val="1"/>
    <w:next w:val="4"/>
    <w:unhideWhenUsed/>
    <w:qFormat/>
    <w:uiPriority w:val="99"/>
    <w:pPr>
      <w:snapToGrid w:val="0"/>
      <w:jc w:val="left"/>
    </w:pPr>
    <w:rPr>
      <w:sz w:val="18"/>
      <w:szCs w:val="18"/>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9">
    <w:name w:val="NormalCharacter"/>
    <w:qFormat/>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286</Words>
  <Characters>290</Characters>
  <Lines>0</Lines>
  <Paragraphs>0</Paragraphs>
  <TotalTime>0</TotalTime>
  <ScaleCrop>false</ScaleCrop>
  <LinksUpToDate>false</LinksUpToDate>
  <CharactersWithSpaces>290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萧萧公子</cp:lastModifiedBy>
  <dcterms:modified xsi:type="dcterms:W3CDTF">2024-09-23T07:46:27Z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12A71744045445B687D66BD13FB312DC_12</vt:lpwstr>
  </property>
</Properties>
</file>