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B5795" w14:textId="77777777" w:rsidR="0064475F" w:rsidRDefault="0064475F" w:rsidP="0064475F">
      <w:pPr>
        <w:pStyle w:val="a7"/>
        <w:widowControl w:val="0"/>
        <w:spacing w:before="0" w:beforeAutospacing="0" w:after="0" w:afterAutospacing="0" w:line="800" w:lineRule="exact"/>
        <w:jc w:val="center"/>
        <w:rPr>
          <w:rStyle w:val="a8"/>
          <w:rFonts w:ascii="Times New Roman" w:eastAsia="方正粗宋简体" w:hAnsi="Times New Roman" w:cs="Times New Roman"/>
          <w:b w:val="0"/>
          <w:bCs w:val="0"/>
          <w:spacing w:val="-20"/>
          <w:sz w:val="44"/>
          <w:szCs w:val="44"/>
        </w:rPr>
      </w:pPr>
      <w:r>
        <w:rPr>
          <w:rStyle w:val="a8"/>
          <w:rFonts w:ascii="Times New Roman" w:eastAsia="方正粗宋简体" w:hAnsi="Times New Roman" w:cs="Times New Roman"/>
          <w:spacing w:val="-20"/>
          <w:sz w:val="44"/>
          <w:szCs w:val="44"/>
        </w:rPr>
        <w:t>2019</w:t>
      </w:r>
      <w:r>
        <w:rPr>
          <w:rStyle w:val="a8"/>
          <w:rFonts w:ascii="Times New Roman" w:eastAsia="方正粗宋简体" w:hAnsi="Times New Roman" w:cs="Times New Roman"/>
          <w:spacing w:val="-20"/>
          <w:sz w:val="44"/>
          <w:szCs w:val="44"/>
        </w:rPr>
        <w:t>年度部门（</w:t>
      </w:r>
      <w:r>
        <w:rPr>
          <w:rStyle w:val="a8"/>
          <w:rFonts w:ascii="Times New Roman" w:eastAsia="方正粗宋简体" w:hAnsi="Times New Roman" w:cs="Times New Roman" w:hint="eastAsia"/>
          <w:b w:val="0"/>
          <w:bCs w:val="0"/>
          <w:spacing w:val="-20"/>
          <w:sz w:val="44"/>
          <w:szCs w:val="44"/>
        </w:rPr>
        <w:t>库区移民事务中心</w:t>
      </w:r>
      <w:r>
        <w:rPr>
          <w:rStyle w:val="a8"/>
          <w:rFonts w:ascii="Times New Roman" w:eastAsia="方正粗宋简体" w:hAnsi="Times New Roman" w:cs="Times New Roman"/>
          <w:spacing w:val="-20"/>
          <w:sz w:val="44"/>
          <w:szCs w:val="44"/>
        </w:rPr>
        <w:t>）整体支出绩效自评报告</w:t>
      </w:r>
    </w:p>
    <w:p w14:paraId="720BC2D2" w14:textId="77777777" w:rsidR="0064475F" w:rsidRDefault="0064475F" w:rsidP="0064475F">
      <w:pPr>
        <w:numPr>
          <w:ilvl w:val="0"/>
          <w:numId w:val="1"/>
        </w:numPr>
        <w:spacing w:before="240" w:line="560" w:lineRule="exact"/>
        <w:jc w:val="left"/>
        <w:rPr>
          <w:rFonts w:ascii="仿宋" w:eastAsia="仿宋" w:hAnsi="仿宋" w:cs="仿宋"/>
          <w:kern w:val="0"/>
          <w:sz w:val="28"/>
          <w:szCs w:val="28"/>
        </w:rPr>
      </w:pPr>
      <w:r>
        <w:rPr>
          <w:rFonts w:eastAsia="仿宋_GB2312"/>
          <w:kern w:val="0"/>
          <w:sz w:val="28"/>
          <w:szCs w:val="28"/>
        </w:rPr>
        <w:t>部门（单位）</w:t>
      </w:r>
      <w:r>
        <w:rPr>
          <w:rFonts w:eastAsia="仿宋_GB2312"/>
          <w:kern w:val="0"/>
          <w:sz w:val="32"/>
          <w:szCs w:val="32"/>
        </w:rPr>
        <w:t>基本概况</w:t>
      </w:r>
    </w:p>
    <w:p w14:paraId="483DEE5F" w14:textId="77777777" w:rsidR="0064475F" w:rsidRDefault="0064475F" w:rsidP="0064475F">
      <w:pPr>
        <w:spacing w:before="240" w:line="560" w:lineRule="exact"/>
        <w:ind w:left="650"/>
        <w:jc w:val="left"/>
        <w:rPr>
          <w:rFonts w:ascii="仿宋" w:eastAsia="仿宋" w:hAnsi="仿宋" w:cs="仿宋"/>
          <w:kern w:val="0"/>
          <w:sz w:val="28"/>
          <w:szCs w:val="28"/>
        </w:rPr>
      </w:pPr>
      <w:r>
        <w:rPr>
          <w:rFonts w:ascii="仿宋" w:eastAsia="仿宋" w:hAnsi="仿宋" w:cs="仿宋" w:hint="eastAsia"/>
          <w:kern w:val="0"/>
          <w:sz w:val="28"/>
          <w:szCs w:val="28"/>
        </w:rPr>
        <w:t>（一）</w:t>
      </w:r>
      <w:r>
        <w:rPr>
          <w:rFonts w:eastAsia="仿宋_GB2312"/>
          <w:kern w:val="0"/>
          <w:sz w:val="32"/>
          <w:szCs w:val="32"/>
        </w:rPr>
        <w:t>部门（单位）职能及组成</w:t>
      </w:r>
    </w:p>
    <w:p w14:paraId="0AEE8490" w14:textId="77777777" w:rsidR="0064475F" w:rsidRDefault="0064475F" w:rsidP="0064475F">
      <w:pPr>
        <w:ind w:firstLineChars="250" w:firstLine="700"/>
        <w:rPr>
          <w:rFonts w:ascii="仿宋" w:eastAsia="仿宋" w:hAnsi="仿宋" w:cs="仿宋"/>
          <w:sz w:val="28"/>
          <w:szCs w:val="28"/>
        </w:rPr>
      </w:pPr>
      <w:r>
        <w:rPr>
          <w:rFonts w:ascii="仿宋" w:eastAsia="仿宋" w:hAnsi="仿宋" w:cs="仿宋" w:hint="eastAsia"/>
          <w:sz w:val="28"/>
          <w:szCs w:val="28"/>
        </w:rPr>
        <w:t>1、部门职能：我中心紧紧围绕“加快库区发展、维护库区稳定、推进富民强县”的战略，突出“移民后扶、移民致富、移民稳定”重点，认真落实移民后扶政策，狠抓各项工作的落实，实现了全县库区经济社会稳定和谐发展。</w:t>
      </w:r>
    </w:p>
    <w:p w14:paraId="7B6037D0" w14:textId="77777777" w:rsidR="0064475F" w:rsidRDefault="0064475F" w:rsidP="0064475F">
      <w:pPr>
        <w:spacing w:line="60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2、内设机构设置：</w:t>
      </w:r>
    </w:p>
    <w:p w14:paraId="354A2CE9" w14:textId="77777777" w:rsidR="0064475F" w:rsidRDefault="0064475F" w:rsidP="0064475F">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(1)综合股。主要负责中心的日常运转等工作；</w:t>
      </w:r>
      <w:proofErr w:type="gramStart"/>
      <w:r>
        <w:rPr>
          <w:rFonts w:ascii="仿宋" w:eastAsia="仿宋" w:hAnsi="仿宋" w:cs="仿宋" w:hint="eastAsia"/>
          <w:color w:val="000000"/>
          <w:sz w:val="28"/>
          <w:szCs w:val="28"/>
        </w:rPr>
        <w:t>承担县</w:t>
      </w:r>
      <w:proofErr w:type="gramEnd"/>
      <w:r>
        <w:rPr>
          <w:rFonts w:ascii="仿宋" w:eastAsia="仿宋" w:hAnsi="仿宋" w:cs="仿宋" w:hint="eastAsia"/>
          <w:color w:val="000000"/>
          <w:sz w:val="28"/>
          <w:szCs w:val="28"/>
        </w:rPr>
        <w:t>本级水库移民资金年度预算、决算、征收、财务管理和会计核算等事务性工作；负责中心年度预算、决算的编制及财务管理和会计核算工作；承担水库移民资金内部审计的事务性工作；承担水库移民资金使用绩效评价的事务性工作；承担党建、纪检等相关工作.</w:t>
      </w:r>
    </w:p>
    <w:p w14:paraId="79A9B458" w14:textId="77777777" w:rsidR="0064475F" w:rsidRDefault="0064475F" w:rsidP="0064475F">
      <w:pPr>
        <w:spacing w:line="60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(2)搬迁安置股。承担全县大中型水库移民安置实施管理的事务性工作；承担大中型水库遗留问题处理、避险解困等事务性工作；承担全县水库移民信访维权、行政复议、行政诉讼的事务性工作；承担全县水库移民工作政策法规研究、起草和宣传相关事务性工作；承担全县大中型水库移民安置初步验收的事务性工作；承担水库移民培训相关事务性工作.承担全县大中型水库新增移民后期扶持人口核定的事务性工作；承担水库移民扶贫攻坚工作；承担全县大中型水利水电</w:t>
      </w:r>
      <w:r>
        <w:rPr>
          <w:rFonts w:ascii="仿宋" w:eastAsia="仿宋" w:hAnsi="仿宋" w:cs="仿宋" w:hint="eastAsia"/>
          <w:color w:val="000000"/>
          <w:sz w:val="28"/>
          <w:szCs w:val="28"/>
        </w:rPr>
        <w:lastRenderedPageBreak/>
        <w:t>工程建设征地实物调查细则和移民安置规划大纲、移民安置规划审查事务性工作；协助有关部门做好水库移民计划生育、综合治理、安全生产、防汛等相关工作。</w:t>
      </w:r>
    </w:p>
    <w:p w14:paraId="7E787BAB" w14:textId="77777777" w:rsidR="0064475F" w:rsidRDefault="0064475F" w:rsidP="0064475F">
      <w:pPr>
        <w:spacing w:line="600" w:lineRule="exact"/>
        <w:ind w:firstLineChars="200" w:firstLine="560"/>
        <w:rPr>
          <w:rFonts w:eastAsia="仿宋_GB2312"/>
          <w:kern w:val="0"/>
          <w:sz w:val="32"/>
          <w:szCs w:val="32"/>
        </w:rPr>
      </w:pPr>
      <w:r>
        <w:rPr>
          <w:rFonts w:ascii="仿宋" w:eastAsia="仿宋" w:hAnsi="仿宋" w:cs="仿宋" w:hint="eastAsia"/>
          <w:color w:val="000000"/>
          <w:sz w:val="28"/>
          <w:szCs w:val="28"/>
        </w:rPr>
        <w:t>(3)后期扶持股。承担移民后期扶持规划的审查、审核或审批的事务性工作；承担全县大中型水库移民后期扶持政策实施情况监测评估、</w:t>
      </w:r>
      <w:proofErr w:type="gramStart"/>
      <w:r>
        <w:rPr>
          <w:rFonts w:ascii="仿宋" w:eastAsia="仿宋" w:hAnsi="仿宋" w:cs="仿宋" w:hint="eastAsia"/>
          <w:color w:val="000000"/>
          <w:sz w:val="28"/>
          <w:szCs w:val="28"/>
        </w:rPr>
        <w:t>稽察</w:t>
      </w:r>
      <w:proofErr w:type="gramEnd"/>
      <w:r>
        <w:rPr>
          <w:rFonts w:ascii="仿宋" w:eastAsia="仿宋" w:hAnsi="仿宋" w:cs="仿宋" w:hint="eastAsia"/>
          <w:color w:val="000000"/>
          <w:sz w:val="28"/>
          <w:szCs w:val="28"/>
        </w:rPr>
        <w:t>等事务性工作；承担水库移民后期扶持项目库、贫困移民动态管理信息数据库的建设；承担水库移民综合统计工作；承担大中型水库移民后期扶持规划及资金项目年度计划实施的事务性工作；承担大中型水库移民后期扶持规划实施事务性工作；承担大中型水库移民后期扶持人口动态管理的事务性工作。承担水库</w:t>
      </w:r>
      <w:proofErr w:type="gramStart"/>
      <w:r>
        <w:rPr>
          <w:rFonts w:ascii="仿宋" w:eastAsia="仿宋" w:hAnsi="仿宋" w:cs="仿宋" w:hint="eastAsia"/>
          <w:color w:val="000000"/>
          <w:sz w:val="28"/>
          <w:szCs w:val="28"/>
        </w:rPr>
        <w:t>移民直补资金</w:t>
      </w:r>
      <w:proofErr w:type="gramEnd"/>
      <w:r>
        <w:rPr>
          <w:rFonts w:ascii="仿宋" w:eastAsia="仿宋" w:hAnsi="仿宋" w:cs="仿宋" w:hint="eastAsia"/>
          <w:color w:val="000000"/>
          <w:sz w:val="28"/>
          <w:szCs w:val="28"/>
        </w:rPr>
        <w:t>发放、口粮补贴发放、贫困及受灾移民救助资金发放工作等。</w:t>
      </w:r>
    </w:p>
    <w:p w14:paraId="6F2D37F1" w14:textId="77777777" w:rsidR="0064475F" w:rsidRDefault="0064475F" w:rsidP="0064475F">
      <w:pPr>
        <w:spacing w:line="560" w:lineRule="exact"/>
        <w:ind w:firstLineChars="200" w:firstLine="640"/>
        <w:jc w:val="left"/>
        <w:rPr>
          <w:rFonts w:eastAsia="仿宋_GB2312"/>
          <w:kern w:val="0"/>
          <w:sz w:val="32"/>
          <w:szCs w:val="32"/>
        </w:rPr>
      </w:pPr>
      <w:r>
        <w:rPr>
          <w:rFonts w:eastAsia="仿宋_GB2312" w:hint="eastAsia"/>
          <w:kern w:val="0"/>
          <w:sz w:val="32"/>
          <w:szCs w:val="32"/>
        </w:rPr>
        <w:t>(</w:t>
      </w:r>
      <w:r>
        <w:rPr>
          <w:rFonts w:eastAsia="仿宋_GB2312" w:hint="eastAsia"/>
          <w:kern w:val="0"/>
          <w:sz w:val="32"/>
          <w:szCs w:val="32"/>
        </w:rPr>
        <w:t>二）</w:t>
      </w:r>
      <w:r>
        <w:rPr>
          <w:rFonts w:eastAsia="仿宋_GB2312"/>
          <w:kern w:val="0"/>
          <w:sz w:val="32"/>
          <w:szCs w:val="32"/>
        </w:rPr>
        <w:t>2019</w:t>
      </w:r>
      <w:r>
        <w:rPr>
          <w:rFonts w:eastAsia="仿宋_GB2312"/>
          <w:kern w:val="0"/>
          <w:sz w:val="32"/>
          <w:szCs w:val="32"/>
        </w:rPr>
        <w:t>年度财政收支和年末固定资产状况，财政财务管理制度及执行情况。</w:t>
      </w:r>
    </w:p>
    <w:p w14:paraId="34C81D40" w14:textId="77777777" w:rsidR="0064475F" w:rsidRDefault="0064475F" w:rsidP="0064475F">
      <w:pPr>
        <w:ind w:firstLineChars="200" w:firstLine="560"/>
        <w:rPr>
          <w:rFonts w:ascii="仿宋" w:eastAsia="仿宋" w:hAnsi="仿宋" w:cs="仿宋"/>
          <w:color w:val="000000"/>
          <w:kern w:val="0"/>
          <w:sz w:val="28"/>
          <w:szCs w:val="28"/>
        </w:rPr>
      </w:pPr>
      <w:r>
        <w:rPr>
          <w:rFonts w:ascii="仿宋" w:eastAsia="仿宋" w:hAnsi="仿宋" w:cs="仿宋" w:hint="eastAsia"/>
          <w:sz w:val="28"/>
          <w:szCs w:val="28"/>
        </w:rPr>
        <w:t>2019 年度收入总计1183.77万元、支出总计918.39万元。与2018年相比，收入增加391.11万元，增长49.34%，主要是因为用电量增涨移民项目资金投入也随之增涨。支出减少7.97万元，减少0.86%，主要是因为项目资金没有按期拨款造成减少。</w:t>
      </w:r>
      <w:r>
        <w:rPr>
          <w:rFonts w:ascii="仿宋" w:eastAsia="仿宋" w:hAnsi="仿宋" w:cs="仿宋" w:hint="eastAsia"/>
          <w:color w:val="000000"/>
          <w:kern w:val="0"/>
          <w:sz w:val="28"/>
          <w:szCs w:val="28"/>
        </w:rPr>
        <w:t>截至2019年12月31日，本单位共有车辆0辆，其中，领导干部用车0辆、机要通信用车0辆、应急保障用车0辆、执法执勤用车0辆、特种专业技术用车0辆、其他用车0辆；单位价值50万元以上通用设备0台（套）；单位价值100万元以上专用设备0台（套）。</w:t>
      </w:r>
    </w:p>
    <w:p w14:paraId="7C16EE19"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制定了较为完善的财务管理制度，包括政府采购办理办法、票据管理办法等，并且各项财务管理制度符合相关财务会计制度的规定。</w:t>
      </w:r>
    </w:p>
    <w:p w14:paraId="16B92AB9" w14:textId="77777777" w:rsidR="0064475F" w:rsidRDefault="0064475F" w:rsidP="0064475F">
      <w:pPr>
        <w:spacing w:line="560" w:lineRule="exact"/>
        <w:ind w:firstLineChars="200" w:firstLine="640"/>
        <w:jc w:val="left"/>
        <w:rPr>
          <w:rFonts w:eastAsia="仿宋_GB2312"/>
          <w:kern w:val="0"/>
          <w:sz w:val="32"/>
          <w:szCs w:val="32"/>
        </w:rPr>
      </w:pPr>
      <w:r>
        <w:rPr>
          <w:rFonts w:eastAsia="仿宋_GB2312"/>
          <w:kern w:val="0"/>
          <w:sz w:val="32"/>
          <w:szCs w:val="32"/>
        </w:rPr>
        <w:lastRenderedPageBreak/>
        <w:t>二、部门（单位）整体支出绩效状况</w:t>
      </w:r>
    </w:p>
    <w:p w14:paraId="58A8B593"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1.产出指标完成情况分析</w:t>
      </w:r>
    </w:p>
    <w:p w14:paraId="5B4AB559"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（1）项目完成数量</w:t>
      </w:r>
    </w:p>
    <w:p w14:paraId="5C1BF537"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大中型水库移民后期扶持资金。新晃县2019年移民人口指标5969人，移民</w:t>
      </w:r>
      <w:proofErr w:type="gramStart"/>
      <w:r>
        <w:rPr>
          <w:rFonts w:ascii="仿宋" w:eastAsia="仿宋" w:hAnsi="仿宋" w:cs="仿宋" w:hint="eastAsia"/>
          <w:sz w:val="28"/>
          <w:szCs w:val="28"/>
        </w:rPr>
        <w:t>直补人口</w:t>
      </w:r>
      <w:proofErr w:type="gramEnd"/>
      <w:r>
        <w:rPr>
          <w:rFonts w:ascii="仿宋" w:eastAsia="仿宋" w:hAnsi="仿宋" w:cs="仿宋" w:hint="eastAsia"/>
          <w:sz w:val="28"/>
          <w:szCs w:val="28"/>
        </w:rPr>
        <w:t>除却自然减员人口，应</w:t>
      </w:r>
      <w:proofErr w:type="gramStart"/>
      <w:r>
        <w:rPr>
          <w:rFonts w:ascii="仿宋" w:eastAsia="仿宋" w:hAnsi="仿宋" w:cs="仿宋" w:hint="eastAsia"/>
          <w:sz w:val="28"/>
          <w:szCs w:val="28"/>
        </w:rPr>
        <w:t>发指标</w:t>
      </w:r>
      <w:proofErr w:type="gramEnd"/>
      <w:r>
        <w:rPr>
          <w:rFonts w:ascii="仿宋" w:eastAsia="仿宋" w:hAnsi="仿宋" w:cs="仿宋" w:hint="eastAsia"/>
          <w:sz w:val="28"/>
          <w:szCs w:val="28"/>
        </w:rPr>
        <w:t>2983人，直补到人资金全年实发指标2983人，发放扶持资金所涉及扶持指标人口的准确、全面，完成率100%；，截止到2020年6月30日实施项目已全部完工，验收合格率 100%。</w:t>
      </w:r>
    </w:p>
    <w:p w14:paraId="379B2FAC"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整村推进移民美丽家园项目。完成移民美丽家园项目2个。完成率100%。</w:t>
      </w:r>
    </w:p>
    <w:p w14:paraId="5780BA84"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（2）项目完成质量</w:t>
      </w:r>
    </w:p>
    <w:p w14:paraId="00803C6A"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所完成的项目均委托工程质量检测单位对工程施工质量进行检测，确保工程质量均达到质量目标，按质、按量实施完成。项目验收合格率100%。</w:t>
      </w:r>
    </w:p>
    <w:p w14:paraId="529A558B"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（3）项目实效性分析</w:t>
      </w:r>
    </w:p>
    <w:p w14:paraId="05D0A7B1"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大中型水库移民后期扶持资金。2019年9月，按文件要求一次性将1个季度扶持资金发放到移民存折，发放率100%；分别于2019年9月--2020年6月支付项目资金219.61万元。</w:t>
      </w:r>
    </w:p>
    <w:p w14:paraId="30BDE959"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（4）项目成本控制</w:t>
      </w:r>
    </w:p>
    <w:p w14:paraId="00ADD015"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大中型水库移民后期扶持资金：项目严格按照水库移民项目实施和资金管理要求，加强资金管理，实行专款专用。2019年新晃县后期扶持资金直补到人资金发放无多发、错发现</w:t>
      </w:r>
      <w:proofErr w:type="gramStart"/>
      <w:r>
        <w:rPr>
          <w:rFonts w:ascii="仿宋" w:eastAsia="仿宋" w:hAnsi="仿宋" w:cs="仿宋" w:hint="eastAsia"/>
          <w:sz w:val="28"/>
          <w:szCs w:val="28"/>
        </w:rPr>
        <w:t>象</w:t>
      </w:r>
      <w:proofErr w:type="gramEnd"/>
      <w:r>
        <w:rPr>
          <w:rFonts w:ascii="仿宋" w:eastAsia="仿宋" w:hAnsi="仿宋" w:cs="仿宋" w:hint="eastAsia"/>
          <w:sz w:val="28"/>
          <w:szCs w:val="28"/>
        </w:rPr>
        <w:t>；建设类项目严格按照招投标进行公开招投标。通过各方严格管理，做到了开源节流、降本增效的效果。</w:t>
      </w:r>
      <w:r>
        <w:rPr>
          <w:rFonts w:ascii="仿宋" w:eastAsia="仿宋" w:hAnsi="仿宋" w:cs="仿宋" w:hint="eastAsia"/>
          <w:bCs/>
          <w:sz w:val="28"/>
          <w:szCs w:val="28"/>
        </w:rPr>
        <w:t>①</w:t>
      </w:r>
      <w:proofErr w:type="gramStart"/>
      <w:r>
        <w:rPr>
          <w:rFonts w:ascii="仿宋" w:eastAsia="仿宋" w:hAnsi="仿宋" w:cs="仿宋" w:hint="eastAsia"/>
          <w:sz w:val="28"/>
          <w:szCs w:val="28"/>
        </w:rPr>
        <w:t>直补资金</w:t>
      </w:r>
      <w:proofErr w:type="gramEnd"/>
      <w:r>
        <w:rPr>
          <w:rFonts w:ascii="仿宋" w:eastAsia="仿宋" w:hAnsi="仿宋" w:cs="仿宋" w:hint="eastAsia"/>
          <w:sz w:val="28"/>
          <w:szCs w:val="28"/>
        </w:rPr>
        <w:t>标准符合率：</w:t>
      </w:r>
      <w:proofErr w:type="gramStart"/>
      <w:r>
        <w:rPr>
          <w:rFonts w:ascii="仿宋" w:eastAsia="仿宋" w:hAnsi="仿宋" w:cs="仿宋" w:hint="eastAsia"/>
          <w:sz w:val="28"/>
          <w:szCs w:val="28"/>
        </w:rPr>
        <w:t>直补资金</w:t>
      </w:r>
      <w:proofErr w:type="gramEnd"/>
      <w:r>
        <w:rPr>
          <w:rFonts w:ascii="仿宋" w:eastAsia="仿宋" w:hAnsi="仿宋" w:cs="仿宋" w:hint="eastAsia"/>
          <w:sz w:val="28"/>
          <w:szCs w:val="28"/>
        </w:rPr>
        <w:t>标准按照移民每人每</w:t>
      </w:r>
      <w:r>
        <w:rPr>
          <w:rFonts w:ascii="仿宋" w:eastAsia="仿宋" w:hAnsi="仿宋" w:cs="仿宋" w:hint="eastAsia"/>
          <w:sz w:val="28"/>
          <w:szCs w:val="28"/>
        </w:rPr>
        <w:lastRenderedPageBreak/>
        <w:t>年600元标准进行发放，符合率100%。</w:t>
      </w:r>
      <w:r>
        <w:rPr>
          <w:rFonts w:ascii="仿宋" w:eastAsia="仿宋" w:hAnsi="仿宋" w:cs="仿宋" w:hint="eastAsia"/>
          <w:bCs/>
          <w:sz w:val="28"/>
          <w:szCs w:val="28"/>
        </w:rPr>
        <w:t>②</w:t>
      </w:r>
      <w:r>
        <w:rPr>
          <w:rFonts w:ascii="仿宋" w:eastAsia="仿宋" w:hAnsi="仿宋" w:cs="仿宋" w:hint="eastAsia"/>
          <w:sz w:val="28"/>
          <w:szCs w:val="28"/>
        </w:rPr>
        <w:t>项目支出控制在批复的预算范围内的项目比例（%）：项目支出均控制在批复的预算范围内，比例达100%，没有超出批复投资。</w:t>
      </w:r>
    </w:p>
    <w:p w14:paraId="27145374"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2.效益指标完成情况分析</w:t>
      </w:r>
    </w:p>
    <w:p w14:paraId="51D247DB"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（1）项目实施的经济效益</w:t>
      </w:r>
    </w:p>
    <w:p w14:paraId="0B1B832D"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通过对项目的实施，解决了移民户过渡期的资金困难，对移民户的技能培训和职业教育，带动广大移民户发展种、养殖业，提高移民户收入，帮助移民户逐步脱贫，促进地方经济的发展，加强了农村基础设施建设，改善了农业生产条件，促进了库区和移民安置区经济发展和移民群众增产增收：①增加移民人均可支配收入（元）：增加移民人均可支配收入260元，②提高移民收入占当地农村居民收入比例（%）：提高移民收入占当地农村居民收入比例5%，完成任务指标值。</w:t>
      </w:r>
    </w:p>
    <w:p w14:paraId="398412A4"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（2）项目实施的社会效益分析</w:t>
      </w:r>
    </w:p>
    <w:p w14:paraId="1ACBE763"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增加达到当地县农村居民平均收入水平移民人口（人）：增加达到当地县农村居民平均收入水平移民人口600人，完成任务指标值。</w:t>
      </w:r>
    </w:p>
    <w:p w14:paraId="1B787139"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（3）项目实施的生态效益   </w:t>
      </w:r>
    </w:p>
    <w:p w14:paraId="769C4A48"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通过新农村建设项目的实施，优化了库区和移民安置区生态环境，有效改善移民群众的获得感、幸福感，提升生活保障的同时提高移民对保护环境的重要性认识。</w:t>
      </w:r>
    </w:p>
    <w:p w14:paraId="64DA9D4C"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①整村推进美丽家园建设资金（万元）：②美丽家园建设资金110万元，超额完成任务指标值。</w:t>
      </w:r>
    </w:p>
    <w:p w14:paraId="31D1513D"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②项目扶持受益移民村（不含建成美丽移民村）（</w:t>
      </w:r>
      <w:proofErr w:type="gramStart"/>
      <w:r>
        <w:rPr>
          <w:rFonts w:ascii="仿宋" w:eastAsia="仿宋" w:hAnsi="仿宋" w:cs="仿宋" w:hint="eastAsia"/>
          <w:sz w:val="28"/>
          <w:szCs w:val="28"/>
        </w:rPr>
        <w:t>个</w:t>
      </w:r>
      <w:proofErr w:type="gramEnd"/>
      <w:r>
        <w:rPr>
          <w:rFonts w:ascii="仿宋" w:eastAsia="仿宋" w:hAnsi="仿宋" w:cs="仿宋" w:hint="eastAsia"/>
          <w:sz w:val="28"/>
          <w:szCs w:val="28"/>
        </w:rPr>
        <w:t>）：项目扶持受益移民村（不含建成美丽移民村）42个。</w:t>
      </w:r>
    </w:p>
    <w:p w14:paraId="462668D4"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3.满意度指标完成情况分析。</w:t>
      </w:r>
    </w:p>
    <w:p w14:paraId="4A90546C"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主要考核移民对象对项目实施效果的满意程度，采取问卷调查的方式获取。经调查，移民对象对资金发放、项目实施效果的满意程度94%。</w:t>
      </w:r>
    </w:p>
    <w:p w14:paraId="1E03910C"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①移民对后期扶持政策实施满意度（%）：通过开展调研、座谈、发放问卷调查表等方式统计，移民对后期扶持政策实施满意度94%，满意度达到任务指标值。</w:t>
      </w:r>
    </w:p>
    <w:p w14:paraId="09E03CB9"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②与后期扶持有关的非正常进京越级上访事件（起）：与后期扶持有关的非正常进京越级上访事件0起。</w:t>
      </w:r>
    </w:p>
    <w:p w14:paraId="7A8643FE"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③交办的信访事项及时处理率（%）：交办的信访事项及时处理率100%。</w:t>
      </w:r>
    </w:p>
    <w:p w14:paraId="0BEB6FB9" w14:textId="77777777" w:rsidR="0064475F" w:rsidRDefault="0064475F" w:rsidP="0064475F">
      <w:pPr>
        <w:spacing w:line="560" w:lineRule="exact"/>
        <w:ind w:firstLineChars="200" w:firstLine="640"/>
        <w:jc w:val="left"/>
        <w:rPr>
          <w:rFonts w:eastAsia="仿宋_GB2312"/>
          <w:kern w:val="0"/>
          <w:sz w:val="32"/>
          <w:szCs w:val="32"/>
        </w:rPr>
      </w:pPr>
      <w:r>
        <w:rPr>
          <w:rFonts w:eastAsia="仿宋_GB2312"/>
          <w:kern w:val="0"/>
          <w:sz w:val="32"/>
          <w:szCs w:val="32"/>
        </w:rPr>
        <w:t>三、存在的问题及原因</w:t>
      </w:r>
    </w:p>
    <w:p w14:paraId="6229B6D7"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一是项目进度和资金支出进度缓慢，影响绩效评价整体效果。从本次绩效评价的情况看，专项资金支出进度相对较慢。截止目前，少部分项目正处于实施阶段，尚未形成项目产出，也未实现经济和社会效益。</w:t>
      </w:r>
    </w:p>
    <w:p w14:paraId="75583D81"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二是对专项资金的使用管理有待加强。个别项目前期准备工作不扎实、项目论证不到位、项目启动较晚，受季节影响无法实施，导致了项目资金的滞留，未能及时发挥财政预算资金的使用效率。</w:t>
      </w:r>
    </w:p>
    <w:p w14:paraId="553C712D" w14:textId="77777777" w:rsidR="0064475F" w:rsidRDefault="0064475F" w:rsidP="0064475F">
      <w:pPr>
        <w:spacing w:line="560" w:lineRule="exact"/>
        <w:ind w:firstLineChars="200" w:firstLine="640"/>
        <w:jc w:val="left"/>
        <w:rPr>
          <w:rFonts w:eastAsia="仿宋_GB2312"/>
          <w:kern w:val="0"/>
          <w:sz w:val="32"/>
          <w:szCs w:val="32"/>
        </w:rPr>
      </w:pPr>
      <w:r>
        <w:rPr>
          <w:rFonts w:eastAsia="仿宋_GB2312"/>
          <w:kern w:val="0"/>
          <w:sz w:val="32"/>
          <w:szCs w:val="32"/>
        </w:rPr>
        <w:t>四、提高财政资金绩效的措施与建议</w:t>
      </w:r>
    </w:p>
    <w:p w14:paraId="0ACEBA2C" w14:textId="77777777" w:rsidR="0064475F" w:rsidRDefault="0064475F" w:rsidP="0064475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一是加大移民资金管理使用的监督检查，及时发现问题，督促整改落实，确保资金安全。</w:t>
      </w:r>
      <w:r>
        <w:rPr>
          <w:rFonts w:ascii="仿宋" w:eastAsia="仿宋" w:hAnsi="仿宋" w:cs="仿宋" w:hint="eastAsia"/>
          <w:bCs/>
          <w:w w:val="95"/>
          <w:sz w:val="28"/>
          <w:szCs w:val="28"/>
        </w:rPr>
        <w:t>加大对我县项目扶持和资金投入力度，以便尽快促使我县移民生活水平得到提高、产业得到发展。</w:t>
      </w:r>
    </w:p>
    <w:p w14:paraId="37C8CFE6" w14:textId="77777777" w:rsidR="0064475F" w:rsidRDefault="0064475F" w:rsidP="0064475F">
      <w:pPr>
        <w:spacing w:line="560" w:lineRule="exact"/>
        <w:ind w:firstLineChars="200" w:firstLine="560"/>
        <w:jc w:val="left"/>
        <w:rPr>
          <w:sz w:val="32"/>
          <w:szCs w:val="32"/>
        </w:rPr>
      </w:pPr>
      <w:r>
        <w:rPr>
          <w:rFonts w:ascii="仿宋" w:eastAsia="仿宋" w:hAnsi="仿宋" w:cs="仿宋" w:hint="eastAsia"/>
          <w:sz w:val="28"/>
          <w:szCs w:val="28"/>
        </w:rPr>
        <w:t>二是加强库区移民安置政策的宣传力度，让移民全面了解掌握相关补偿安置政策，切实发挥中央水库移民扶持政策效益。</w:t>
      </w:r>
    </w:p>
    <w:p w14:paraId="2DDC80F3" w14:textId="77777777" w:rsidR="0064475F" w:rsidRDefault="0064475F" w:rsidP="0064475F">
      <w:pPr>
        <w:spacing w:line="560" w:lineRule="exact"/>
        <w:ind w:firstLineChars="200" w:firstLine="640"/>
        <w:jc w:val="left"/>
        <w:rPr>
          <w:rFonts w:eastAsia="仿宋_GB2312"/>
          <w:kern w:val="0"/>
          <w:sz w:val="32"/>
          <w:szCs w:val="32"/>
        </w:rPr>
      </w:pPr>
      <w:r>
        <w:rPr>
          <w:rFonts w:eastAsia="仿宋_GB2312"/>
          <w:kern w:val="0"/>
          <w:sz w:val="32"/>
          <w:szCs w:val="32"/>
        </w:rPr>
        <w:lastRenderedPageBreak/>
        <w:t>五、附件（佐证依据）</w:t>
      </w:r>
    </w:p>
    <w:p w14:paraId="7F4BAE4F" w14:textId="77777777" w:rsidR="0064475F" w:rsidRDefault="0064475F" w:rsidP="0064475F">
      <w:pPr>
        <w:spacing w:line="560" w:lineRule="exact"/>
        <w:ind w:firstLineChars="200" w:firstLine="640"/>
        <w:jc w:val="left"/>
        <w:rPr>
          <w:rFonts w:eastAsia="仿宋_GB2312"/>
          <w:kern w:val="0"/>
          <w:sz w:val="32"/>
          <w:szCs w:val="32"/>
        </w:rPr>
      </w:pPr>
      <w:r>
        <w:rPr>
          <w:rFonts w:eastAsia="仿宋_GB2312"/>
          <w:kern w:val="0"/>
          <w:sz w:val="32"/>
          <w:szCs w:val="32"/>
        </w:rPr>
        <w:t>部门认为需要作为评价报告附件的有关文件、资料等，以进一步解释和证明报告所反映的相关内容。</w:t>
      </w:r>
    </w:p>
    <w:p w14:paraId="28EB9182" w14:textId="77777777" w:rsidR="00250FBD" w:rsidRPr="0064475F" w:rsidRDefault="00250FBD"/>
    <w:sectPr w:rsidR="00250FBD" w:rsidRPr="006447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75759" w14:textId="77777777" w:rsidR="00321FFB" w:rsidRDefault="00321FFB" w:rsidP="0064475F">
      <w:r>
        <w:separator/>
      </w:r>
    </w:p>
  </w:endnote>
  <w:endnote w:type="continuationSeparator" w:id="0">
    <w:p w14:paraId="2B5A4083" w14:textId="77777777" w:rsidR="00321FFB" w:rsidRDefault="00321FFB" w:rsidP="0064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0C91A" w14:textId="77777777" w:rsidR="00321FFB" w:rsidRDefault="00321FFB" w:rsidP="0064475F">
      <w:r>
        <w:separator/>
      </w:r>
    </w:p>
  </w:footnote>
  <w:footnote w:type="continuationSeparator" w:id="0">
    <w:p w14:paraId="6FA9B5E0" w14:textId="77777777" w:rsidR="00321FFB" w:rsidRDefault="00321FFB" w:rsidP="00644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AB5C00"/>
    <w:multiLevelType w:val="singleLevel"/>
    <w:tmpl w:val="39AB5C00"/>
    <w:lvl w:ilvl="0">
      <w:start w:val="1"/>
      <w:numFmt w:val="chineseCounting"/>
      <w:suff w:val="nothing"/>
      <w:lvlText w:val="%1、"/>
      <w:lvlJc w:val="left"/>
      <w:pPr>
        <w:ind w:left="65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50"/>
    <w:rsid w:val="00250FBD"/>
    <w:rsid w:val="00321FFB"/>
    <w:rsid w:val="00397950"/>
    <w:rsid w:val="0064475F"/>
    <w:rsid w:val="007F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4A2688-4BC5-4B06-9EE4-3DE9452C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7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7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75F"/>
    <w:rPr>
      <w:sz w:val="18"/>
      <w:szCs w:val="18"/>
    </w:rPr>
  </w:style>
  <w:style w:type="paragraph" w:styleId="a5">
    <w:name w:val="footer"/>
    <w:basedOn w:val="a"/>
    <w:link w:val="a6"/>
    <w:uiPriority w:val="99"/>
    <w:unhideWhenUsed/>
    <w:rsid w:val="0064475F"/>
    <w:pPr>
      <w:tabs>
        <w:tab w:val="center" w:pos="4153"/>
        <w:tab w:val="right" w:pos="8306"/>
      </w:tabs>
      <w:snapToGrid w:val="0"/>
      <w:jc w:val="left"/>
    </w:pPr>
    <w:rPr>
      <w:sz w:val="18"/>
      <w:szCs w:val="18"/>
    </w:rPr>
  </w:style>
  <w:style w:type="character" w:customStyle="1" w:styleId="a6">
    <w:name w:val="页脚 字符"/>
    <w:basedOn w:val="a0"/>
    <w:link w:val="a5"/>
    <w:uiPriority w:val="99"/>
    <w:rsid w:val="0064475F"/>
    <w:rPr>
      <w:sz w:val="18"/>
      <w:szCs w:val="18"/>
    </w:rPr>
  </w:style>
  <w:style w:type="paragraph" w:styleId="a7">
    <w:name w:val="Normal (Web)"/>
    <w:basedOn w:val="a"/>
    <w:qFormat/>
    <w:rsid w:val="0064475F"/>
    <w:pPr>
      <w:widowControl/>
      <w:spacing w:before="100" w:beforeAutospacing="1" w:after="100" w:afterAutospacing="1"/>
      <w:jc w:val="left"/>
    </w:pPr>
    <w:rPr>
      <w:rFonts w:ascii="宋体" w:hAnsi="宋体" w:cs="宋体"/>
      <w:kern w:val="0"/>
      <w:sz w:val="24"/>
    </w:rPr>
  </w:style>
  <w:style w:type="character" w:styleId="a8">
    <w:name w:val="Strong"/>
    <w:qFormat/>
    <w:rsid w:val="00644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2020-11-18T08:36:00Z</dcterms:created>
  <dcterms:modified xsi:type="dcterms:W3CDTF">2020-11-18T08:36:00Z</dcterms:modified>
</cp:coreProperties>
</file>