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新晃县退役军人事务局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57D9EB6"/>
    <w:p w14:paraId="4B9CD69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（一）绩效管理工作开展情况</w:t>
      </w:r>
    </w:p>
    <w:p w14:paraId="2562F66D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制</w:t>
      </w:r>
      <w:r>
        <w:rPr>
          <w:rFonts w:hint="eastAsia" w:ascii="仿宋_GB2312" w:hAnsi="仿宋_GB2312" w:eastAsia="仿宋_GB2312" w:cs="仿宋_GB2312"/>
          <w:sz w:val="32"/>
          <w:szCs w:val="32"/>
        </w:rPr>
        <w:t>定科学合理的绩效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目标</w:t>
      </w:r>
      <w:r>
        <w:rPr>
          <w:rFonts w:hint="eastAsia" w:ascii="仿宋_GB2312" w:hAnsi="仿宋_GB2312" w:eastAsia="仿宋_GB2312" w:cs="仿宋_GB2312"/>
          <w:sz w:val="32"/>
          <w:szCs w:val="32"/>
        </w:rPr>
        <w:t>，明确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绩效目标</w:t>
      </w:r>
      <w:r>
        <w:rPr>
          <w:rFonts w:hint="eastAsia" w:ascii="仿宋_GB2312" w:hAnsi="仿宋_GB2312" w:eastAsia="仿宋_GB2312" w:cs="仿宋_GB2312"/>
          <w:sz w:val="32"/>
          <w:szCs w:val="32"/>
        </w:rPr>
        <w:t>的主体、对象、内容、方法和程序。绩效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目标</w:t>
      </w:r>
      <w:r>
        <w:rPr>
          <w:rFonts w:hint="eastAsia" w:ascii="仿宋_GB2312" w:hAnsi="仿宋_GB2312" w:eastAsia="仿宋_GB2312" w:cs="仿宋_GB2312"/>
          <w:sz w:val="32"/>
          <w:szCs w:val="32"/>
        </w:rPr>
        <w:t>由内部和外部相结合，内部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评价</w:t>
      </w:r>
      <w:r>
        <w:rPr>
          <w:rFonts w:hint="eastAsia" w:ascii="仿宋_GB2312" w:hAnsi="仿宋_GB2312" w:eastAsia="仿宋_GB2312" w:cs="仿宋_GB2312"/>
          <w:sz w:val="32"/>
          <w:szCs w:val="32"/>
        </w:rPr>
        <w:t>由局领导、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股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负责人和工作人员组成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评价</w:t>
      </w:r>
      <w:r>
        <w:rPr>
          <w:rFonts w:hint="eastAsia" w:ascii="仿宋_GB2312" w:hAnsi="仿宋_GB2312" w:eastAsia="仿宋_GB2312" w:cs="仿宋_GB2312"/>
          <w:sz w:val="32"/>
          <w:szCs w:val="32"/>
        </w:rPr>
        <w:t>小组；外部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评价</w:t>
      </w:r>
      <w:r>
        <w:rPr>
          <w:rFonts w:hint="eastAsia" w:ascii="仿宋_GB2312" w:hAnsi="仿宋_GB2312" w:eastAsia="仿宋_GB2312" w:cs="仿宋_GB2312"/>
          <w:sz w:val="32"/>
          <w:szCs w:val="32"/>
        </w:rPr>
        <w:t>邀请退役军人代表等参与，对服务质量和满意度进行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评价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A40643D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严格按照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绩效目标评价</w:t>
      </w:r>
      <w:r>
        <w:rPr>
          <w:rFonts w:hint="default" w:ascii="仿宋_GB2312" w:hAnsi="仿宋_GB2312" w:eastAsia="仿宋_GB2312" w:cs="仿宋_GB2312"/>
          <w:sz w:val="32"/>
          <w:szCs w:val="32"/>
        </w:rPr>
        <w:t>方案进行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评价</w:t>
      </w:r>
      <w:r>
        <w:rPr>
          <w:rFonts w:hint="default" w:ascii="仿宋_GB2312" w:hAnsi="仿宋_GB2312" w:eastAsia="仿宋_GB2312" w:cs="仿宋_GB2312"/>
          <w:sz w:val="32"/>
          <w:szCs w:val="32"/>
        </w:rPr>
        <w:t>，确保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绩效目标评价</w:t>
      </w:r>
      <w:r>
        <w:rPr>
          <w:rFonts w:hint="default" w:ascii="仿宋_GB2312" w:hAnsi="仿宋_GB2312" w:eastAsia="仿宋_GB2312" w:cs="仿宋_GB2312"/>
          <w:sz w:val="32"/>
          <w:szCs w:val="32"/>
        </w:rPr>
        <w:t>结果的客观、公正。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评价</w:t>
      </w:r>
      <w:r>
        <w:rPr>
          <w:rFonts w:hint="default" w:ascii="仿宋_GB2312" w:hAnsi="仿宋_GB2312" w:eastAsia="仿宋_GB2312" w:cs="仿宋_GB2312"/>
          <w:sz w:val="32"/>
          <w:szCs w:val="32"/>
        </w:rPr>
        <w:t>过</w:t>
      </w:r>
      <w:bookmarkStart w:id="0" w:name="_GoBack"/>
      <w:bookmarkEnd w:id="0"/>
      <w:r>
        <w:rPr>
          <w:rFonts w:hint="default" w:ascii="仿宋_GB2312" w:hAnsi="仿宋_GB2312" w:eastAsia="仿宋_GB2312" w:cs="仿宋_GB2312"/>
          <w:sz w:val="32"/>
          <w:szCs w:val="32"/>
        </w:rPr>
        <w:t>程中，注重收集和分析数据，听取各方意见，对各项绩效指标进行综合评价。</w:t>
      </w:r>
    </w:p>
    <w:p w14:paraId="3B3DFAF6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及时反馈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评价</w:t>
      </w:r>
      <w:r>
        <w:rPr>
          <w:rFonts w:hint="default" w:ascii="仿宋_GB2312" w:hAnsi="仿宋_GB2312" w:eastAsia="仿宋_GB2312" w:cs="仿宋_GB2312"/>
          <w:sz w:val="32"/>
          <w:szCs w:val="32"/>
        </w:rPr>
        <w:t>结果，对绩效优秀的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股室</w:t>
      </w:r>
      <w:r>
        <w:rPr>
          <w:rFonts w:hint="default" w:ascii="仿宋_GB2312" w:hAnsi="仿宋_GB2312" w:eastAsia="仿宋_GB2312" w:cs="仿宋_GB2312"/>
          <w:sz w:val="32"/>
          <w:szCs w:val="32"/>
        </w:rPr>
        <w:t>和个人进行表彰和奖励，对绩效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目标</w:t>
      </w:r>
      <w:r>
        <w:rPr>
          <w:rFonts w:hint="default" w:ascii="仿宋_GB2312" w:hAnsi="仿宋_GB2312" w:eastAsia="仿宋_GB2312" w:cs="仿宋_GB2312"/>
          <w:sz w:val="32"/>
          <w:szCs w:val="32"/>
        </w:rPr>
        <w:t>不达标的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股室</w:t>
      </w:r>
      <w:r>
        <w:rPr>
          <w:rFonts w:hint="default" w:ascii="仿宋_GB2312" w:hAnsi="仿宋_GB2312" w:eastAsia="仿宋_GB2312" w:cs="仿宋_GB2312"/>
          <w:sz w:val="32"/>
          <w:szCs w:val="32"/>
        </w:rPr>
        <w:t>和个人进行批评和问责，激励工作人员积极进取，提高工作绩效。</w:t>
      </w:r>
    </w:p>
    <w:p w14:paraId="3C863AED">
      <w:pPr>
        <w:keepNext w:val="0"/>
        <w:keepLines w:val="0"/>
        <w:widowControl/>
        <w:suppressLineNumbers w:val="0"/>
        <w:jc w:val="left"/>
      </w:pPr>
    </w:p>
    <w:p w14:paraId="0157170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 w14:paraId="18E70EA7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部门年度整体工作目标任务完成情况，包括：财政资金支出产生的实际效益、社会公众与服务对象满意情况等。</w:t>
      </w:r>
    </w:p>
    <w:p w14:paraId="7834591A">
      <w:pPr>
        <w:spacing w:line="560" w:lineRule="exact"/>
        <w:ind w:firstLine="640" w:firstLineChars="200"/>
        <w:jc w:val="left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根据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《</w:t>
      </w:r>
      <w:r>
        <w:rPr>
          <w:rFonts w:hint="eastAsia" w:ascii="仿宋_GB2312" w:hAnsi="仿宋" w:eastAsia="仿宋_GB2312" w:cs="仿宋"/>
          <w:sz w:val="32"/>
          <w:szCs w:val="32"/>
        </w:rPr>
        <w:t>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</w:rPr>
        <w:t>年度新晃县部门（单位）整体支出绩效自评表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》</w:t>
      </w:r>
      <w:r>
        <w:rPr>
          <w:rFonts w:hint="eastAsia" w:eastAsia="仿宋_GB2312"/>
          <w:kern w:val="0"/>
          <w:sz w:val="32"/>
          <w:szCs w:val="32"/>
          <w:lang w:eastAsia="zh-CN"/>
        </w:rPr>
        <w:t>，自评分得分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91.5</w:t>
      </w:r>
      <w:r>
        <w:rPr>
          <w:rFonts w:hint="eastAsia" w:eastAsia="仿宋_GB2312"/>
          <w:kern w:val="0"/>
          <w:sz w:val="32"/>
          <w:szCs w:val="32"/>
          <w:lang w:eastAsia="zh-CN"/>
        </w:rPr>
        <w:t>分，整体支出绩效为“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优秀</w:t>
      </w:r>
      <w:r>
        <w:rPr>
          <w:rFonts w:hint="eastAsia" w:eastAsia="仿宋_GB2312"/>
          <w:kern w:val="0"/>
          <w:sz w:val="32"/>
          <w:szCs w:val="32"/>
          <w:lang w:eastAsia="zh-CN"/>
        </w:rPr>
        <w:t>”，主要绩效如下：</w:t>
      </w:r>
    </w:p>
    <w:p w14:paraId="699408F2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按时足额发放各类抚恤金、优待金、解困金共计1445余万元，为1922名优抚退役军人缴纳意外伤害保险11.53万元；为477人缴纳医保18.13万元；为45人发放4.5万元医疗救助；通过与民政、人社、残联等单位进行大数据对比分析，对低保、重疾等存在生活困难的退役军人实施精准帮扶，2023年实施困难救助25人次，援助金额16.3万元；积极与县内30余家医院、酒店、商场、车站等企事业单位开展签约合作，成立“退役军人服务驿站”，与优待证关联推出涉及医、食、住、行等各方面的优待政策。</w:t>
      </w:r>
    </w:p>
    <w:p w14:paraId="3C119978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组织开展退役军人进军营等联谊活动，进一步深化军民共建。“八一”、春节期间，走访慰问武装部、消防大队、武警中队双拥共建单位，县、乡两级开展对退役军人、烈属全员走访慰问，实现对辖区近6000名退役军人走访慰问全覆盖，两节共发放纪念品12400份（折合人民币171万元），发放慰问金139余万元。</w:t>
      </w:r>
    </w:p>
    <w:p w14:paraId="29B1D684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3.精细化开展光荣院建设和管理，不断提高服务供养水平，投入30余万元，进一步实施光荣院居住环境提质升档。 </w:t>
      </w:r>
    </w:p>
    <w:p w14:paraId="560CCAA2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4.按照国家和省部署，统一认定标准、宣传口径、方法步骤，稳慎推进LC身份认定核查，SBWS群体61名退役军人全部认定身份并享受相关待遇，解决了历史性的“老大难”问题。</w:t>
      </w:r>
    </w:p>
    <w:p w14:paraId="54AF28E8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5.抓实自主择业退役军人适应性培训，组织退役军人参加线上线下招聘会7场次，发布就业信息150条次，68人实现上岗就业。</w:t>
      </w:r>
    </w:p>
    <w:p w14:paraId="245DB3D7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6.年度安置任务得到落实，年度9名符合政府安排工作退役士官，通过公开、公平、公正原则，全部定编到岗到县乡机关事业单位工作。</w:t>
      </w:r>
    </w:p>
    <w:p w14:paraId="241B7C5C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“退役军人创业创新带头人”培养行动成效显著，积极稳健推动退役军人创办实体，2023年全县退役军人创办的市场主体增至94家，其中企业33家，个体工商户61家，培育“农村电商领头羊”杨淼钦、“黄精种植专家”吴锋等一批产业带头人，成为县域经济发展的强劲助力。</w:t>
      </w:r>
    </w:p>
    <w:p w14:paraId="7499007D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8.加强《关于加强新时代烈士褒扬工作的意见》《关于加强新时代烈士褒扬工作的若干措施》以及新修订的《烈士褒扬条例》《英雄烈士保护法》等政策制度的系统学习、宣传和贯彻。    </w:t>
      </w:r>
    </w:p>
    <w:p w14:paraId="1337C6A7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9.成功组织清明祭扫英烈、9.30烈士纪念日向烈士敬献花篮等系列活动。</w:t>
      </w:r>
    </w:p>
    <w:p w14:paraId="27183284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10.与县人武部、档案局联合，全面完成对全县43名抗美援朝老兵口述视频资料和历史文物采集、拍摄、整理工作，并形成视频资料和影像档案成果。</w:t>
      </w:r>
    </w:p>
    <w:p w14:paraId="7E2FBED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积极争取、持续得到省厅对我县烈士纪念设施的整修项目资金关怀支持100余万元，龙溪烈士公园烈士纪念塔、纪念广场等得到全面整修翻新；在《怀化市城市公园条例》检查评价中，龙溪烈士公园获得市检查组领导及专家的高度评价。</w:t>
      </w:r>
    </w:p>
    <w:p w14:paraId="0ECF283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7B4D33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一是</w:t>
      </w:r>
      <w:r>
        <w:rPr>
          <w:rFonts w:ascii="仿宋" w:hAnsi="仿宋" w:eastAsia="仿宋" w:cs="仿宋_GB2312"/>
          <w:sz w:val="32"/>
          <w:szCs w:val="32"/>
          <w:lang w:val="en-US" w:eastAsia="zh-CN"/>
        </w:rPr>
        <w:t>优抚对象抚恤补助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逐年提标，大病医疗救助支出较多，加上县级财政大部分靠上级转移支付，本级财政无力资金配套保障支出。</w:t>
      </w:r>
    </w:p>
    <w:p w14:paraId="127BCD08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二是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优抚事业单位（烈士纪念设施）维修改造难度大，县级财政资金难已保障到位，提质扩容难已达标。</w:t>
      </w:r>
    </w:p>
    <w:p w14:paraId="192513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三是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人员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力量</w:t>
      </w:r>
      <w:r>
        <w:rPr>
          <w:rFonts w:hint="eastAsia" w:ascii="仿宋_GB2312" w:hAnsi="Times New Roman" w:eastAsia="仿宋_GB2312" w:cs="Times New Roman"/>
          <w:sz w:val="32"/>
          <w:szCs w:val="32"/>
        </w:rPr>
        <w:t>保障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还难以到位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。局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机关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编制空编较多，近期退休人员多，中心工作抽调人员多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，事务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工作</w:t>
      </w:r>
      <w:r>
        <w:rPr>
          <w:rFonts w:hint="eastAsia" w:ascii="仿宋_GB2312" w:hAnsi="Times New Roman" w:eastAsia="仿宋_GB2312" w:cs="Times New Roman"/>
          <w:sz w:val="32"/>
          <w:szCs w:val="32"/>
        </w:rPr>
        <w:t>繁重，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业务工作正常开展受到较严重</w:t>
      </w:r>
      <w:r>
        <w:rPr>
          <w:rFonts w:hint="eastAsia" w:ascii="仿宋_GB2312" w:hAnsi="Times New Roman" w:eastAsia="仿宋_GB2312" w:cs="Times New Roman"/>
          <w:sz w:val="32"/>
          <w:szCs w:val="32"/>
        </w:rPr>
        <w:t>影响。</w:t>
      </w:r>
    </w:p>
    <w:p w14:paraId="2F18D21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NzhjYzU4ZTBkNTlmMjNhNmU0NThlYTk3YjE3MGMifQ=="/>
  </w:docVars>
  <w:rsids>
    <w:rsidRoot w:val="00000000"/>
    <w:rsid w:val="0DFA3A93"/>
    <w:rsid w:val="3F5C0382"/>
    <w:rsid w:val="489A18C8"/>
    <w:rsid w:val="60FF719C"/>
    <w:rsid w:val="727342FE"/>
    <w:rsid w:val="7B0630F5"/>
    <w:rsid w:val="7EA3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jc w:val="left"/>
    </w:pPr>
    <w:rPr>
      <w:rFonts w:ascii="仿宋_GB2312" w:hAnsi="仿宋_GB2312" w:eastAsia="仿宋_GB2312" w:cs="仿宋_GB2312"/>
      <w:kern w:val="0"/>
      <w:sz w:val="32"/>
      <w:szCs w:val="32"/>
      <w:lang w:val="zh-CN" w:bidi="zh-CN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customStyle="1" w:styleId="6">
    <w:name w:val="正文1"/>
    <w:autoRedefine/>
    <w:qFormat/>
    <w:uiPriority w:val="0"/>
    <w:pPr>
      <w:widowControl w:val="0"/>
      <w:suppressAutoHyphens w:val="0"/>
      <w:bidi w:val="0"/>
      <w:spacing w:beforeLines="0" w:beforeAutospacing="0" w:afterLines="0" w:afterAutospacing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286</Words>
  <Characters>290</Characters>
  <Lines>0</Lines>
  <Paragraphs>0</Paragraphs>
  <TotalTime>20</TotalTime>
  <ScaleCrop>false</ScaleCrop>
  <LinksUpToDate>false</LinksUpToDate>
  <CharactersWithSpaces>290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呆头呆脑の小豬</cp:lastModifiedBy>
  <dcterms:modified xsi:type="dcterms:W3CDTF">2024-09-24T09:04:50Z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12A71744045445B687D66BD13FB312DC_12</vt:lpwstr>
  </property>
</Properties>
</file>