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新晃侗族自治县退役军人事务局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一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.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3"/>
        <w:ind w:firstLine="600" w:firstLineChars="200"/>
        <w:rPr>
          <w:rFonts w:hint="eastAsia"/>
          <w:sz w:val="30"/>
          <w:szCs w:val="30"/>
          <w:lang w:val="en-US" w:eastAsia="zh-CN"/>
        </w:rPr>
      </w:pPr>
      <w:bookmarkStart w:id="0" w:name="_Toc21942"/>
      <w:r>
        <w:rPr>
          <w:rFonts w:hint="eastAsia"/>
          <w:sz w:val="30"/>
          <w:szCs w:val="30"/>
          <w:lang w:val="en-US" w:eastAsia="zh-CN"/>
        </w:rPr>
        <w:t>（一）投入情况</w:t>
      </w:r>
      <w:bookmarkEnd w:id="0"/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仿宋_GB2312" w:eastAsia="仿宋_GB2312"/>
          <w:sz w:val="28"/>
          <w:szCs w:val="28"/>
          <w:lang w:val="en-US" w:eastAsia="zh-CN"/>
        </w:rPr>
        <w:t>1.整体目标设定。整体目标设定从部门职能、十四五规划和年度工作计划合理性和适应性定位为“健全服务保障体系;做好拥军优抚及双拥工作;加强退役士兵接收安置,服务就业创业;抓好退役军人信访稳定工作;烈士褒扬纪念工作及纪念设施全面修缮等”，目标符合县退役军人事务局三定方案部门职责，与年度工作计划较为吻合；依据预算绩效申报相关规定设定一级、二级和三级指标，目标清晰、细化；三级指标按定量指标值和定性标志值设立，数量指标退役士兵技能教育培训等8个，质量指标包括按政策落实符合安排工作条件的军转干部、退役士兵、随调随军家属、军队离退休人员、伤病残军人的移交安置工作等3个。成本指标包括加强退役军人服务保障体系建设等指标，时效指标包括为立功受奖现役军人家庭送喜报，质量指标、成本指标、时效指标与数量指标设定不相符。目标未完成，部门整体支出绩效指标见表6.1。</w:t>
      </w:r>
    </w:p>
    <w:p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b/>
          <w:bCs/>
          <w:sz w:val="28"/>
          <w:szCs w:val="28"/>
        </w:rPr>
        <w:t>表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6.1 2022年初县退役军人局绩效目标设定</w:t>
      </w:r>
      <w:r>
        <w:rPr>
          <w:rFonts w:ascii="仿宋_GB2312" w:eastAsia="仿宋_GB2312"/>
          <w:b/>
          <w:bCs/>
          <w:sz w:val="28"/>
          <w:szCs w:val="28"/>
        </w:rPr>
        <w:t>明细表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058"/>
        <w:gridCol w:w="4593"/>
        <w:gridCol w:w="1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6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26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产出类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621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数量指标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退役士兵技能教育培训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春节、“八一”慰问退役军人、重点优抚对象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组织举行“9.30烈士公祭日”等重大纪念活动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参加人数500人次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抚恤补助资金发放人数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实施特殊困难援助人数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表彰现役军人立功受奖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接待信访人次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≥120人次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质量指标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按政策落实符合安排工作条件的军转干部、退役士兵、随调随军家属、军队离退休人员、伤病残军人的移交安置工作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退役军人信息采集准确率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退役军人信息采集率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成本指标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加强退役军人服务保障体系建设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烈士陵园纪念设施全面修缮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优抚对象抚恤补助资金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≥1100万元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时效指标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为立功受奖现役军人家庭送喜报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按上级规定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效益类</w:t>
            </w:r>
          </w:p>
          <w:p>
            <w:pPr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  <w:t>指标</w:t>
            </w:r>
          </w:p>
        </w:tc>
        <w:tc>
          <w:tcPr>
            <w:tcW w:w="621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落实退役军人安置相关政策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准确落实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提升退役军人就业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树立军人正面形象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21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在媒体开展退役军人宣传工作 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健全常态化走访慰问机制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社会公众或服务对象满意度</w:t>
            </w:r>
          </w:p>
        </w:tc>
        <w:tc>
          <w:tcPr>
            <w:tcW w:w="2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退役军人满意率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</w:tr>
    </w:tbl>
    <w:p>
      <w:pPr>
        <w:spacing w:line="500" w:lineRule="exact"/>
        <w:jc w:val="center"/>
        <w:rPr>
          <w:rFonts w:hint="eastAsia" w:ascii="仿宋_GB2312" w:eastAsia="仿宋_GB2312"/>
          <w:sz w:val="28"/>
          <w:szCs w:val="28"/>
        </w:rPr>
      </w:pPr>
    </w:p>
    <w:p>
      <w:pPr>
        <w:spacing w:line="500" w:lineRule="exact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2.项目绩效目标设定。年初以完成2022年度优抚对象补助及医疗保障为工作任务，申报2022年优抚对象补助及医疗保障经费、优抚对象补助及医疗保障经费、优抚对象医疗保障经费、专项业务非和各乡镇退役军人服务站工作经费等5个项目且均设有绩效目标；项目设立一级、二级、三级项目绩效目标，目标设定科学合理，目标细化、有定量指标值和定性标志值，目标可量化。目标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在职人员控制率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2022年县退役军人局编制数23人，年末在职人员19人，职责人员控制率82.61%。目标完成。</w:t>
      </w:r>
    </w:p>
    <w:p>
      <w:pPr>
        <w:spacing w:line="50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4.三公经费变动率。2022年三公经费预算3万元，2021年三公经费预算5万元，三公经费变动率-40%。目标完成。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重点项目预算保障率。根据部门职责和2022年工作计划，2022年重点项目安排2022年优抚对象补助及医疗保障经费（优抚对象补助经费）（中央直达资金）、优抚对象补助经费和优抚对象医疗保障经费，预算金额1278.93万元，占2022年初部门整体支出预算1559.53万元的82.01%。目标完成。</w:t>
      </w:r>
    </w:p>
    <w:p>
      <w:pPr>
        <w:pStyle w:val="3"/>
        <w:ind w:firstLine="600" w:firstLineChars="200"/>
        <w:rPr>
          <w:rFonts w:hint="default"/>
          <w:sz w:val="30"/>
          <w:szCs w:val="30"/>
          <w:lang w:val="en-US" w:eastAsia="zh-CN"/>
        </w:rPr>
      </w:pPr>
      <w:bookmarkStart w:id="1" w:name="_Toc28802"/>
      <w:r>
        <w:rPr>
          <w:rFonts w:hint="eastAsia"/>
          <w:sz w:val="30"/>
          <w:szCs w:val="30"/>
          <w:lang w:val="en-US" w:eastAsia="zh-CN"/>
        </w:rPr>
        <w:t>（二）过程情况</w:t>
      </w:r>
      <w:bookmarkEnd w:id="1"/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1.项目预算执行率。2022年初项目支出预算金额1317.04万元，实际执行53.50万元，预算执行率4.06%。目标未完成。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2.预算调整率。2022年调整项目预算1015.51万元，其中基本支出（含人员经费、公用经费）424.30万元，项目10个，项目支出调整预算金额591.21万元，预算调整率65.16%。目标未完成。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公用经费控制率。2022年初公用经费预算53.46万元，实际执行98.18万元（其中办公经费37.25万元，印刷费10.18万元，邮电费5.77万元，差旅费3.90万元，劳务费11.91万元，委托业务费2.97万元，工会经费8.51万元，其他商品服务支出5.78万元），公用经费控制率183.65%。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4.“三公经费”控制率。2022年初三公经费预算3万元，实际执行0.63万元，三公经费控制率20%。目标完成。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5.政府釆购完成率。2022年初政府采购预算0万元，实际通过湖南省政府采购电子卖场采购服务0.46万元，货物（主要包括台式电脑等通用设备等）114.02万元。目标未完成。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资金管理制度健全性。县退役军人局编制了部门内部控制规范，对“预算管理”、“收支管理”、“政府采购”和“基本建设项目”制定了具体而细化的工作规范要求。但制度缺失专项资金和会计核算制度。目标未达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.资金使用合规性。经检查凭证，部分项目未按预算资金预算用途使用，跨经济科目调剂使用支出，如2021年培训费用于支付局办公用品，专项业务费用于发放人员工资，福利费用于支付人员工资、绩效、差旅费、办公费、印刷费和水电费。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8.资金使用合理性。2022年初批复项目1317.04万元，批复的项目5个实际支付53.50万元，实际执行的10个项目不在预算批复中。目标未完成。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9.整改落实。2022年县巡查组巡查问题已整改到位。</w:t>
      </w:r>
    </w:p>
    <w:p>
      <w:pPr>
        <w:spacing w:line="50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10.资产管理制度健全性。县退役军人局制定了具体而细化“固定资产管理”的工作规范要求，经核查固定资产卡片，发现信息化设施设备（电脑、打印机等）各7台，未合并县光荣院、县烈士陵园管理所资产，2022年购置的固定资产未入固定资产账，也未登记固定资产明细卡片台账。固定资产内控制度有效性存在缺陷，目标未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11.资产管理安全性。从资产负债表、政府综合财务报告和余额表看，2022年度无固定资产增减业务，资保存完整、使用合规。目标完成。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12.固定资产利用率。2022年末固定资产原值42.12万元，实际在用固定资产42.12万元，固定资产利用率100%。目标完成。</w:t>
      </w:r>
    </w:p>
    <w:p>
      <w:pPr>
        <w:pStyle w:val="3"/>
        <w:ind w:firstLine="60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bookmarkStart w:id="2" w:name="_Toc14793"/>
      <w:r>
        <w:rPr>
          <w:rFonts w:hint="eastAsia"/>
          <w:sz w:val="30"/>
          <w:szCs w:val="30"/>
          <w:lang w:val="en-US" w:eastAsia="zh-CN"/>
        </w:rPr>
        <w:t>（三）产出与效益情况</w:t>
      </w:r>
      <w:bookmarkEnd w:id="2"/>
    </w:p>
    <w:p>
      <w:pPr>
        <w:spacing w:line="50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重点工作完成率。2022年度县退役军人局完成退役士兵技能教育培训1次，支出14.41万元；春节和“八一”期间，走访慰问驻晃部队、双拥共建单位共6个；各级服务中心（站）对退役军人走访慰问全覆盖，发放慰问信和纪念品6000余份；各乡镇组织召开“八一”退役军人座谈会11场次；对老复员军人、参战退役军人、伤残退役军人、带病回乡退役军人、烈属、困难退役军人等开展重点走访；，发放慰问金137.90万元；举行“9.30”烈士纪念日敬献花篮仪式，党政军民和社会各界人士代表300余人参加，营造缅怀英雄、崇尚英雄、争当英雄的浓厚社会氛围；抚恤补助资金发放人数2021人，发放重点优抚对象门诊费补贴（1-6级伤残军人门诊费报销）、临时医疗救助、医疗一站式结算等共计808余人次；实施特殊困难援助人数29人；表彰现役军人立功受奖22人，新晃籍现役军人杨慧德荣立二等功；接待信访127人次。晃办（2023）12号政府绩效考核结果良好。</w:t>
      </w:r>
    </w:p>
    <w:p>
      <w:pPr>
        <w:spacing w:line="50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重点工作完成质量。100%按政策落实符合安排工作条件的军转干部、退役士兵、随调随军家属、军队离退休人员、伤病残军人的移交安置工作；退役军人信息采集准确率95%；退役军人信息采集率80%以上。目标完成。</w:t>
      </w:r>
    </w:p>
    <w:p>
      <w:pPr>
        <w:spacing w:line="500" w:lineRule="exact"/>
        <w:ind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.重点工作完成时效。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截止2022年12月31日，完成重点工作计划和任务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。目标完成。</w:t>
      </w:r>
    </w:p>
    <w:p>
      <w:pPr>
        <w:spacing w:line="500" w:lineRule="exact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社会效益。2022年推荐2名优秀退役军人到省厅评选“最美退役军人”“最美拥军人物”，加强思想政治教育，不断增强退役军人荣誉感；全年接访下访94批次，127人次；梳理相关政策，高标准办理信访事项，办理信访案件3件，加强合法权益维护，不断增强退役军人获得感；对18名因病因灾导致生活困难的退役军人进行了临时救助，发放困难救助资金16.04万元，加大困难救助力度，优抚资金及时足额发放到位，医疗保险保障到位，不断增强退役军人幸福感。目标完成。</w:t>
      </w:r>
    </w:p>
    <w:p>
      <w:pPr>
        <w:spacing w:line="500" w:lineRule="exact"/>
        <w:ind w:firstLine="560" w:firstLineChars="200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可持续性。2022年通过抖音等公开媒体宣传日“9.30”烈士纪念日，营造缅怀英雄、崇尚英雄、争当英雄的浓厚社会氛围。全县各级烈士纪念设施在清明、七一、八一、烈士纪念日等共计接待祭扫活动258场次，参扫机关、企事业单位和学校等共计40余个，其他群众自发组织和烈士家属群体24个，充分彰显纪念设施红色教育功能，为助力党史学习教育、青少年爱国主义教育提供坚实阵地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6.社会公众与服务对象满意度。</w:t>
      </w:r>
      <w:r>
        <w:rPr>
          <w:rFonts w:hint="eastAsia" w:ascii="仿宋_GB2312" w:eastAsia="仿宋_GB2312"/>
          <w:sz w:val="28"/>
          <w:szCs w:val="28"/>
        </w:rPr>
        <w:t>评价组向</w:t>
      </w:r>
      <w:r>
        <w:rPr>
          <w:rFonts w:hint="eastAsia" w:ascii="仿宋_GB2312" w:eastAsia="仿宋_GB2312"/>
          <w:sz w:val="28"/>
          <w:szCs w:val="28"/>
          <w:lang w:eastAsia="zh-CN"/>
        </w:rPr>
        <w:t>退役军人</w:t>
      </w:r>
      <w:r>
        <w:rPr>
          <w:rFonts w:hint="eastAsia" w:ascii="仿宋_GB2312" w:eastAsia="仿宋_GB2312"/>
          <w:sz w:val="28"/>
          <w:szCs w:val="28"/>
        </w:rPr>
        <w:t>发放了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0份“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新晃侗族自治县退役军人事务局部门整体支出调查</w:t>
      </w:r>
      <w:r>
        <w:rPr>
          <w:rFonts w:hint="eastAsia" w:ascii="仿宋_GB2312" w:eastAsia="仿宋_GB2312"/>
          <w:sz w:val="28"/>
          <w:szCs w:val="28"/>
        </w:rPr>
        <w:t>问卷”。问卷的第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题为“您对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问题的解决结果</w:t>
      </w:r>
      <w:r>
        <w:rPr>
          <w:rFonts w:hint="eastAsia" w:ascii="仿宋_GB2312" w:eastAsia="仿宋_GB2312"/>
          <w:sz w:val="28"/>
          <w:szCs w:val="28"/>
        </w:rPr>
        <w:t>是否满意？”评价组收回有效问卷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sz w:val="28"/>
          <w:szCs w:val="28"/>
        </w:rPr>
        <w:t>份，覆盖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11个乡镇</w:t>
      </w:r>
      <w:r>
        <w:rPr>
          <w:rFonts w:hint="eastAsia" w:ascii="仿宋_GB2312" w:eastAsia="仿宋_GB2312"/>
          <w:sz w:val="28"/>
          <w:szCs w:val="28"/>
          <w:lang w:eastAsia="zh-CN"/>
        </w:rPr>
        <w:t>退役军人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被调查</w:t>
      </w:r>
      <w:r>
        <w:rPr>
          <w:rFonts w:hint="eastAsia" w:ascii="仿宋_GB2312" w:eastAsia="仿宋_GB2312"/>
          <w:sz w:val="28"/>
          <w:szCs w:val="28"/>
        </w:rPr>
        <w:t>人员对第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题的反馈结果显示，1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人选择“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非常</w:t>
      </w:r>
      <w:r>
        <w:rPr>
          <w:rFonts w:hint="eastAsia" w:ascii="仿宋_GB2312" w:eastAsia="仿宋_GB2312"/>
          <w:sz w:val="28"/>
          <w:szCs w:val="28"/>
        </w:rPr>
        <w:t>满意”、3人选择“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基本</w:t>
      </w:r>
      <w:r>
        <w:rPr>
          <w:rFonts w:hint="eastAsia" w:ascii="仿宋_GB2312" w:eastAsia="仿宋_GB2312"/>
          <w:sz w:val="28"/>
          <w:szCs w:val="28"/>
        </w:rPr>
        <w:t>满意”。经计算，部门在编人员对工作量与人数的配比情况的满意度为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97</w:t>
      </w:r>
      <w:r>
        <w:rPr>
          <w:rFonts w:hint="eastAsia" w:ascii="仿宋_GB2312" w:eastAsia="仿宋_GB2312"/>
          <w:sz w:val="28"/>
          <w:szCs w:val="28"/>
        </w:rPr>
        <w:t>%。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目标达成。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.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00" w:lineRule="exact"/>
        <w:ind w:firstLine="562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1.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项目</w:t>
      </w:r>
      <w:r>
        <w:rPr>
          <w:rFonts w:hint="eastAsia" w:ascii="仿宋_GB2312" w:eastAsia="仿宋_GB2312"/>
          <w:b/>
          <w:sz w:val="28"/>
          <w:szCs w:val="28"/>
        </w:rPr>
        <w:t>预算测算精确度偏低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导致项目执行无效。</w:t>
      </w:r>
      <w:r>
        <w:rPr>
          <w:rFonts w:ascii="仿宋_GB2312" w:eastAsia="仿宋_GB2312"/>
          <w:sz w:val="28"/>
          <w:szCs w:val="28"/>
        </w:rPr>
        <w:t>对于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个别</w:t>
      </w:r>
      <w:r>
        <w:rPr>
          <w:rFonts w:ascii="仿宋_GB2312" w:eastAsia="仿宋_GB2312"/>
          <w:sz w:val="28"/>
          <w:szCs w:val="28"/>
        </w:rPr>
        <w:t>项目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eastAsia="zh-CN"/>
        </w:rPr>
        <w:t>县退役军人局</w:t>
      </w:r>
      <w:r>
        <w:rPr>
          <w:rFonts w:hint="eastAsia" w:ascii="仿宋_GB2312" w:eastAsia="仿宋_GB2312"/>
          <w:sz w:val="28"/>
          <w:szCs w:val="28"/>
        </w:rPr>
        <w:t>在</w:t>
      </w:r>
      <w:r>
        <w:rPr>
          <w:rFonts w:ascii="仿宋_GB2312" w:eastAsia="仿宋_GB2312"/>
          <w:sz w:val="28"/>
          <w:szCs w:val="28"/>
        </w:rPr>
        <w:t>未明确工作计划的情况下申请项目预算</w:t>
      </w:r>
      <w:r>
        <w:rPr>
          <w:rFonts w:hint="eastAsia" w:ascii="仿宋_GB2312" w:eastAsia="仿宋_GB2312"/>
          <w:sz w:val="28"/>
          <w:szCs w:val="28"/>
        </w:rPr>
        <w:t>，执行过程中仍无法确定建设需求而导致预算全额调减，如“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各乡镇退役军人服务站工作经费</w:t>
      </w:r>
      <w:r>
        <w:rPr>
          <w:rFonts w:hint="eastAsia" w:ascii="仿宋_GB2312" w:eastAsia="仿宋_GB2312"/>
          <w:sz w:val="28"/>
          <w:szCs w:val="28"/>
        </w:rPr>
        <w:t>”项目。个别项目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年初</w:t>
      </w:r>
      <w:r>
        <w:rPr>
          <w:rFonts w:hint="eastAsia" w:ascii="仿宋_GB2312" w:eastAsia="仿宋_GB2312"/>
          <w:sz w:val="28"/>
          <w:szCs w:val="28"/>
        </w:rPr>
        <w:t>预算执行率为零，如“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优抚对象补助经费（中央直达资金）</w:t>
      </w:r>
      <w:r>
        <w:rPr>
          <w:rFonts w:hint="eastAsia" w:ascii="仿宋_GB2312" w:eastAsia="仿宋_GB2312"/>
          <w:sz w:val="28"/>
          <w:szCs w:val="28"/>
        </w:rPr>
        <w:t>”项目。</w:t>
      </w:r>
    </w:p>
    <w:p>
      <w:pPr>
        <w:spacing w:line="500" w:lineRule="exact"/>
        <w:ind w:firstLine="562" w:firstLineChars="200"/>
        <w:jc w:val="both"/>
        <w:rPr>
          <w:rFonts w:hint="eastAsia"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2.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预算编制不完整导致超预算执行。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县退役军人局在年初未明确工作计划，漏报政府采购和固定资产预算项目、退役士兵一次性经济补助、退役士兵技能培训、春节和八一节慰问经费、优抚事业单位专项补助龙溪烈士公园、2022年上半年新兵家属优待金及大学生新兵一次性奖励、2022年下半年新兵义务兵家属优待金等项目，2022年有申请执行政府采购和固定资产购置和上述项目，超预算执行。</w:t>
      </w:r>
    </w:p>
    <w:p>
      <w:pPr>
        <w:spacing w:line="500" w:lineRule="exact"/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3.预算调整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不合理</w:t>
      </w:r>
      <w:r>
        <w:rPr>
          <w:rFonts w:hint="eastAsia" w:ascii="仿宋_GB2312" w:eastAsia="仿宋_GB2312"/>
          <w:b/>
          <w:sz w:val="28"/>
          <w:szCs w:val="28"/>
        </w:rPr>
        <w:t>跨经济科目调剂使用支出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sz w:val="28"/>
          <w:szCs w:val="28"/>
          <w:lang w:eastAsia="zh-CN"/>
        </w:rPr>
        <w:t>县退役军人局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2022年未经批准将“2021年培训费”“福利费”相互调剂使用于办公费、差旅费、基本工资等。</w:t>
      </w:r>
    </w:p>
    <w:p>
      <w:pPr>
        <w:spacing w:line="50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ascii="仿宋_GB2312" w:eastAsia="仿宋_GB2312"/>
          <w:b/>
          <w:sz w:val="28"/>
          <w:szCs w:val="28"/>
        </w:rPr>
        <w:t>4</w:t>
      </w:r>
      <w:r>
        <w:rPr>
          <w:rFonts w:hint="eastAsia" w:ascii="仿宋_GB2312" w:eastAsia="仿宋_GB2312"/>
          <w:b/>
          <w:sz w:val="28"/>
          <w:szCs w:val="28"/>
        </w:rPr>
        <w:t>.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预算支出不规范导致预算执行率低。</w:t>
      </w:r>
      <w:r>
        <w:rPr>
          <w:rFonts w:hint="eastAsia" w:ascii="仿宋_GB2312" w:eastAsia="仿宋_GB2312"/>
          <w:sz w:val="28"/>
          <w:szCs w:val="28"/>
          <w:lang w:eastAsia="zh-CN"/>
        </w:rPr>
        <w:t>县退役军人局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2022年年初5个预算项目金额1317.04万元，支付金额53.5万元，预算执行率4.06%。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727342FE"/>
    <w:rsid w:val="79EA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120" w:after="120" w:line="500" w:lineRule="exact"/>
      <w:outlineLvl w:val="0"/>
    </w:pPr>
    <w:rPr>
      <w:rFonts w:ascii="黑体" w:hAnsi="黑体" w:eastAsia="黑体"/>
      <w:bCs/>
      <w:kern w:val="44"/>
      <w:sz w:val="32"/>
      <w:szCs w:val="44"/>
      <w:lang w:val="zh-CN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tabs>
        <w:tab w:val="right" w:leader="dot" w:pos="8302"/>
      </w:tabs>
      <w:ind w:left="480" w:leftChars="200"/>
    </w:pPr>
    <w:rPr>
      <w:rFonts w:ascii="仿宋_GB2312" w:hAnsi="宋体" w:eastAsia="仿宋_GB2312" w:cs="仿宋_GB2312"/>
      <w:sz w:val="28"/>
      <w:szCs w:val="2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2023-11-07T09:08:25Z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