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val="0"/>
        <w:spacing w:before="0" w:beforeAutospacing="0" w:after="0" w:afterAutospacing="0" w:line="800" w:lineRule="exact"/>
        <w:jc w:val="center"/>
        <w:rPr>
          <w:rStyle w:val="10"/>
          <w:rFonts w:ascii="Times New Roman" w:hAnsi="Times New Roman" w:eastAsia="方正粗宋简体" w:cs="Times New Roman"/>
          <w:b w:val="0"/>
          <w:bCs w:val="0"/>
          <w:spacing w:val="-23"/>
          <w:sz w:val="36"/>
          <w:szCs w:val="36"/>
        </w:rPr>
      </w:pPr>
      <w:r>
        <w:rPr>
          <w:rStyle w:val="10"/>
          <w:rFonts w:ascii="Times New Roman" w:hAnsi="Times New Roman" w:eastAsia="方正粗宋简体" w:cs="Times New Roman"/>
          <w:b w:val="0"/>
          <w:bCs w:val="0"/>
          <w:spacing w:val="-23"/>
          <w:sz w:val="36"/>
          <w:szCs w:val="36"/>
        </w:rPr>
        <w:t>202</w:t>
      </w:r>
      <w:r>
        <w:rPr>
          <w:rStyle w:val="10"/>
          <w:rFonts w:hint="eastAsia" w:ascii="Times New Roman" w:hAnsi="Times New Roman" w:eastAsia="方正粗宋简体" w:cs="Times New Roman"/>
          <w:b w:val="0"/>
          <w:bCs w:val="0"/>
          <w:spacing w:val="-23"/>
          <w:sz w:val="36"/>
          <w:szCs w:val="36"/>
        </w:rPr>
        <w:t>1</w:t>
      </w:r>
      <w:r>
        <w:rPr>
          <w:rStyle w:val="10"/>
          <w:rFonts w:ascii="Times New Roman" w:hAnsi="Times New Roman" w:eastAsia="方正粗宋简体" w:cs="Times New Roman"/>
          <w:b w:val="0"/>
          <w:bCs w:val="0"/>
          <w:spacing w:val="-23"/>
          <w:sz w:val="36"/>
          <w:szCs w:val="36"/>
        </w:rPr>
        <w:t>年度</w:t>
      </w:r>
      <w:r>
        <w:rPr>
          <w:rStyle w:val="10"/>
          <w:rFonts w:hint="eastAsia" w:ascii="Times New Roman" w:hAnsi="Times New Roman" w:eastAsia="方正粗宋简体" w:cs="Times New Roman"/>
          <w:b w:val="0"/>
          <w:bCs w:val="0"/>
          <w:spacing w:val="-23"/>
          <w:sz w:val="36"/>
          <w:szCs w:val="36"/>
        </w:rPr>
        <w:t>新晃县</w:t>
      </w:r>
      <w:r>
        <w:rPr>
          <w:rStyle w:val="10"/>
          <w:rFonts w:hint="eastAsia" w:ascii="Times New Roman" w:hAnsi="Times New Roman" w:eastAsia="方正粗宋简体" w:cs="Times New Roman"/>
          <w:b w:val="0"/>
          <w:bCs w:val="0"/>
          <w:spacing w:val="-23"/>
          <w:sz w:val="36"/>
          <w:szCs w:val="36"/>
          <w:lang w:eastAsia="zh-CN"/>
        </w:rPr>
        <w:t>退役军人事务局</w:t>
      </w:r>
      <w:r>
        <w:rPr>
          <w:rStyle w:val="10"/>
          <w:rFonts w:ascii="Times New Roman" w:hAnsi="Times New Roman" w:eastAsia="方正粗宋简体" w:cs="Times New Roman"/>
          <w:b w:val="0"/>
          <w:bCs w:val="0"/>
          <w:spacing w:val="-23"/>
          <w:sz w:val="36"/>
          <w:szCs w:val="36"/>
        </w:rPr>
        <w:t>部门（单位）整体支出绩效自评报告</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ascii="Times New Roman" w:hAnsi="Times New Roman" w:eastAsia="方正粗宋简体" w:cs="Times New Roman"/>
          <w:sz w:val="40"/>
          <w:szCs w:val="40"/>
        </w:rPr>
      </w:pPr>
      <w:r>
        <w:rPr>
          <w:rFonts w:hint="eastAsia" w:eastAsia="仿宋_GB2312"/>
          <w:kern w:val="0"/>
          <w:sz w:val="32"/>
          <w:szCs w:val="32"/>
        </w:rPr>
        <w:t>为进一步加强财政支出绩效评价工作，不断提高财政资金使用效益，</w:t>
      </w:r>
      <w:r>
        <w:rPr>
          <w:rFonts w:hint="eastAsia" w:eastAsia="仿宋_GB2312"/>
          <w:kern w:val="0"/>
          <w:sz w:val="32"/>
          <w:szCs w:val="32"/>
          <w:lang w:eastAsia="zh-CN"/>
        </w:rPr>
        <w:t>根据《</w:t>
      </w:r>
      <w:r>
        <w:rPr>
          <w:rFonts w:hint="eastAsia" w:eastAsia="仿宋_GB2312"/>
          <w:kern w:val="0"/>
          <w:sz w:val="32"/>
          <w:szCs w:val="32"/>
        </w:rPr>
        <w:t>新晃侗族自治县财政局关于做好202</w:t>
      </w:r>
      <w:r>
        <w:rPr>
          <w:rFonts w:hint="eastAsia" w:eastAsia="仿宋_GB2312"/>
          <w:kern w:val="0"/>
          <w:sz w:val="32"/>
          <w:szCs w:val="32"/>
          <w:lang w:val="en-US" w:eastAsia="zh-CN"/>
        </w:rPr>
        <w:t>1</w:t>
      </w:r>
      <w:r>
        <w:rPr>
          <w:rFonts w:hint="eastAsia" w:eastAsia="仿宋_GB2312"/>
          <w:kern w:val="0"/>
          <w:sz w:val="32"/>
          <w:szCs w:val="32"/>
        </w:rPr>
        <w:t>年部门（单位）绩效评价工作的通知</w:t>
      </w:r>
      <w:r>
        <w:rPr>
          <w:rFonts w:hint="eastAsia" w:eastAsia="仿宋_GB2312"/>
          <w:kern w:val="0"/>
          <w:sz w:val="32"/>
          <w:szCs w:val="32"/>
          <w:lang w:eastAsia="zh-CN"/>
        </w:rPr>
        <w:t>》（</w:t>
      </w:r>
      <w:r>
        <w:rPr>
          <w:rFonts w:hint="eastAsia" w:eastAsia="仿宋_GB2312"/>
          <w:kern w:val="0"/>
          <w:sz w:val="32"/>
          <w:szCs w:val="32"/>
        </w:rPr>
        <w:t>晃财绩〔202</w:t>
      </w:r>
      <w:r>
        <w:rPr>
          <w:rFonts w:hint="eastAsia" w:eastAsia="仿宋_GB2312"/>
          <w:kern w:val="0"/>
          <w:sz w:val="32"/>
          <w:szCs w:val="32"/>
          <w:lang w:val="en-US" w:eastAsia="zh-CN"/>
        </w:rPr>
        <w:t>2</w:t>
      </w:r>
      <w:r>
        <w:rPr>
          <w:rFonts w:hint="eastAsia" w:eastAsia="仿宋_GB2312"/>
          <w:kern w:val="0"/>
          <w:sz w:val="32"/>
          <w:szCs w:val="32"/>
        </w:rPr>
        <w:t>〕</w:t>
      </w:r>
      <w:r>
        <w:rPr>
          <w:rFonts w:hint="eastAsia" w:eastAsia="仿宋_GB2312"/>
          <w:kern w:val="0"/>
          <w:sz w:val="32"/>
          <w:szCs w:val="32"/>
          <w:lang w:val="en-US" w:eastAsia="zh-CN"/>
        </w:rPr>
        <w:t>12</w:t>
      </w:r>
      <w:r>
        <w:rPr>
          <w:rFonts w:hint="eastAsia" w:eastAsia="仿宋_GB2312"/>
          <w:kern w:val="0"/>
          <w:sz w:val="32"/>
          <w:szCs w:val="32"/>
        </w:rPr>
        <w:t>号</w:t>
      </w:r>
      <w:r>
        <w:rPr>
          <w:rFonts w:hint="eastAsia" w:eastAsia="仿宋_GB2312"/>
          <w:kern w:val="0"/>
          <w:sz w:val="32"/>
          <w:szCs w:val="32"/>
          <w:lang w:eastAsia="zh-CN"/>
        </w:rPr>
        <w:t>）文件精神，退役军人事务局</w:t>
      </w:r>
      <w:r>
        <w:rPr>
          <w:rFonts w:hint="eastAsia" w:eastAsia="仿宋_GB2312"/>
          <w:kern w:val="0"/>
          <w:sz w:val="32"/>
          <w:szCs w:val="32"/>
        </w:rPr>
        <w:t>组织开展了20</w:t>
      </w:r>
      <w:r>
        <w:rPr>
          <w:rFonts w:hint="eastAsia" w:eastAsia="仿宋_GB2312"/>
          <w:kern w:val="0"/>
          <w:sz w:val="32"/>
          <w:szCs w:val="32"/>
          <w:lang w:val="en-US" w:eastAsia="zh-CN"/>
        </w:rPr>
        <w:t>21</w:t>
      </w:r>
      <w:r>
        <w:rPr>
          <w:rFonts w:hint="eastAsia" w:eastAsia="仿宋_GB2312"/>
          <w:kern w:val="0"/>
          <w:sz w:val="32"/>
          <w:szCs w:val="32"/>
        </w:rPr>
        <w:t>年绩效评价工作，现将整体支出绩效自评情况报告如下</w:t>
      </w:r>
      <w:r>
        <w:rPr>
          <w:rFonts w:hint="eastAsia" w:eastAsia="仿宋_GB2312"/>
          <w:kern w:val="0"/>
          <w:sz w:val="32"/>
          <w:szCs w:val="32"/>
          <w:lang w:eastAsia="zh-CN"/>
        </w:rPr>
        <w:t>：</w:t>
      </w:r>
    </w:p>
    <w:p>
      <w:pPr>
        <w:spacing w:before="240" w:line="560" w:lineRule="exact"/>
        <w:ind w:firstLine="400" w:firstLineChars="200"/>
        <w:jc w:val="left"/>
      </w:pPr>
      <w:r>
        <w:t xml:space="preserve">   </w:t>
      </w:r>
      <w:r>
        <w:rPr>
          <w:rFonts w:eastAsia="仿宋_GB2312"/>
          <w:sz w:val="32"/>
          <w:szCs w:val="32"/>
        </w:rPr>
        <w:t>一、部门（单位）基本概况</w:t>
      </w:r>
    </w:p>
    <w:p>
      <w:pPr>
        <w:spacing w:line="560" w:lineRule="exact"/>
        <w:ind w:firstLine="640" w:firstLineChars="200"/>
        <w:jc w:val="left"/>
        <w:rPr>
          <w:rFonts w:hint="eastAsia" w:eastAsia="仿宋_GB2312"/>
          <w:kern w:val="0"/>
          <w:sz w:val="32"/>
          <w:szCs w:val="32"/>
        </w:rPr>
      </w:pPr>
      <w:r>
        <w:rPr>
          <w:rFonts w:hint="eastAsia" w:eastAsia="仿宋_GB2312"/>
          <w:kern w:val="0"/>
          <w:sz w:val="32"/>
          <w:szCs w:val="32"/>
          <w:lang w:eastAsia="zh-CN"/>
        </w:rPr>
        <w:t>（一）</w:t>
      </w:r>
      <w:r>
        <w:rPr>
          <w:rFonts w:hint="eastAsia" w:eastAsia="仿宋_GB2312"/>
          <w:kern w:val="0"/>
          <w:sz w:val="32"/>
          <w:szCs w:val="32"/>
        </w:rPr>
        <w:t>主要职责。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w:t>
      </w:r>
      <w:r>
        <w:rPr>
          <w:rFonts w:hint="default" w:ascii="Times New Roman" w:hAnsi="Times New Roman" w:eastAsia="仿宋_GB2312" w:cs="Times New Roman"/>
          <w:kern w:val="0"/>
          <w:sz w:val="32"/>
          <w:szCs w:val="32"/>
          <w:lang w:val="en-US" w:eastAsia="zh-CN" w:bidi="ar-SA"/>
        </w:rPr>
        <w:t>贯彻执行退役军人思想政治、管理保障和安置优抚等工作政策法规；褒扬彰显退役军人为党、国家和人民牺牲奉献的精神风范和价值导向。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w:t>
      </w:r>
      <w:r>
        <w:rPr>
          <w:rFonts w:hint="default" w:ascii="Times New Roman" w:hAnsi="Times New Roman" w:eastAsia="仿宋_GB2312" w:cs="Times New Roman"/>
          <w:kern w:val="0"/>
          <w:sz w:val="32"/>
          <w:szCs w:val="32"/>
          <w:lang w:val="en-US" w:eastAsia="zh-CN" w:bidi="ar-SA"/>
        </w:rPr>
        <w:t>负责全县军队转业干部、复员干部、离休退休干部、退役士兵和无军籍退休退职职工的移交安置工作和自主择业、就业退役军人服务管理工作。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3.</w:t>
      </w:r>
      <w:r>
        <w:rPr>
          <w:rFonts w:hint="default" w:ascii="Times New Roman" w:hAnsi="Times New Roman" w:eastAsia="仿宋_GB2312" w:cs="Times New Roman"/>
          <w:kern w:val="0"/>
          <w:sz w:val="32"/>
          <w:szCs w:val="32"/>
          <w:lang w:val="en-US" w:eastAsia="zh-CN" w:bidi="ar-SA"/>
        </w:rPr>
        <w:t>组织指导全县退役军人教育培训工作，协调扶持退役军人和随军随调家属就业创业。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贯彻落实国家关于退役军人的特殊保障政策，会同有关部门制定我县相关政策，并组织实施。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5.</w:t>
      </w:r>
      <w:r>
        <w:rPr>
          <w:rFonts w:hint="default" w:ascii="Times New Roman" w:hAnsi="Times New Roman" w:eastAsia="仿宋_GB2312" w:cs="Times New Roman"/>
          <w:kern w:val="0"/>
          <w:sz w:val="32"/>
          <w:szCs w:val="32"/>
          <w:lang w:val="en-US" w:eastAsia="zh-CN" w:bidi="ar-SA"/>
        </w:rPr>
        <w:t>组织协调落实全县移交地方的离休退休军人、符合条件的其他退役军人和无军籍退休退职职工的住房保障工作，以及退役军人医疗保障、社会保险等待遇保障工作。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组织指导全县伤病残退役军人服务管理和抚恤工作，贯彻落实退役军人医疗、疗养、养老等机构的规划政策并指导实施；承担不适宜继续服役的伤病残军人相关工作；组织指导全县军供服务保障工作。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7.</w:t>
      </w:r>
      <w:r>
        <w:rPr>
          <w:rFonts w:hint="default" w:ascii="Times New Roman" w:hAnsi="Times New Roman" w:eastAsia="仿宋_GB2312" w:cs="Times New Roman"/>
          <w:kern w:val="0"/>
          <w:sz w:val="32"/>
          <w:szCs w:val="32"/>
          <w:lang w:val="en-US" w:eastAsia="zh-CN" w:bidi="ar-SA"/>
        </w:rPr>
        <w:t>组织指导全县拥军优属工作。负责全县现役军人、退役军人、军队文职人员和军属优待、抚恤等工作，以及国民党抗战老兵等有关人员的优待工作。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8.</w:t>
      </w:r>
      <w:r>
        <w:rPr>
          <w:rFonts w:hint="default" w:ascii="Times New Roman" w:hAnsi="Times New Roman" w:eastAsia="仿宋_GB2312" w:cs="Times New Roman"/>
          <w:kern w:val="0"/>
          <w:sz w:val="32"/>
          <w:szCs w:val="32"/>
          <w:lang w:val="en-US" w:eastAsia="zh-CN" w:bidi="ar-SA"/>
        </w:rPr>
        <w:t>负责全县烈士及退役军人荣誉奖励、军人公墓管理维护、纪念活动等工作，依法承担英雄烈士保护相关工作；审核拟列入全县重点保护单位的烈士纪念建筑物名录；总结表彰和宣扬退役军人、退役军人工作单位和个人先进典型事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9.</w:t>
      </w:r>
      <w:r>
        <w:rPr>
          <w:rFonts w:hint="default" w:ascii="Times New Roman" w:hAnsi="Times New Roman" w:eastAsia="仿宋_GB2312" w:cs="Times New Roman"/>
          <w:kern w:val="0"/>
          <w:sz w:val="32"/>
          <w:szCs w:val="32"/>
          <w:lang w:val="en-US" w:eastAsia="zh-CN" w:bidi="ar-SA"/>
        </w:rPr>
        <w:t>指导并监督检查关于退役军人相关法律法规和政策措施的落实；开展退役军人权益维护和有关人员的帮扶援助工作。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10.</w:t>
      </w:r>
      <w:r>
        <w:rPr>
          <w:rFonts w:hint="default" w:ascii="Times New Roman" w:hAnsi="Times New Roman" w:eastAsia="仿宋_GB2312" w:cs="Times New Roman"/>
          <w:kern w:val="0"/>
          <w:sz w:val="32"/>
          <w:szCs w:val="32"/>
          <w:lang w:val="en-US" w:eastAsia="zh-CN" w:bidi="ar-SA"/>
        </w:rPr>
        <w:t>完成县委、县政府交办的其他任务。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both"/>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11.</w:t>
      </w:r>
      <w:r>
        <w:rPr>
          <w:rFonts w:hint="default" w:ascii="Times New Roman" w:hAnsi="Times New Roman" w:eastAsia="仿宋_GB2312" w:cs="Times New Roman"/>
          <w:kern w:val="0"/>
          <w:sz w:val="32"/>
          <w:szCs w:val="32"/>
          <w:lang w:val="en-US" w:eastAsia="zh-CN" w:bidi="ar-SA"/>
        </w:rPr>
        <w:t>协调各方力量更好为军人军属服务，维护军人军属合法权益，让军人成为全社会尊崇的职业，更好地为增强部队战斗力和凝聚力做好组织保障。</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rPr>
      </w:pPr>
      <w:r>
        <w:rPr>
          <w:rFonts w:hint="eastAsia" w:eastAsia="仿宋_GB2312"/>
          <w:kern w:val="0"/>
          <w:sz w:val="32"/>
          <w:szCs w:val="32"/>
          <w:lang w:eastAsia="zh-CN"/>
        </w:rPr>
        <w:t>（二）内设机构及人员情况</w:t>
      </w:r>
      <w:r>
        <w:rPr>
          <w:rFonts w:hint="eastAsia" w:eastAsia="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rPr>
      </w:pPr>
      <w:r>
        <w:rPr>
          <w:rFonts w:hint="eastAsia" w:ascii="Times New Roman" w:hAnsi="Times New Roman" w:eastAsia="仿宋_GB2312" w:cs="Times New Roman"/>
          <w:kern w:val="0"/>
          <w:sz w:val="32"/>
          <w:szCs w:val="32"/>
          <w:lang w:val="en-US" w:eastAsia="zh-CN" w:bidi="ar-SA"/>
        </w:rPr>
        <w:t>退役军人事务局内设</w:t>
      </w:r>
      <w:r>
        <w:rPr>
          <w:rFonts w:hint="default" w:ascii="Times New Roman" w:hAnsi="Times New Roman" w:eastAsia="仿宋_GB2312" w:cs="Times New Roman"/>
          <w:kern w:val="0"/>
          <w:sz w:val="32"/>
          <w:szCs w:val="32"/>
          <w:lang w:val="en-US" w:eastAsia="zh-CN" w:bidi="ar-SA"/>
        </w:rPr>
        <w:t>办公室</w:t>
      </w:r>
      <w:r>
        <w:rPr>
          <w:rFonts w:hint="default"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思想政治和权益维护股(政策法规股)</w:t>
      </w:r>
      <w:r>
        <w:rPr>
          <w:rFonts w:hint="default"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规划财务股</w:t>
      </w:r>
      <w:r>
        <w:rPr>
          <w:rFonts w:hint="default"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移交安置和就业创业股(军休管理股)</w:t>
      </w:r>
      <w:r>
        <w:rPr>
          <w:rFonts w:hint="default"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拥军优抚股</w:t>
      </w:r>
      <w:r>
        <w:rPr>
          <w:rFonts w:hint="eastAsia" w:ascii="Times New Roman" w:hAnsi="Times New Roman" w:eastAsia="仿宋_GB2312" w:cs="Times New Roman"/>
          <w:kern w:val="0"/>
          <w:sz w:val="32"/>
          <w:szCs w:val="32"/>
          <w:lang w:val="en-US" w:eastAsia="zh-CN" w:bidi="ar-SA"/>
        </w:rPr>
        <w:t>五个股室，下属非财务独立核算二级机构三个：退役军人服务中心，光荣院，烈士陵园管理所。核定编制23人，实有在岗在编18人；其中三级调研员1人，正科级干部2人，副科级干部1人，一级科员1人，事业编制人员13人。</w:t>
      </w:r>
      <w:r>
        <w:rPr>
          <w:rFonts w:hint="eastAsia" w:eastAsia="仿宋_GB2312"/>
          <w:kern w:val="0"/>
          <w:sz w:val="32"/>
          <w:szCs w:val="32"/>
        </w:rPr>
        <w:t>本级单位为一级预算单位，无下级预算单位，财务实行统一核算。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right="0" w:firstLine="640" w:firstLineChars="200"/>
        <w:jc w:val="both"/>
        <w:rPr>
          <w:rFonts w:hint="default" w:ascii="Times New Roman" w:hAnsi="Times New Roman" w:eastAsia="仿宋_GB2312" w:cs="Times New Roman"/>
          <w:kern w:val="0"/>
          <w:sz w:val="32"/>
          <w:szCs w:val="32"/>
          <w:lang w:val="en-US" w:eastAsia="zh-CN" w:bidi="ar-SA"/>
        </w:rPr>
      </w:pPr>
      <w:r>
        <w:rPr>
          <w:rFonts w:hint="eastAsia" w:eastAsia="仿宋_GB2312"/>
          <w:kern w:val="0"/>
          <w:sz w:val="32"/>
          <w:szCs w:val="32"/>
        </w:rPr>
        <w:t>（</w:t>
      </w:r>
      <w:r>
        <w:rPr>
          <w:rFonts w:hint="eastAsia" w:eastAsia="仿宋_GB2312"/>
          <w:kern w:val="0"/>
          <w:sz w:val="32"/>
          <w:szCs w:val="32"/>
          <w:lang w:eastAsia="zh-CN"/>
        </w:rPr>
        <w:t>三</w:t>
      </w:r>
      <w:r>
        <w:rPr>
          <w:rFonts w:hint="eastAsia" w:eastAsia="仿宋_GB2312"/>
          <w:kern w:val="0"/>
          <w:sz w:val="32"/>
          <w:szCs w:val="32"/>
        </w:rPr>
        <w:t>）</w:t>
      </w:r>
      <w:r>
        <w:rPr>
          <w:rFonts w:eastAsia="仿宋_GB2312"/>
          <w:kern w:val="0"/>
          <w:sz w:val="32"/>
          <w:szCs w:val="32"/>
        </w:rPr>
        <w:t>20</w:t>
      </w:r>
      <w:r>
        <w:rPr>
          <w:rFonts w:hint="eastAsia" w:eastAsia="仿宋_GB2312"/>
          <w:kern w:val="0"/>
          <w:sz w:val="32"/>
          <w:szCs w:val="32"/>
          <w:lang w:val="en-US" w:eastAsia="zh-CN"/>
        </w:rPr>
        <w:t>21</w:t>
      </w:r>
      <w:r>
        <w:rPr>
          <w:rFonts w:eastAsia="仿宋_GB2312"/>
          <w:kern w:val="0"/>
          <w:sz w:val="32"/>
          <w:szCs w:val="32"/>
        </w:rPr>
        <w:t>年度财政收支和年末固定资产状况</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rPr>
      </w:pPr>
      <w:r>
        <w:rPr>
          <w:rFonts w:hint="eastAsia" w:eastAsia="仿宋_GB2312"/>
          <w:kern w:val="0"/>
          <w:sz w:val="32"/>
          <w:szCs w:val="32"/>
        </w:rPr>
        <w:t>20</w:t>
      </w:r>
      <w:r>
        <w:rPr>
          <w:rFonts w:hint="eastAsia" w:eastAsia="仿宋_GB2312"/>
          <w:kern w:val="0"/>
          <w:sz w:val="32"/>
          <w:szCs w:val="32"/>
          <w:lang w:val="en-US" w:eastAsia="zh-CN"/>
        </w:rPr>
        <w:t>21</w:t>
      </w:r>
      <w:r>
        <w:rPr>
          <w:rFonts w:hint="eastAsia" w:eastAsia="仿宋_GB2312"/>
          <w:kern w:val="0"/>
          <w:sz w:val="32"/>
          <w:szCs w:val="32"/>
        </w:rPr>
        <w:t>年决算总收入</w:t>
      </w:r>
      <w:r>
        <w:rPr>
          <w:rFonts w:hint="eastAsia" w:eastAsia="仿宋_GB2312"/>
          <w:kern w:val="0"/>
          <w:sz w:val="32"/>
          <w:szCs w:val="32"/>
          <w:lang w:val="en-US" w:eastAsia="zh-CN"/>
        </w:rPr>
        <w:t>2096.44</w:t>
      </w:r>
      <w:r>
        <w:rPr>
          <w:rFonts w:hint="eastAsia" w:eastAsia="仿宋_GB2312"/>
          <w:kern w:val="0"/>
          <w:sz w:val="32"/>
          <w:szCs w:val="32"/>
        </w:rPr>
        <w:t>万元，决算总支出</w:t>
      </w:r>
      <w:r>
        <w:rPr>
          <w:rFonts w:hint="eastAsia" w:eastAsia="仿宋_GB2312"/>
          <w:kern w:val="0"/>
          <w:sz w:val="32"/>
          <w:szCs w:val="32"/>
          <w:lang w:val="en-US" w:eastAsia="zh-CN"/>
        </w:rPr>
        <w:t>2154.88</w:t>
      </w:r>
      <w:r>
        <w:rPr>
          <w:rFonts w:hint="eastAsia" w:eastAsia="仿宋_GB2312"/>
          <w:kern w:val="0"/>
          <w:sz w:val="32"/>
          <w:szCs w:val="32"/>
        </w:rPr>
        <w:t>万元，年初预算总收入</w:t>
      </w:r>
      <w:r>
        <w:rPr>
          <w:rFonts w:hint="eastAsia" w:eastAsia="仿宋_GB2312"/>
          <w:kern w:val="0"/>
          <w:sz w:val="32"/>
          <w:szCs w:val="32"/>
          <w:lang w:val="en-US" w:eastAsia="zh-CN"/>
        </w:rPr>
        <w:t>2823</w:t>
      </w:r>
      <w:r>
        <w:rPr>
          <w:rFonts w:hint="eastAsia" w:eastAsia="仿宋_GB2312"/>
          <w:kern w:val="0"/>
          <w:sz w:val="32"/>
          <w:szCs w:val="32"/>
        </w:rPr>
        <w:t>万元，年初预算总支出</w:t>
      </w:r>
      <w:r>
        <w:rPr>
          <w:rFonts w:hint="eastAsia" w:eastAsia="仿宋_GB2312"/>
          <w:kern w:val="0"/>
          <w:sz w:val="32"/>
          <w:szCs w:val="32"/>
          <w:lang w:val="en-US" w:eastAsia="zh-CN"/>
        </w:rPr>
        <w:t>2823</w:t>
      </w:r>
      <w:r>
        <w:rPr>
          <w:rFonts w:hint="eastAsia" w:eastAsia="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default" w:eastAsia="仿宋_GB2312"/>
          <w:kern w:val="0"/>
          <w:sz w:val="32"/>
          <w:szCs w:val="32"/>
          <w:lang w:val="en-US" w:eastAsia="zh-CN"/>
        </w:rPr>
      </w:pPr>
      <w:r>
        <w:rPr>
          <w:rFonts w:hint="eastAsia" w:eastAsia="仿宋_GB2312"/>
          <w:kern w:val="0"/>
          <w:sz w:val="32"/>
          <w:szCs w:val="32"/>
          <w:lang w:eastAsia="zh-CN"/>
        </w:rPr>
        <w:t>决算支出中，基本支出</w:t>
      </w:r>
      <w:r>
        <w:rPr>
          <w:rFonts w:hint="eastAsia" w:eastAsia="仿宋_GB2312"/>
          <w:kern w:val="0"/>
          <w:sz w:val="32"/>
          <w:szCs w:val="32"/>
          <w:lang w:val="en-US" w:eastAsia="zh-CN"/>
        </w:rPr>
        <w:t>295.12万元，项目支出1859.76万元。</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default" w:eastAsia="仿宋_GB2312"/>
          <w:kern w:val="0"/>
          <w:sz w:val="32"/>
          <w:szCs w:val="32"/>
          <w:lang w:val="en-US" w:eastAsia="zh-CN"/>
        </w:rPr>
      </w:pPr>
      <w:r>
        <w:rPr>
          <w:rFonts w:hint="eastAsia" w:eastAsia="仿宋_GB2312"/>
          <w:kern w:val="0"/>
          <w:sz w:val="32"/>
          <w:szCs w:val="32"/>
        </w:rPr>
        <w:t>决算总支出</w:t>
      </w:r>
      <w:r>
        <w:rPr>
          <w:rFonts w:hint="eastAsia" w:eastAsia="仿宋_GB2312"/>
          <w:kern w:val="0"/>
          <w:sz w:val="32"/>
          <w:szCs w:val="32"/>
          <w:lang w:val="en-US" w:eastAsia="zh-CN"/>
        </w:rPr>
        <w:t>2154.88</w:t>
      </w:r>
      <w:r>
        <w:rPr>
          <w:rFonts w:hint="eastAsia" w:eastAsia="仿宋_GB2312"/>
          <w:kern w:val="0"/>
          <w:sz w:val="32"/>
          <w:szCs w:val="32"/>
        </w:rPr>
        <w:t>万元中，工资福利支出</w:t>
      </w:r>
      <w:r>
        <w:rPr>
          <w:rFonts w:hint="eastAsia" w:eastAsia="仿宋_GB2312"/>
          <w:kern w:val="0"/>
          <w:sz w:val="32"/>
          <w:szCs w:val="32"/>
          <w:lang w:val="en-US" w:eastAsia="zh-CN"/>
        </w:rPr>
        <w:t>287.10</w:t>
      </w:r>
      <w:r>
        <w:rPr>
          <w:rFonts w:hint="eastAsia" w:eastAsia="仿宋_GB2312"/>
          <w:kern w:val="0"/>
          <w:sz w:val="32"/>
          <w:szCs w:val="32"/>
        </w:rPr>
        <w:t>万元，商品和服务支出</w:t>
      </w:r>
      <w:r>
        <w:rPr>
          <w:rFonts w:hint="eastAsia" w:eastAsia="仿宋_GB2312"/>
          <w:kern w:val="0"/>
          <w:sz w:val="32"/>
          <w:szCs w:val="32"/>
          <w:lang w:val="en-US" w:eastAsia="zh-CN"/>
        </w:rPr>
        <w:t>68.04</w:t>
      </w:r>
      <w:r>
        <w:rPr>
          <w:rFonts w:hint="eastAsia" w:eastAsia="仿宋_GB2312"/>
          <w:kern w:val="0"/>
          <w:sz w:val="32"/>
          <w:szCs w:val="32"/>
        </w:rPr>
        <w:t>万元，对个人和家庭补助支出</w:t>
      </w:r>
      <w:r>
        <w:rPr>
          <w:rFonts w:hint="eastAsia" w:eastAsia="仿宋_GB2312"/>
          <w:kern w:val="0"/>
          <w:sz w:val="32"/>
          <w:szCs w:val="32"/>
          <w:lang w:val="en-US" w:eastAsia="zh-CN"/>
        </w:rPr>
        <w:t>1736.74</w:t>
      </w:r>
      <w:r>
        <w:rPr>
          <w:rFonts w:hint="eastAsia" w:eastAsia="仿宋_GB2312"/>
          <w:kern w:val="0"/>
          <w:sz w:val="32"/>
          <w:szCs w:val="32"/>
        </w:rPr>
        <w:t>万元，</w:t>
      </w:r>
      <w:r>
        <w:rPr>
          <w:rFonts w:hint="eastAsia" w:eastAsia="仿宋_GB2312"/>
          <w:kern w:val="0"/>
          <w:sz w:val="32"/>
          <w:szCs w:val="32"/>
          <w:lang w:eastAsia="zh-CN"/>
        </w:rPr>
        <w:t>资本性支出</w:t>
      </w:r>
      <w:r>
        <w:rPr>
          <w:rFonts w:hint="eastAsia" w:eastAsia="仿宋_GB2312"/>
          <w:kern w:val="0"/>
          <w:sz w:val="32"/>
          <w:szCs w:val="32"/>
          <w:lang w:val="en-US" w:eastAsia="zh-CN"/>
        </w:rPr>
        <w:t>63万元。</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rPr>
      </w:pPr>
      <w:r>
        <w:rPr>
          <w:rFonts w:hint="eastAsia" w:eastAsia="仿宋_GB2312"/>
          <w:kern w:val="0"/>
          <w:sz w:val="32"/>
          <w:szCs w:val="32"/>
        </w:rPr>
        <w:t>严格控制“三公”经费支出。20</w:t>
      </w:r>
      <w:r>
        <w:rPr>
          <w:rFonts w:hint="eastAsia" w:eastAsia="仿宋_GB2312"/>
          <w:kern w:val="0"/>
          <w:sz w:val="32"/>
          <w:szCs w:val="32"/>
          <w:lang w:val="en-US" w:eastAsia="zh-CN"/>
        </w:rPr>
        <w:t>21</w:t>
      </w:r>
      <w:r>
        <w:rPr>
          <w:rFonts w:hint="eastAsia" w:eastAsia="仿宋_GB2312"/>
          <w:kern w:val="0"/>
          <w:sz w:val="32"/>
          <w:szCs w:val="32"/>
        </w:rPr>
        <w:t>年公务车平台托管到本单位公务用车</w:t>
      </w:r>
      <w:r>
        <w:rPr>
          <w:rFonts w:hint="eastAsia" w:eastAsia="仿宋_GB2312"/>
          <w:kern w:val="0"/>
          <w:sz w:val="32"/>
          <w:szCs w:val="32"/>
          <w:lang w:val="en-US" w:eastAsia="zh-CN"/>
        </w:rPr>
        <w:t>0</w:t>
      </w:r>
      <w:r>
        <w:rPr>
          <w:rFonts w:hint="eastAsia" w:eastAsia="仿宋_GB2312"/>
          <w:kern w:val="0"/>
          <w:sz w:val="32"/>
          <w:szCs w:val="32"/>
        </w:rPr>
        <w:t>辆，“三公”经费支出预算</w:t>
      </w:r>
      <w:r>
        <w:rPr>
          <w:rFonts w:hint="eastAsia" w:eastAsia="仿宋_GB2312"/>
          <w:kern w:val="0"/>
          <w:sz w:val="32"/>
          <w:szCs w:val="32"/>
          <w:lang w:val="en-US" w:eastAsia="zh-CN"/>
        </w:rPr>
        <w:t>5</w:t>
      </w:r>
      <w:r>
        <w:rPr>
          <w:rFonts w:hint="eastAsia" w:eastAsia="仿宋_GB2312"/>
          <w:kern w:val="0"/>
          <w:sz w:val="32"/>
          <w:szCs w:val="32"/>
        </w:rPr>
        <w:t>万元，其中：公务用车运行维护费</w:t>
      </w:r>
      <w:r>
        <w:rPr>
          <w:rFonts w:hint="eastAsia" w:eastAsia="仿宋_GB2312"/>
          <w:kern w:val="0"/>
          <w:sz w:val="32"/>
          <w:szCs w:val="32"/>
          <w:lang w:val="en-US" w:eastAsia="zh-CN"/>
        </w:rPr>
        <w:t>0</w:t>
      </w:r>
      <w:r>
        <w:rPr>
          <w:rFonts w:hint="eastAsia" w:eastAsia="仿宋_GB2312"/>
          <w:kern w:val="0"/>
          <w:sz w:val="32"/>
          <w:szCs w:val="32"/>
        </w:rPr>
        <w:t>万元，公务接待费</w:t>
      </w:r>
      <w:r>
        <w:rPr>
          <w:rFonts w:hint="eastAsia" w:eastAsia="仿宋_GB2312"/>
          <w:kern w:val="0"/>
          <w:sz w:val="32"/>
          <w:szCs w:val="32"/>
          <w:lang w:val="en-US" w:eastAsia="zh-CN"/>
        </w:rPr>
        <w:t>5</w:t>
      </w:r>
      <w:r>
        <w:rPr>
          <w:rFonts w:hint="eastAsia" w:eastAsia="仿宋_GB2312"/>
          <w:kern w:val="0"/>
          <w:sz w:val="32"/>
          <w:szCs w:val="32"/>
        </w:rPr>
        <w:t>万元，其余没有预算支出；20</w:t>
      </w:r>
      <w:r>
        <w:rPr>
          <w:rFonts w:hint="eastAsia" w:eastAsia="仿宋_GB2312"/>
          <w:kern w:val="0"/>
          <w:sz w:val="32"/>
          <w:szCs w:val="32"/>
          <w:lang w:val="en-US" w:eastAsia="zh-CN"/>
        </w:rPr>
        <w:t>21</w:t>
      </w:r>
      <w:r>
        <w:rPr>
          <w:rFonts w:hint="eastAsia" w:eastAsia="仿宋_GB2312"/>
          <w:kern w:val="0"/>
          <w:sz w:val="32"/>
          <w:szCs w:val="32"/>
        </w:rPr>
        <w:t>年“三公”经费支出实际支出</w:t>
      </w:r>
      <w:r>
        <w:rPr>
          <w:rFonts w:hint="eastAsia" w:eastAsia="仿宋_GB2312"/>
          <w:kern w:val="0"/>
          <w:sz w:val="32"/>
          <w:szCs w:val="32"/>
          <w:lang w:val="en-US" w:eastAsia="zh-CN"/>
        </w:rPr>
        <w:t>1.54</w:t>
      </w:r>
      <w:r>
        <w:rPr>
          <w:rFonts w:hint="eastAsia" w:eastAsia="仿宋_GB2312"/>
          <w:kern w:val="0"/>
          <w:sz w:val="32"/>
          <w:szCs w:val="32"/>
        </w:rPr>
        <w:t>万元，其中：因公出国（境）费</w:t>
      </w:r>
      <w:r>
        <w:rPr>
          <w:rFonts w:hint="eastAsia" w:eastAsia="仿宋_GB2312"/>
          <w:kern w:val="0"/>
          <w:sz w:val="32"/>
          <w:szCs w:val="32"/>
          <w:lang w:val="en-US" w:eastAsia="zh-CN"/>
        </w:rPr>
        <w:t>0</w:t>
      </w:r>
      <w:r>
        <w:rPr>
          <w:rFonts w:hint="eastAsia" w:eastAsia="仿宋_GB2312"/>
          <w:kern w:val="0"/>
          <w:sz w:val="32"/>
          <w:szCs w:val="32"/>
        </w:rPr>
        <w:t>万元，公务用车运行维护费</w:t>
      </w:r>
      <w:r>
        <w:rPr>
          <w:rFonts w:hint="eastAsia" w:eastAsia="仿宋_GB2312"/>
          <w:kern w:val="0"/>
          <w:sz w:val="32"/>
          <w:szCs w:val="32"/>
          <w:lang w:val="en-US" w:eastAsia="zh-CN"/>
        </w:rPr>
        <w:t>0</w:t>
      </w:r>
      <w:r>
        <w:rPr>
          <w:rFonts w:hint="eastAsia" w:eastAsia="仿宋_GB2312"/>
          <w:kern w:val="0"/>
          <w:sz w:val="32"/>
          <w:szCs w:val="32"/>
        </w:rPr>
        <w:t>万元，公务接待费</w:t>
      </w:r>
      <w:r>
        <w:rPr>
          <w:rFonts w:hint="eastAsia" w:eastAsia="仿宋_GB2312"/>
          <w:kern w:val="0"/>
          <w:sz w:val="32"/>
          <w:szCs w:val="32"/>
          <w:lang w:val="en-US" w:eastAsia="zh-CN"/>
        </w:rPr>
        <w:t>1.54</w:t>
      </w:r>
      <w:r>
        <w:rPr>
          <w:rFonts w:hint="eastAsia" w:eastAsia="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rPr>
      </w:pPr>
      <w:r>
        <w:rPr>
          <w:rFonts w:hint="eastAsia" w:eastAsia="仿宋_GB2312"/>
          <w:kern w:val="0"/>
          <w:sz w:val="32"/>
          <w:szCs w:val="32"/>
        </w:rPr>
        <w:t>截至20</w:t>
      </w:r>
      <w:r>
        <w:rPr>
          <w:rFonts w:hint="eastAsia" w:eastAsia="仿宋_GB2312"/>
          <w:kern w:val="0"/>
          <w:sz w:val="32"/>
          <w:szCs w:val="32"/>
          <w:lang w:val="en-US" w:eastAsia="zh-CN"/>
        </w:rPr>
        <w:t>20</w:t>
      </w:r>
      <w:r>
        <w:rPr>
          <w:rFonts w:hint="eastAsia" w:eastAsia="仿宋_GB2312"/>
          <w:kern w:val="0"/>
          <w:sz w:val="32"/>
          <w:szCs w:val="32"/>
        </w:rPr>
        <w:t>年12月31日，本单位</w:t>
      </w:r>
      <w:r>
        <w:rPr>
          <w:rFonts w:hint="eastAsia" w:eastAsia="仿宋_GB2312"/>
          <w:kern w:val="0"/>
          <w:sz w:val="32"/>
          <w:szCs w:val="32"/>
          <w:lang w:eastAsia="zh-CN"/>
        </w:rPr>
        <w:t>固定资产年末原值</w:t>
      </w:r>
      <w:r>
        <w:rPr>
          <w:rFonts w:hint="eastAsia" w:eastAsia="仿宋_GB2312"/>
          <w:kern w:val="0"/>
          <w:sz w:val="32"/>
          <w:szCs w:val="32"/>
          <w:lang w:val="en-US" w:eastAsia="zh-CN"/>
        </w:rPr>
        <w:t>41.2</w:t>
      </w:r>
      <w:r>
        <w:rPr>
          <w:rFonts w:hint="eastAsia" w:eastAsia="仿宋_GB2312"/>
          <w:kern w:val="0"/>
          <w:sz w:val="32"/>
          <w:szCs w:val="32"/>
          <w:lang w:eastAsia="zh-CN"/>
        </w:rPr>
        <w:t>万元，均为在用的固定资产；本单位</w:t>
      </w:r>
      <w:r>
        <w:rPr>
          <w:rFonts w:hint="eastAsia" w:eastAsia="仿宋_GB2312"/>
          <w:kern w:val="0"/>
          <w:sz w:val="32"/>
          <w:szCs w:val="32"/>
        </w:rPr>
        <w:t>共有公车平台托管车辆</w:t>
      </w:r>
      <w:r>
        <w:rPr>
          <w:rFonts w:hint="eastAsia" w:eastAsia="仿宋_GB2312"/>
          <w:kern w:val="0"/>
          <w:sz w:val="32"/>
          <w:szCs w:val="32"/>
          <w:lang w:val="en-US" w:eastAsia="zh-CN"/>
        </w:rPr>
        <w:t>0</w:t>
      </w:r>
      <w:r>
        <w:rPr>
          <w:rFonts w:hint="eastAsia" w:eastAsia="仿宋_GB2312"/>
          <w:kern w:val="0"/>
          <w:sz w:val="32"/>
          <w:szCs w:val="32"/>
        </w:rPr>
        <w:t>辆，其中，领导干部用车0辆、机要通信用车0辆、应急保障用车0辆、执法执勤用车0辆、特种专业技术用车0辆、其他用车3辆，其他用车主要是用于一般性公务活动；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lang w:eastAsia="zh-CN"/>
        </w:rPr>
      </w:pPr>
      <w:r>
        <w:rPr>
          <w:rFonts w:hint="eastAsia" w:eastAsia="仿宋_GB2312"/>
          <w:kern w:val="0"/>
          <w:sz w:val="32"/>
          <w:szCs w:val="32"/>
          <w:lang w:eastAsia="zh-CN"/>
        </w:rPr>
        <w:t>（四）</w:t>
      </w:r>
      <w:r>
        <w:rPr>
          <w:rFonts w:eastAsia="仿宋_GB2312"/>
          <w:kern w:val="0"/>
          <w:sz w:val="32"/>
          <w:szCs w:val="32"/>
        </w:rPr>
        <w:t>财政财务管理制度及执行情况</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0" w:firstLineChars="200"/>
        <w:jc w:val="left"/>
        <w:textAlignment w:val="auto"/>
        <w:rPr>
          <w:rFonts w:hint="eastAsia" w:eastAsia="仿宋_GB2312"/>
          <w:kern w:val="0"/>
          <w:sz w:val="32"/>
          <w:szCs w:val="32"/>
          <w:lang w:eastAsia="zh-CN"/>
        </w:rPr>
      </w:pPr>
      <w:r>
        <w:rPr>
          <w:rFonts w:hint="eastAsia" w:eastAsia="仿宋_GB2312"/>
          <w:kern w:val="0"/>
          <w:sz w:val="32"/>
          <w:szCs w:val="32"/>
          <w:lang w:eastAsia="zh-CN"/>
        </w:rPr>
        <w:t>本单位在严格执行《会计法》、《预算法》等财政法规的同时制定了</w:t>
      </w:r>
      <w:r>
        <w:rPr>
          <w:rFonts w:hint="eastAsia" w:eastAsia="仿宋_GB2312"/>
          <w:kern w:val="0"/>
          <w:sz w:val="32"/>
          <w:szCs w:val="32"/>
        </w:rPr>
        <w:t>预算管理、收支管理、政府采购管理、国有资产管理、建设项目管理、合同管理</w:t>
      </w:r>
      <w:r>
        <w:rPr>
          <w:rFonts w:hint="eastAsia" w:eastAsia="仿宋_GB2312"/>
          <w:kern w:val="0"/>
          <w:sz w:val="32"/>
          <w:szCs w:val="32"/>
          <w:lang w:eastAsia="zh-CN"/>
        </w:rPr>
        <w:t>等财务管理</w:t>
      </w:r>
      <w:r>
        <w:rPr>
          <w:rFonts w:hint="eastAsia" w:eastAsia="仿宋_GB2312"/>
          <w:kern w:val="0"/>
          <w:sz w:val="32"/>
          <w:szCs w:val="32"/>
        </w:rPr>
        <w:t>制度</w:t>
      </w:r>
      <w:r>
        <w:rPr>
          <w:rFonts w:hint="eastAsia" w:eastAsia="仿宋_GB2312"/>
          <w:kern w:val="0"/>
          <w:sz w:val="32"/>
          <w:szCs w:val="32"/>
          <w:lang w:eastAsia="zh-CN"/>
        </w:rPr>
        <w:t>，并在实际工作中严格执行。</w:t>
      </w:r>
    </w:p>
    <w:p>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kern w:val="0"/>
          <w:sz w:val="32"/>
          <w:szCs w:val="32"/>
          <w:lang w:eastAsia="zh-CN"/>
        </w:rPr>
      </w:pPr>
      <w:r>
        <w:rPr>
          <w:rFonts w:hint="eastAsia" w:eastAsia="仿宋_GB2312"/>
          <w:kern w:val="0"/>
          <w:sz w:val="32"/>
          <w:szCs w:val="32"/>
          <w:lang w:eastAsia="zh-CN"/>
        </w:rPr>
        <w:t>根据《20</w:t>
      </w:r>
      <w:r>
        <w:rPr>
          <w:rFonts w:hint="eastAsia" w:eastAsia="仿宋_GB2312"/>
          <w:kern w:val="0"/>
          <w:sz w:val="32"/>
          <w:szCs w:val="32"/>
          <w:lang w:val="en-US" w:eastAsia="zh-CN"/>
        </w:rPr>
        <w:t>21</w:t>
      </w:r>
      <w:r>
        <w:rPr>
          <w:rFonts w:hint="eastAsia" w:eastAsia="仿宋_GB2312"/>
          <w:kern w:val="0"/>
          <w:sz w:val="32"/>
          <w:szCs w:val="32"/>
          <w:lang w:eastAsia="zh-CN"/>
        </w:rPr>
        <w:t>年度新晃侗族自治县部门（单位）整体支出绩效评价指标体系》，自评分得分</w:t>
      </w:r>
      <w:r>
        <w:rPr>
          <w:rFonts w:hint="eastAsia" w:eastAsia="仿宋_GB2312"/>
          <w:kern w:val="0"/>
          <w:sz w:val="32"/>
          <w:szCs w:val="32"/>
          <w:lang w:val="en-US" w:eastAsia="zh-CN"/>
        </w:rPr>
        <w:t>92</w:t>
      </w:r>
      <w:r>
        <w:rPr>
          <w:rFonts w:hint="eastAsia" w:eastAsia="仿宋_GB2312"/>
          <w:kern w:val="0"/>
          <w:sz w:val="32"/>
          <w:szCs w:val="32"/>
          <w:lang w:eastAsia="zh-CN"/>
        </w:rPr>
        <w:t>分，整体支出绩效为“</w:t>
      </w:r>
      <w:r>
        <w:rPr>
          <w:rFonts w:hint="eastAsia" w:eastAsia="仿宋_GB2312"/>
          <w:kern w:val="0"/>
          <w:sz w:val="32"/>
          <w:szCs w:val="32"/>
          <w:lang w:val="en-US" w:eastAsia="zh-CN"/>
        </w:rPr>
        <w:t>优秀</w:t>
      </w:r>
      <w:r>
        <w:rPr>
          <w:rFonts w:hint="eastAsia" w:eastAsia="仿宋_GB2312"/>
          <w:kern w:val="0"/>
          <w:sz w:val="32"/>
          <w:szCs w:val="32"/>
          <w:lang w:eastAsia="zh-CN"/>
        </w:rPr>
        <w:t>”，主要绩效如下：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（一）服务保障体系建设</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退役军人服务中心（站）“有机构、有编制、有人员、有经费、有保障”的“五有”要求，各级退役军人服务中心（站）均有办公场地与服务窗口；县退役军人服务中心10名编制已到位8人，乡镇换届后，第一时间明确分管领导任退役军人服务站站长，乡镇退役军人服务站落实15名工作人员，全员到位并正常开展工作。151个村（社区）均建立退役军人服务站，村（社区）党支部书记任站长，1名村干部为专干。将服务保障建设运转经费纳入财政预算，据实列支。</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实际工作，认真梳理，明确了乡镇、村（社区）工作台账及档册管理内容，强化了基础资料、基础数据、基本制度建设；加强乡镇、村（社区）业务人员培训，及时收集意见，宣传相关政策，解答工作中存在的问题，全面形成自上而下，联动推进工作格局。</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（二）扎实做好拥军优抚工作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1.及时落实各项优抚政策和资金发放</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办理新增优抚对象（其中60周岁农村籍退役人员41人，伤残3人，60周岁烈士子女3人），共46人；优抚对象死亡人数29人，发放死亡补助金31.5635万元。</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按月发放老复员军人、伤残军人、参战退役军人、带病回乡军人、伤残公务员、烈属、满60周岁农村籍退役军人优抚金2000余人，共1343余万元。</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入伍士兵的家属优待金和奖励金及时发放到位。2021年上半年征兵，悬挂光荣牌25块，发放家属优待金及奖励金23人次，共计70.2万元整；下半年征兵31人，悬挂光荣牌31块，发放家属优待金及奖励金31人次，共计92.6万元整。</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落实特殊困难援助。特殊困难援助资金援助24人，发放援助资金 20.01万元。</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缴纳意外险、医保和大病互助等，提升抗风险能力。为所有享受待遇的退伍军人交意外伤害保险2005人，共12.03万元；1-6级伤残军人大病互助24人共2880元，医保共12人，全年医保金4.7万元；参战下岗退役军人大病互助37人，共4440元，医保9人，全年医保金3.5267万元；重点优抚对象医保607人，缴纳城乡居民医疗保险金16.968万元；农村籍参战退役军人农保73人，缴纳居民养老保险金7300元。</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sz w:val="32"/>
          <w:szCs w:val="32"/>
          <w:lang w:val="en-US" w:eastAsia="zh-CN"/>
        </w:rPr>
        <w:t>减轻退役军人和重点优抚对象医疗支出负担。特困救助、重点优抚对象临时医疗救助人员35人，发放资金16.5815万元；1-6级伤残军人门诊费报销30人次，共3.4628万元；重点优抚对象医疗一站式结算227人共14.3276万元，门诊费604人5.5万元。</w:t>
      </w:r>
      <w:r>
        <w:rPr>
          <w:rFonts w:hint="eastAsia" w:ascii="仿宋_GB2312" w:hAnsi="仿宋_GB2312" w:eastAsia="仿宋_GB2312" w:cs="仿宋_GB2312"/>
          <w:b/>
          <w:bCs/>
          <w:i w:val="0"/>
          <w:caps w:val="0"/>
          <w:color w:val="000000"/>
          <w:spacing w:val="0"/>
          <w:sz w:val="32"/>
          <w:szCs w:val="32"/>
          <w:u w:val="none"/>
          <w:lang w:val="en-US" w:eastAsia="zh-CN"/>
        </w:rPr>
        <w:t>七是</w:t>
      </w:r>
      <w:r>
        <w:rPr>
          <w:rFonts w:hint="eastAsia" w:ascii="仿宋_GB2312" w:hAnsi="仿宋_GB2312" w:eastAsia="仿宋_GB2312" w:cs="仿宋_GB2312"/>
          <w:color w:val="000000"/>
          <w:sz w:val="32"/>
          <w:szCs w:val="32"/>
          <w:lang w:val="en-US" w:eastAsia="zh-CN"/>
        </w:rPr>
        <w:t>联合县人民医院</w:t>
      </w:r>
      <w:r>
        <w:rPr>
          <w:rFonts w:hint="eastAsia" w:ascii="仿宋_GB2312" w:hAnsi="仿宋_GB2312" w:eastAsia="仿宋_GB2312" w:cs="仿宋_GB2312"/>
          <w:color w:val="000000"/>
          <w:sz w:val="32"/>
          <w:szCs w:val="32"/>
          <w:lang w:val="en-US" w:eastAsia="zh-CN"/>
        </w:rPr>
        <w:t>开展医疗义诊活动，邀请2名北京医疗专家为50余名退役军人进行了义诊</w:t>
      </w:r>
      <w:r>
        <w:rPr>
          <w:rFonts w:hint="eastAsia" w:ascii="仿宋_GB2312" w:hAnsi="仿宋_GB2312" w:eastAsia="仿宋_GB2312" w:cs="仿宋_GB2312"/>
          <w:i w:val="0"/>
          <w:caps w:val="0"/>
          <w:color w:val="000000"/>
          <w:spacing w:val="0"/>
          <w:sz w:val="32"/>
          <w:szCs w:val="32"/>
          <w:u w:val="none"/>
          <w:lang w:val="en-US" w:eastAsia="zh-CN"/>
        </w:rPr>
        <w:t>。</w:t>
      </w:r>
      <w:r>
        <w:rPr>
          <w:rFonts w:hint="eastAsia" w:ascii="仿宋_GB2312" w:hAnsi="仿宋_GB2312" w:eastAsia="仿宋_GB2312" w:cs="仿宋_GB2312"/>
          <w:b/>
          <w:bCs/>
          <w:i w:val="0"/>
          <w:caps w:val="0"/>
          <w:color w:val="000000"/>
          <w:spacing w:val="0"/>
          <w:sz w:val="32"/>
          <w:szCs w:val="32"/>
          <w:u w:val="none"/>
          <w:lang w:val="en-US" w:eastAsia="zh-CN"/>
        </w:rPr>
        <w:t>八是</w:t>
      </w:r>
      <w:r>
        <w:rPr>
          <w:rFonts w:hint="eastAsia" w:ascii="仿宋_GB2312" w:hAnsi="仿宋_GB2312" w:eastAsia="仿宋_GB2312" w:cs="仿宋_GB2312"/>
          <w:i w:val="0"/>
          <w:caps w:val="0"/>
          <w:color w:val="000000"/>
          <w:spacing w:val="0"/>
          <w:sz w:val="32"/>
          <w:szCs w:val="32"/>
          <w:u w:val="none"/>
          <w:lang w:val="en-US" w:eastAsia="zh-CN"/>
        </w:rPr>
        <w:t>组织10名伤残退役军人，5名在乡复员军人到市级医院进行医疗疗养。</w:t>
      </w:r>
      <w:r>
        <w:rPr>
          <w:rFonts w:hint="eastAsia" w:ascii="仿宋_GB2312" w:hAnsi="仿宋_GB2312" w:eastAsia="仿宋_GB2312" w:cs="仿宋_GB2312"/>
          <w:b/>
          <w:bCs/>
          <w:i w:val="0"/>
          <w:caps w:val="0"/>
          <w:color w:val="000000"/>
          <w:spacing w:val="0"/>
          <w:sz w:val="32"/>
          <w:szCs w:val="32"/>
          <w:u w:val="none"/>
          <w:lang w:val="en-US" w:eastAsia="zh-CN"/>
        </w:rPr>
        <w:t>九是</w:t>
      </w:r>
      <w:r>
        <w:rPr>
          <w:rFonts w:hint="eastAsia" w:ascii="仿宋_GB2312" w:hAnsi="仿宋_GB2312" w:eastAsia="仿宋_GB2312" w:cs="仿宋_GB2312"/>
          <w:color w:val="000000"/>
          <w:sz w:val="32"/>
          <w:szCs w:val="32"/>
          <w:lang w:val="en-US" w:eastAsia="zh-CN"/>
        </w:rPr>
        <w:t>开展“双促双带”工作“扶优奔康”活动，对全县8个创业致富带头退伍军人进行资金支持，促进脱贫致富奔小康。</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2.双拥工作扎实开展</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color w:val="000000"/>
          <w:sz w:val="32"/>
          <w:szCs w:val="32"/>
          <w:lang w:val="en-US" w:eastAsia="zh-CN"/>
        </w:rPr>
        <w:t>开展常态化联系走访，在“春节”和“八一”对所有的退役军人进行了全覆盖的走访慰问，对双拥共建单位、在乡老复员军人、烈属、牺牲病故军人家属及战时荣立一、二、三等功功勋人员和特困退役军人等进行了重点走访慰问，</w:t>
      </w:r>
      <w:r>
        <w:rPr>
          <w:rFonts w:hint="eastAsia" w:ascii="仿宋_GB2312" w:hAnsi="仿宋_GB2312" w:eastAsia="仿宋_GB2312" w:cs="仿宋_GB2312"/>
          <w:sz w:val="32"/>
          <w:szCs w:val="32"/>
          <w:lang w:val="en-US" w:eastAsia="zh-CN"/>
        </w:rPr>
        <w:t>全县各乡镇召开了“八一”退役军人座谈会，走访慰问品和慰问金共计105余万元。</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i w:val="0"/>
          <w:caps w:val="0"/>
          <w:color w:val="000000"/>
          <w:spacing w:val="0"/>
          <w:sz w:val="32"/>
          <w:szCs w:val="32"/>
          <w:u w:val="none"/>
          <w:lang w:val="en-US" w:eastAsia="zh-CN"/>
        </w:rPr>
        <w:t>联合县志愿者协会，对困难老军人、抗美援朝老英雄进行走访慰问、医疗义诊，市慈善总会走访慰问了19名抗美援朝老兵，</w:t>
      </w:r>
      <w:r>
        <w:rPr>
          <w:rFonts w:hint="eastAsia" w:ascii="仿宋_GB2312" w:hAnsi="仿宋_GB2312" w:eastAsia="仿宋_GB2312" w:cs="仿宋_GB2312"/>
          <w:color w:val="000000"/>
          <w:sz w:val="32"/>
          <w:szCs w:val="32"/>
          <w:lang w:val="en-US" w:eastAsia="zh-CN"/>
        </w:rPr>
        <w:t>吸引了更多的社会力量参与双拥共建工作，激发了全社会爱军、拥军热情。</w:t>
      </w:r>
      <w:r>
        <w:rPr>
          <w:rFonts w:hint="eastAsia" w:ascii="仿宋_GB2312" w:hAnsi="仿宋_GB2312" w:eastAsia="仿宋_GB2312" w:cs="仿宋_GB2312"/>
          <w:b/>
          <w:bCs/>
          <w:i w:val="0"/>
          <w:caps w:val="0"/>
          <w:color w:val="000000"/>
          <w:spacing w:val="0"/>
          <w:sz w:val="32"/>
          <w:szCs w:val="32"/>
          <w:u w:val="none"/>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val="en-US" w:eastAsia="zh-CN"/>
        </w:rPr>
        <w:t>开展退役军人进军营活动。八一建军节期间，来自全县各乡镇、企事业单位的退役军人走进武警中队驻地，与县人武部、武警中队、消防救援大队的现役军人共聚一堂，举行“军地一家亲 共叙部队情”退役军人重回军营活动，共同庆祝建军94周年。退役军人进军营，重温部队生活，激发广大退役军人退伍不褪色，退役不退志的热情，在基层组织建设的乡村振兴、疫情防控、抢险应急等艰难险重任务中发挥模范作用，积极参与社会公益事业。</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（三）加强退役士兵接收安置，服务就业创业</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及时完成移交安置工作。接收符合政府安排工作退役士官3人，及时完成了报道及档案接收审核，并于2021年9月已经全部安置上岗就业，完成系统数据录入及发放待安置期间生活补助、社保及医保；接收自主就业退役军人29人，完成档案审核及系统数据录入，并组织召开了欢迎会、就业创业、政策宣讲会及参加全市自主就业退役军人适应性培训。</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全力为退役军人就业服务。组织退役士兵80余人次参加4月22日在新晃县职业学校参加就业帮扶专场招聘会；5月8日组织我县退役军人到怀化万达广场参加“点亮万家灯火”现场招聘会；11月16日组织我县退役军人到怀化市参加2021年金秋招聘月现场招聘会；推荐5名2021年自主就业退役军人到新晃县职业中等专业学校就业，其中4人就业；</w:t>
      </w:r>
      <w:r>
        <w:rPr>
          <w:rFonts w:hint="eastAsia" w:ascii="仿宋_GB2312" w:hAnsi="仿宋_GB2312" w:eastAsia="仿宋_GB2312" w:cs="仿宋_GB2312"/>
          <w:b w:val="0"/>
          <w:bCs w:val="0"/>
          <w:color w:val="000000"/>
          <w:sz w:val="32"/>
          <w:szCs w:val="32"/>
          <w:lang w:val="en-US" w:eastAsia="zh-CN"/>
        </w:rPr>
        <w:t>落实事业单位招考面对退役军人定向招录名额，联合怀化教育培训机构，为有意报考事业单位的退役军人免费提供培训。</w:t>
      </w:r>
      <w:r>
        <w:rPr>
          <w:rFonts w:hint="eastAsia" w:ascii="仿宋_GB2312" w:hAnsi="仿宋_GB2312" w:eastAsia="仿宋_GB2312" w:cs="仿宋_GB2312"/>
          <w:b/>
          <w:bCs/>
          <w:color w:val="000000"/>
          <w:sz w:val="32"/>
          <w:szCs w:val="32"/>
          <w:lang w:val="en-US" w:eastAsia="zh-CN"/>
        </w:rPr>
        <w:t>三是</w:t>
      </w:r>
      <w:r>
        <w:rPr>
          <w:rFonts w:hint="eastAsia" w:ascii="仿宋_GB2312" w:hAnsi="仿宋_GB2312" w:eastAsia="仿宋_GB2312" w:cs="仿宋_GB2312"/>
          <w:b w:val="0"/>
          <w:bCs w:val="0"/>
          <w:color w:val="000000"/>
          <w:sz w:val="32"/>
          <w:szCs w:val="32"/>
          <w:lang w:val="en-US" w:eastAsia="zh-CN"/>
        </w:rPr>
        <w:t>完成自主择业军转干部年度认定5人次。</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（四）着力抓好退役军人信访稳定工作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切实维护退役军人合法权益，及时解决退役军人合理诉求。全年接待政策咨询、业务办理102人次，受理各类信访事项1件，办结1件；上级交（转）办8件，办结8件。</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落实重点人员稳控。全国两会、春节、清明及建党100周年、十九中全会、党代会重要节点，共确定44名重点稳控人员，积极与县委政法委、县信访局、县公安局等部门密切配合，落实包案领导及包案责任人，做到包干到人、责任到人，确保特别防护期间全县涉军信访稳定形势总体平稳可控。</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开展政策法规宣传。利用宣传月活动走进社区、走进农村、走进基层；充分利用各种微信群、工作群，发布关于《退役军人保障法》和其它法律法规的宣传资料，加大对《退役军人保障法》和其它法律法规的宣传和普及力度。</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（五）夯实筑牢基层基础，基层治理“能效显著”</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引导培育选拔更多“兵支书”加强基层组织建设。目前全县村支两委退役军人114人，退役军人党员2813人，确保每名退役军人党员都纳入党组织的管理范围，参与到基层建设和治理当中。</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加强退役军人志愿服务队伍建设。10月30日，我县成立了新晃侗族自治县退役军人志愿服务中队，目前已有50多人，积极参与疫情防控、抢险救援等公益服务活动，已经成为我县志愿服务队伍中一支重要的力量。</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（六）烈士褒扬纪念工作扎实开展，纪念设施全面修缮</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抓好烈士纪念场所的日常管理工作。在做好日常卫生保洁、绿化养护、设施维护的基础上，强化群众参祭活动的接待服务工作，保持各项活动有序开展。全年累计接待各界人士烈士祭扫、党员教育活动等共185场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做好烈士纪念设施的管理保护工作。一年来相继完成了兴隆中学烈士陵园、中寨烈士纪念碑的维修保护工作，完成了龙溪烈士公园前门楼维修工作和红色教育陈列室的改造建设工作，后期将投入布展和使用。</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根据国家关于烈士纪念设施管理保护工作要求，积极开展陵园烈士墓区扩建建设，完成烈士墓区护建400余平方米，增加墓位55个，到目前为此已完成了13座烈士葬的集中迁葬工作，预计到2022年2月底全面完成县域烈士墓的集中迁葬和烈士纪念设施的维修保护工作。</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组织开展“清明祭英烈”祭扫活动、9.30烈士公祭日活动，弘扬英烈精神。清明节期间全体干职和社会各界人士到龙溪烈士陵园，开展“致敬·2021清明祭英烈”祭扫活动；在县人民政府门户网站、新晃红网链接“致敬·2021清明祭英烈”活动专栏，号召鼓励烈士亲属和社会各界通过网络向英烈寄托哀思、致敬缅怀。9月30日，周重颜书记和全体县领导，县人武部、县直机关、事业单位、学校师生代表及各界干部群众代表共300多人在龙溪烈士陵园开展了烈士纪念日烈士公祭活动。</w:t>
      </w:r>
    </w:p>
    <w:p>
      <w:pPr>
        <w:spacing w:line="560" w:lineRule="exact"/>
        <w:ind w:firstLine="640" w:firstLineChars="200"/>
        <w:jc w:val="left"/>
        <w:rPr>
          <w:rFonts w:eastAsia="仿宋_GB2312"/>
          <w:sz w:val="32"/>
          <w:szCs w:val="32"/>
        </w:rPr>
      </w:pPr>
      <w:r>
        <w:rPr>
          <w:rFonts w:eastAsia="仿宋_GB2312"/>
          <w:sz w:val="32"/>
          <w:szCs w:val="32"/>
        </w:rPr>
        <w:t>三、存在的问题及原因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leftChars="0" w:right="0" w:rightChars="0" w:firstLine="642" w:firstLineChars="0"/>
        <w:textAlignment w:val="auto"/>
        <w:outlineLvl w:val="9"/>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（一）工作人员保障须加强。</w:t>
      </w:r>
      <w:r>
        <w:rPr>
          <w:rFonts w:hint="eastAsia" w:ascii="仿宋_GB2312" w:hAnsi="仿宋_GB2312" w:eastAsia="仿宋_GB2312" w:cs="仿宋_GB2312"/>
          <w:b w:val="0"/>
          <w:bCs w:val="0"/>
          <w:color w:val="000000"/>
          <w:sz w:val="32"/>
          <w:szCs w:val="32"/>
          <w:lang w:val="en-US" w:eastAsia="zh-CN"/>
        </w:rPr>
        <w:t>根据中央、省、市“基层基础基本建设年”要求，和上级目标管理考核要求，我局班子成员只有两位，不足以开展日常工作，急需配齐配强班子；县退役军人服务中心编制、人员要到位，工作人员到位率必须达到90%以上，目前县退役军人服务中心核定编制为10名，工作人员8名，离上级要求有差距。各乡镇退役军人服务站没有做到专编专人，兼职过多。</w:t>
      </w:r>
    </w:p>
    <w:p>
      <w:pPr>
        <w:spacing w:line="560" w:lineRule="exact"/>
        <w:ind w:firstLine="643" w:firstLineChars="200"/>
        <w:jc w:val="left"/>
        <w:rPr>
          <w:rFonts w:hint="eastAsia" w:ascii="仿宋_GB2312" w:hAnsi="仿宋_GB2312" w:eastAsia="仿宋_GB2312" w:cs="仿宋_GB2312"/>
          <w:b w:val="0"/>
          <w:bCs w:val="0"/>
          <w:color w:val="000000"/>
          <w:sz w:val="32"/>
          <w:szCs w:val="32"/>
          <w:lang w:val="en-US" w:eastAsia="zh-CN"/>
        </w:rPr>
      </w:pPr>
      <w:r>
        <w:rPr>
          <w:rFonts w:hint="eastAsia" w:ascii="楷体" w:hAnsi="楷体" w:eastAsia="楷体" w:cs="楷体"/>
          <w:b/>
          <w:bCs/>
          <w:color w:val="000000"/>
          <w:sz w:val="32"/>
          <w:szCs w:val="32"/>
          <w:lang w:val="en-US" w:eastAsia="zh-CN"/>
        </w:rPr>
        <w:t>（二）经费保障须加强。</w:t>
      </w:r>
      <w:r>
        <w:rPr>
          <w:rFonts w:hint="eastAsia" w:ascii="仿宋_GB2312" w:hAnsi="仿宋_GB2312" w:eastAsia="仿宋_GB2312" w:cs="仿宋_GB2312"/>
          <w:b w:val="0"/>
          <w:bCs w:val="0"/>
          <w:color w:val="000000"/>
          <w:sz w:val="32"/>
          <w:szCs w:val="32"/>
          <w:lang w:val="en-US" w:eastAsia="zh-CN"/>
        </w:rPr>
        <w:t>当前正处于机构改革过渡期、涉军政策转型期、信访问题高发期，工作任务较重，县、乡镇、村（社区）三级退役军人服务中心（站）要做到有钱办事。按照上级要求，县级退役军人服务中心窗口，各乡镇、村（社区）退役军人服务站建设及县乡村三级退役军人工作运行经费，已经县政府常务会研究通过，但由于县财政紧张，一直未拨付到位。</w:t>
      </w:r>
    </w:p>
    <w:p>
      <w:pPr>
        <w:spacing w:line="560" w:lineRule="exact"/>
        <w:ind w:firstLine="640" w:firstLineChars="200"/>
        <w:jc w:val="left"/>
        <w:rPr>
          <w:rFonts w:eastAsia="仿宋_GB2312"/>
          <w:sz w:val="32"/>
          <w:szCs w:val="32"/>
        </w:rPr>
      </w:pPr>
      <w:r>
        <w:rPr>
          <w:rFonts w:eastAsia="仿宋_GB2312"/>
          <w:sz w:val="32"/>
          <w:szCs w:val="32"/>
        </w:rPr>
        <w:t>四、提高财政资金绩效的措施与建议</w:t>
      </w:r>
    </w:p>
    <w:p>
      <w:pPr>
        <w:spacing w:line="560" w:lineRule="exact"/>
        <w:ind w:firstLine="643" w:firstLineChars="200"/>
        <w:jc w:val="left"/>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（一）提高人员素质，加强业务水平</w:t>
      </w:r>
    </w:p>
    <w:p>
      <w:pPr>
        <w:pStyle w:val="2"/>
        <w:rPr>
          <w:rFonts w:hint="eastAsia" w:ascii="仿宋_GB2312" w:hAnsi="仿宋_GB2312" w:eastAsia="仿宋_GB2312" w:cs="仿宋_GB2312"/>
          <w:b w:val="0"/>
          <w:bCs w:val="0"/>
          <w:color w:val="000000"/>
          <w:kern w:val="0"/>
          <w:sz w:val="32"/>
          <w:szCs w:val="32"/>
          <w:lang w:val="en-US" w:eastAsia="zh-CN" w:bidi="ar-SA"/>
        </w:rPr>
      </w:pPr>
      <w:r>
        <w:rPr>
          <w:rFonts w:hint="eastAsia" w:ascii="楷体" w:hAnsi="楷体" w:eastAsia="楷体" w:cs="楷体"/>
          <w:b/>
          <w:bCs/>
          <w:color w:val="000000"/>
          <w:sz w:val="32"/>
          <w:szCs w:val="32"/>
          <w:lang w:val="en-US" w:eastAsia="zh-CN"/>
        </w:rPr>
        <w:t xml:space="preserve">     </w:t>
      </w:r>
      <w:r>
        <w:rPr>
          <w:rFonts w:hint="eastAsia" w:ascii="仿宋_GB2312" w:hAnsi="仿宋_GB2312" w:eastAsia="仿宋_GB2312" w:cs="仿宋_GB2312"/>
          <w:b w:val="0"/>
          <w:bCs w:val="0"/>
          <w:color w:val="000000"/>
          <w:kern w:val="0"/>
          <w:sz w:val="32"/>
          <w:szCs w:val="32"/>
          <w:lang w:val="en-US" w:eastAsia="zh-CN" w:bidi="ar-SA"/>
        </w:rPr>
        <w:t>向上级汇报人员配备的同时，</w:t>
      </w:r>
      <w:r>
        <w:rPr>
          <w:rFonts w:hint="eastAsia" w:cs="仿宋_GB2312"/>
          <w:b w:val="0"/>
          <w:bCs w:val="0"/>
          <w:color w:val="000000"/>
          <w:kern w:val="0"/>
          <w:sz w:val="32"/>
          <w:szCs w:val="32"/>
          <w:lang w:val="en-US" w:eastAsia="zh-CN" w:bidi="ar-SA"/>
        </w:rPr>
        <w:t>加快完成县乡村三级人员的培训工作,</w:t>
      </w:r>
      <w:r>
        <w:rPr>
          <w:rFonts w:hint="eastAsia" w:ascii="仿宋_GB2312" w:hAnsi="仿宋_GB2312" w:eastAsia="仿宋_GB2312" w:cs="仿宋_GB2312"/>
          <w:b w:val="0"/>
          <w:bCs w:val="0"/>
          <w:color w:val="000000"/>
          <w:kern w:val="0"/>
          <w:sz w:val="32"/>
          <w:szCs w:val="32"/>
          <w:lang w:val="en-US" w:eastAsia="zh-CN" w:bidi="ar-SA"/>
        </w:rPr>
        <w:t>提高现有人员业务水平素质，提升业务办事效率，增强日常工作的完成准确率，提升服务对象的满意度。</w:t>
      </w:r>
    </w:p>
    <w:p>
      <w:pPr>
        <w:pStyle w:val="2"/>
        <w:numPr>
          <w:ilvl w:val="0"/>
          <w:numId w:val="1"/>
        </w:numPr>
        <w:ind w:firstLine="643" w:firstLineChars="200"/>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合理编制绩效目标，保障项目经费使用率</w:t>
      </w:r>
    </w:p>
    <w:p>
      <w:pPr>
        <w:pStyle w:val="2"/>
        <w:numPr>
          <w:numId w:val="0"/>
        </w:numPr>
        <w:ind w:firstLine="640" w:firstLineChars="200"/>
        <w:rPr>
          <w:rFonts w:hint="eastAsia"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现阶段大环境项目资金非常紧张，合理的编制绩效目标显得尤为重要，切合实际的绩效目标可以</w:t>
      </w:r>
      <w:r>
        <w:rPr>
          <w:rFonts w:hint="eastAsia" w:cs="仿宋_GB2312"/>
          <w:b w:val="0"/>
          <w:bCs w:val="0"/>
          <w:color w:val="000000"/>
          <w:kern w:val="0"/>
          <w:sz w:val="32"/>
          <w:szCs w:val="32"/>
          <w:lang w:val="en-US" w:eastAsia="zh-CN" w:bidi="ar-SA"/>
        </w:rPr>
        <w:t>让绩效</w:t>
      </w:r>
      <w:r>
        <w:rPr>
          <w:rFonts w:hint="eastAsia" w:ascii="仿宋_GB2312" w:hAnsi="仿宋_GB2312" w:eastAsia="仿宋_GB2312" w:cs="仿宋_GB2312"/>
          <w:b w:val="0"/>
          <w:bCs w:val="0"/>
          <w:color w:val="000000"/>
          <w:kern w:val="0"/>
          <w:sz w:val="32"/>
          <w:szCs w:val="32"/>
          <w:lang w:val="en-US" w:eastAsia="zh-CN" w:bidi="ar-SA"/>
        </w:rPr>
        <w:t>资金事半功倍。</w:t>
      </w:r>
      <w:r>
        <w:rPr>
          <w:rFonts w:hint="eastAsia" w:ascii="仿宋_GB2312" w:hAnsi="仿宋_GB2312" w:eastAsia="仿宋_GB2312" w:cs="仿宋_GB2312"/>
          <w:b w:val="0"/>
          <w:bCs w:val="0"/>
          <w:color w:val="000000"/>
          <w:kern w:val="0"/>
          <w:sz w:val="32"/>
          <w:szCs w:val="32"/>
          <w:lang w:val="en-US" w:eastAsia="zh-CN" w:bidi="ar-SA"/>
        </w:rPr>
        <w:t>积极向</w:t>
      </w:r>
      <w:r>
        <w:rPr>
          <w:rFonts w:hint="eastAsia" w:cs="仿宋_GB2312"/>
          <w:b w:val="0"/>
          <w:bCs w:val="0"/>
          <w:color w:val="000000"/>
          <w:kern w:val="0"/>
          <w:sz w:val="32"/>
          <w:szCs w:val="32"/>
          <w:lang w:val="en-US" w:eastAsia="zh-CN" w:bidi="ar-SA"/>
        </w:rPr>
        <w:t>上级</w:t>
      </w:r>
      <w:r>
        <w:rPr>
          <w:rFonts w:hint="eastAsia" w:ascii="仿宋_GB2312" w:hAnsi="仿宋_GB2312" w:eastAsia="仿宋_GB2312" w:cs="仿宋_GB2312"/>
          <w:b w:val="0"/>
          <w:bCs w:val="0"/>
          <w:color w:val="000000"/>
          <w:kern w:val="0"/>
          <w:sz w:val="32"/>
          <w:szCs w:val="32"/>
          <w:lang w:val="en-US" w:eastAsia="zh-CN" w:bidi="ar-SA"/>
        </w:rPr>
        <w:t>部门</w:t>
      </w:r>
      <w:r>
        <w:rPr>
          <w:rFonts w:hint="eastAsia" w:cs="仿宋_GB2312"/>
          <w:b w:val="0"/>
          <w:bCs w:val="0"/>
          <w:color w:val="000000"/>
          <w:kern w:val="0"/>
          <w:sz w:val="32"/>
          <w:szCs w:val="32"/>
          <w:lang w:val="en-US" w:eastAsia="zh-CN" w:bidi="ar-SA"/>
        </w:rPr>
        <w:t>争取</w:t>
      </w:r>
      <w:r>
        <w:rPr>
          <w:rFonts w:hint="eastAsia" w:ascii="仿宋_GB2312" w:hAnsi="仿宋_GB2312" w:eastAsia="仿宋_GB2312" w:cs="仿宋_GB2312"/>
          <w:b w:val="0"/>
          <w:bCs w:val="0"/>
          <w:color w:val="000000"/>
          <w:kern w:val="0"/>
          <w:sz w:val="32"/>
          <w:szCs w:val="32"/>
          <w:lang w:val="en-US" w:eastAsia="zh-CN" w:bidi="ar-SA"/>
        </w:rPr>
        <w:t>资金</w:t>
      </w:r>
      <w:r>
        <w:rPr>
          <w:rFonts w:hint="eastAsia" w:cs="仿宋_GB2312"/>
          <w:b w:val="0"/>
          <w:bCs w:val="0"/>
          <w:color w:val="000000"/>
          <w:kern w:val="0"/>
          <w:sz w:val="32"/>
          <w:szCs w:val="32"/>
          <w:lang w:val="en-US" w:eastAsia="zh-CN" w:bidi="ar-SA"/>
        </w:rPr>
        <w:t>,特别是优</w:t>
      </w:r>
      <w:bookmarkStart w:id="0" w:name="_GoBack"/>
      <w:bookmarkEnd w:id="0"/>
      <w:r>
        <w:rPr>
          <w:rFonts w:hint="eastAsia" w:cs="仿宋_GB2312"/>
          <w:b w:val="0"/>
          <w:bCs w:val="0"/>
          <w:color w:val="000000"/>
          <w:kern w:val="0"/>
          <w:sz w:val="32"/>
          <w:szCs w:val="32"/>
          <w:lang w:val="en-US" w:eastAsia="zh-CN" w:bidi="ar-SA"/>
        </w:rPr>
        <w:t>抚对象专项资金</w:t>
      </w:r>
      <w:r>
        <w:rPr>
          <w:rFonts w:hint="eastAsia" w:ascii="仿宋_GB2312" w:hAnsi="仿宋_GB2312" w:eastAsia="仿宋_GB2312" w:cs="仿宋_GB2312"/>
          <w:b w:val="0"/>
          <w:bCs w:val="0"/>
          <w:color w:val="000000"/>
          <w:sz w:val="32"/>
          <w:szCs w:val="32"/>
          <w:lang w:val="en-US" w:eastAsia="zh-CN"/>
        </w:rPr>
        <w:t>、</w:t>
      </w:r>
      <w:r>
        <w:rPr>
          <w:rFonts w:hint="eastAsia" w:cs="仿宋_GB2312"/>
          <w:b w:val="0"/>
          <w:bCs w:val="0"/>
          <w:color w:val="000000"/>
          <w:kern w:val="0"/>
          <w:sz w:val="32"/>
          <w:szCs w:val="32"/>
          <w:lang w:val="en-US" w:eastAsia="zh-CN" w:bidi="ar-SA"/>
        </w:rPr>
        <w:t>烈士褒扬纪念设施建设资金、特殊困难援助资金等。大学生新兵奖励金及家属优待金缺口资金由县本级配套。</w:t>
      </w:r>
    </w:p>
    <w:p>
      <w:pPr>
        <w:pStyle w:val="2"/>
        <w:numPr>
          <w:numId w:val="0"/>
        </w:numPr>
        <w:ind w:firstLine="640" w:firstLineChars="200"/>
        <w:rPr>
          <w:rFonts w:hint="default" w:cs="仿宋_GB2312"/>
          <w:b w:val="0"/>
          <w:bCs w:val="0"/>
          <w:color w:val="000000"/>
          <w:kern w:val="0"/>
          <w:sz w:val="32"/>
          <w:szCs w:val="32"/>
          <w:lang w:val="en-US" w:eastAsia="zh-CN" w:bidi="ar-SA"/>
        </w:rPr>
      </w:pPr>
    </w:p>
    <w:p>
      <w:pPr>
        <w:spacing w:line="56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 xml:space="preserve">               </w:t>
      </w:r>
      <w:r>
        <w:rPr>
          <w:rFonts w:eastAsia="仿宋_GB2312"/>
          <w:sz w:val="32"/>
          <w:szCs w:val="32"/>
        </w:rPr>
        <w:t>部门（签章）</w:t>
      </w:r>
    </w:p>
    <w:p>
      <w:r>
        <w:rPr>
          <w:rFonts w:eastAsia="仿宋_GB2312"/>
          <w:sz w:val="32"/>
          <w:szCs w:val="32"/>
        </w:rPr>
        <w:t xml:space="preserve">                                  </w:t>
      </w:r>
      <w:r>
        <w:rPr>
          <w:rFonts w:hint="eastAsia" w:eastAsia="仿宋_GB2312"/>
          <w:sz w:val="32"/>
          <w:szCs w:val="32"/>
        </w:rPr>
        <w:t xml:space="preserve">   </w:t>
      </w:r>
      <w:r>
        <w:rPr>
          <w:rFonts w:hint="eastAsia" w:eastAsia="仿宋_GB2312"/>
          <w:sz w:val="32"/>
          <w:szCs w:val="32"/>
          <w:lang w:val="en-US" w:eastAsia="zh-CN"/>
        </w:rPr>
        <w:t>2022</w:t>
      </w:r>
      <w:r>
        <w:rPr>
          <w:rFonts w:eastAsia="仿宋_GB2312"/>
          <w:sz w:val="32"/>
          <w:szCs w:val="32"/>
        </w:rPr>
        <w:t>年</w:t>
      </w:r>
      <w:r>
        <w:rPr>
          <w:rFonts w:hint="eastAsia" w:eastAsia="仿宋_GB2312"/>
          <w:sz w:val="32"/>
          <w:szCs w:val="32"/>
          <w:lang w:val="en-US" w:eastAsia="zh-CN"/>
        </w:rPr>
        <w:t>5</w:t>
      </w:r>
      <w:r>
        <w:rPr>
          <w:rFonts w:eastAsia="仿宋_GB2312"/>
          <w:sz w:val="32"/>
          <w:szCs w:val="32"/>
        </w:rPr>
        <w:t>月</w:t>
      </w:r>
      <w:r>
        <w:rPr>
          <w:rFonts w:hint="eastAsia" w:eastAsia="仿宋_GB2312"/>
          <w:sz w:val="32"/>
          <w:szCs w:val="32"/>
          <w:lang w:val="en-US" w:eastAsia="zh-CN"/>
        </w:rPr>
        <w:t>18</w:t>
      </w:r>
      <w:r>
        <w:rPr>
          <w:rFonts w:eastAsia="仿宋_GB2312"/>
          <w:sz w:val="32"/>
          <w:szCs w:val="32"/>
        </w:rPr>
        <w:t>日</w:t>
      </w:r>
      <w:r>
        <w:rPr>
          <w:sz w:val="24"/>
        </w:rPr>
        <w:br w:type="page"/>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1912B"/>
    <w:multiLevelType w:val="singleLevel"/>
    <w:tmpl w:val="5401912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3F5AD2"/>
    <w:rsid w:val="01B25E8C"/>
    <w:rsid w:val="043F5AD2"/>
    <w:rsid w:val="08DB3520"/>
    <w:rsid w:val="0B236F7F"/>
    <w:rsid w:val="1AAC5B17"/>
    <w:rsid w:val="1E730F9F"/>
    <w:rsid w:val="360A44D8"/>
    <w:rsid w:val="42E72786"/>
    <w:rsid w:val="4AEC1FB1"/>
    <w:rsid w:val="4FE13ED5"/>
    <w:rsid w:val="553C57D6"/>
    <w:rsid w:val="59736DF9"/>
    <w:rsid w:val="5EC9616E"/>
    <w:rsid w:val="6F640825"/>
    <w:rsid w:val="70500981"/>
    <w:rsid w:val="78EA5532"/>
    <w:rsid w:val="7E941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仿宋_GB2312" w:hAnsi="仿宋_GB2312" w:eastAsia="仿宋_GB2312" w:cs="仿宋_GB2312"/>
      <w:kern w:val="0"/>
      <w:sz w:val="32"/>
      <w:szCs w:val="32"/>
      <w:lang w:val="zh-CN" w:bidi="zh-CN"/>
    </w:rPr>
  </w:style>
  <w:style w:type="paragraph" w:styleId="3">
    <w:name w:val="Body Text Indent"/>
    <w:basedOn w:val="1"/>
    <w:unhideWhenUsed/>
    <w:qFormat/>
    <w:uiPriority w:val="99"/>
    <w:pPr>
      <w:spacing w:after="120"/>
      <w:ind w:left="420" w:left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7">
    <w:name w:val="Body Text First Indent 2"/>
    <w:basedOn w:val="3"/>
    <w:unhideWhenUsed/>
    <w:qFormat/>
    <w:uiPriority w:val="99"/>
    <w:pPr>
      <w:spacing w:before="100" w:beforeAutospacing="1"/>
      <w:ind w:firstLine="420" w:firstLineChars="200"/>
    </w:p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1802</Words>
  <Characters>1915</Characters>
  <Lines>0</Lines>
  <Paragraphs>0</Paragraphs>
  <TotalTime>8</TotalTime>
  <ScaleCrop>false</ScaleCrop>
  <LinksUpToDate>false</LinksUpToDate>
  <CharactersWithSpaces>1988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2022-05-17T02:37:00Z</dcterms:created>
  <dc:creator>mR.（^0^）、猪</dc:creator>
  <cp:lastModifiedBy>mR.（^0^）、猪</cp:lastModifiedBy>
  <cp:lastPrinted>2022-05-18T02:12:40Z</cp:lastPrinted>
  <dcterms:modified xsi:type="dcterms:W3CDTF">2022-05-18T03:06:32Z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6BF8B3588DC649B1BD421E99C438C621</vt:lpwstr>
  </property>
</Properties>
</file>