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00" w:afterAutospacing="0" w:line="560" w:lineRule="exact"/>
        <w:ind w:right="0"/>
        <w:jc w:val="center"/>
        <w:textAlignment w:val="auto"/>
        <w:rPr>
          <w:rFonts w:hint="eastAsia" w:ascii="宋体" w:hAnsi="宋体" w:eastAsia="宋体" w:cs="宋体"/>
          <w:b/>
          <w:bCs/>
          <w:i w:val="0"/>
          <w:iCs w:val="0"/>
          <w:caps w:val="0"/>
          <w:color w:val="333333"/>
          <w:spacing w:val="-11"/>
          <w:sz w:val="44"/>
          <w:szCs w:val="44"/>
        </w:rPr>
      </w:pPr>
      <w:r>
        <w:rPr>
          <w:rFonts w:hint="eastAsia" w:ascii="宋体" w:hAnsi="宋体" w:eastAsia="宋体" w:cs="宋体"/>
          <w:b/>
          <w:bCs/>
          <w:i w:val="0"/>
          <w:iCs w:val="0"/>
          <w:caps w:val="0"/>
          <w:color w:val="333333"/>
          <w:spacing w:val="-11"/>
          <w:sz w:val="44"/>
          <w:szCs w:val="44"/>
          <w:shd w:val="clear" w:fill="FFFFFF"/>
          <w:lang w:eastAsia="zh-CN"/>
        </w:rPr>
        <w:t>新晃县医疗保障事务中心</w:t>
      </w:r>
      <w:r>
        <w:rPr>
          <w:rFonts w:hint="eastAsia" w:ascii="宋体" w:hAnsi="宋体" w:eastAsia="宋体" w:cs="宋体"/>
          <w:b/>
          <w:bCs/>
          <w:i w:val="0"/>
          <w:iCs w:val="0"/>
          <w:caps w:val="0"/>
          <w:color w:val="333333"/>
          <w:spacing w:val="-11"/>
          <w:sz w:val="44"/>
          <w:szCs w:val="44"/>
          <w:shd w:val="clear" w:fill="FFFFFF"/>
        </w:rPr>
        <w:t>关于</w:t>
      </w:r>
      <w:r>
        <w:rPr>
          <w:rFonts w:hint="eastAsia" w:cs="宋体"/>
          <w:b/>
          <w:bCs/>
          <w:i w:val="0"/>
          <w:iCs w:val="0"/>
          <w:caps w:val="0"/>
          <w:color w:val="333333"/>
          <w:spacing w:val="-11"/>
          <w:sz w:val="44"/>
          <w:szCs w:val="44"/>
          <w:shd w:val="clear" w:fill="FFFFFF"/>
          <w:lang w:eastAsia="zh-CN"/>
        </w:rPr>
        <w:t>定点医药机构准入申请有关事项</w:t>
      </w:r>
      <w:r>
        <w:rPr>
          <w:rFonts w:hint="eastAsia" w:ascii="宋体" w:hAnsi="宋体" w:eastAsia="宋体" w:cs="宋体"/>
          <w:b/>
          <w:bCs/>
          <w:i w:val="0"/>
          <w:iCs w:val="0"/>
          <w:caps w:val="0"/>
          <w:color w:val="333333"/>
          <w:spacing w:val="-11"/>
          <w:sz w:val="44"/>
          <w:szCs w:val="44"/>
          <w:shd w:val="clear" w:fill="FFFFFF"/>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center"/>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县域内各医药机构：</w:t>
      </w:r>
    </w:p>
    <w:p>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为进一步规范我县医药机构医疗保障协议管理，提高医疗保障基金使用效率，更好地保障广大参保人员权益，</w:t>
      </w:r>
      <w:r>
        <w:rPr>
          <w:rFonts w:hint="eastAsia" w:ascii="仿宋" w:hAnsi="仿宋" w:eastAsia="仿宋" w:cs="仿宋"/>
          <w:sz w:val="32"/>
          <w:szCs w:val="32"/>
          <w:lang w:val="en-US" w:eastAsia="zh-CN"/>
        </w:rPr>
        <w:t>根据湖南省医疗保障局办公室关于印发《湖南省医药机构医疗保障协议管理经办规程（试行）》的通知（</w:t>
      </w:r>
      <w:r>
        <w:rPr>
          <w:rFonts w:hint="eastAsia" w:ascii="华文仿宋" w:hAnsi="华文仿宋" w:eastAsia="华文仿宋" w:cs="华文仿宋"/>
          <w:sz w:val="32"/>
          <w:szCs w:val="32"/>
          <w:lang w:val="en-US" w:eastAsia="zh-CN"/>
        </w:rPr>
        <w:t>湘医保办发</w:t>
      </w:r>
      <w:r>
        <w:rPr>
          <w:rFonts w:hint="eastAsia" w:ascii="华文仿宋" w:hAnsi="华文仿宋" w:eastAsia="华文仿宋" w:cs="华文仿宋"/>
          <w:kern w:val="0"/>
          <w:sz w:val="32"/>
          <w:szCs w:val="32"/>
          <w:lang w:val="en-US" w:eastAsia="zh-CN" w:bidi="ar"/>
        </w:rPr>
        <w:t>〔2025〕</w:t>
      </w:r>
      <w:r>
        <w:rPr>
          <w:rFonts w:hint="eastAsia" w:ascii="华文仿宋" w:hAnsi="华文仿宋" w:eastAsia="华文仿宋" w:cs="华文仿宋"/>
          <w:sz w:val="32"/>
          <w:szCs w:val="32"/>
          <w:lang w:val="en-US" w:eastAsia="zh-CN"/>
        </w:rPr>
        <w:t>3号</w:t>
      </w:r>
      <w:r>
        <w:rPr>
          <w:rFonts w:hint="eastAsia" w:ascii="仿宋" w:hAnsi="仿宋" w:eastAsia="仿宋" w:cs="仿宋"/>
          <w:sz w:val="32"/>
          <w:szCs w:val="32"/>
          <w:lang w:val="en-US" w:eastAsia="zh-CN"/>
        </w:rPr>
        <w:t>）的有关规定，现就进一步规范定点医药机构准入有关事项通知如下：</w:t>
      </w:r>
      <w:bookmarkStart w:id="0" w:name="_GoBack"/>
      <w:bookmarkEnd w:id="0"/>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定点申请</w:t>
      </w:r>
    </w:p>
    <w:p>
      <w:pPr>
        <w:keepNext w:val="0"/>
        <w:keepLines w:val="0"/>
        <w:widowControl/>
        <w:suppressLineNumbers w:val="0"/>
        <w:ind w:firstLine="620" w:firstLineChars="200"/>
        <w:jc w:val="left"/>
        <w:rPr>
          <w:rFonts w:hint="eastAsia" w:ascii="仿宋" w:hAnsi="仿宋" w:eastAsia="仿宋" w:cs="仿宋"/>
          <w:sz w:val="32"/>
          <w:szCs w:val="32"/>
        </w:rPr>
      </w:pPr>
      <w:r>
        <w:rPr>
          <w:rFonts w:ascii="仿宋_GB2312" w:hAnsi="仿宋_GB2312" w:eastAsia="仿宋_GB2312" w:cs="仿宋_GB2312"/>
          <w:color w:val="000000"/>
          <w:kern w:val="0"/>
          <w:sz w:val="31"/>
          <w:szCs w:val="31"/>
          <w:lang w:val="en-US" w:eastAsia="zh-CN" w:bidi="ar"/>
        </w:rPr>
        <w:t>医保经办机构应严格按照统筹地区医疗保障行政部门确定的定点医药机构资源配置规划，拟定年度执行计划，并接受医疗保障行政部门监督。</w:t>
      </w:r>
      <w:r>
        <w:rPr>
          <w:rFonts w:hint="eastAsia" w:ascii="仿宋" w:hAnsi="仿宋" w:eastAsia="仿宋" w:cs="仿宋"/>
          <w:color w:val="000000"/>
          <w:kern w:val="0"/>
          <w:sz w:val="32"/>
          <w:szCs w:val="32"/>
          <w:lang w:val="en-US" w:eastAsia="zh-CN" w:bidi="ar"/>
        </w:rPr>
        <w:t xml:space="preserve">符合规定条件的医疗机构、零售药店，可按规定申请医保定点。具体条件为：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（一）医疗机构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取得医疗机构执业许可证或中医诊所备案证的医疗机构，以及经军队主管部门批准具有为民服务资质的军队医疗机构。主要包括：综合医院、中医医院、中西医结合医院、民族医医院、专科医院、康复医院；专科疾病防治院（所、站）、妇幼保健院；社区卫生服务中心（站）、中心卫生院、乡镇卫生院、街道卫生院、门诊部、诊所、卫生所（站）、村卫生室（所）；独立设置的急救中心；安宁疗护中心、血液透析中心、护理院；养老机构内设的医疗机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2.正式运营至少3个月；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3.至少有1名取得医师执业证书、乡村医生执业证书或中医 （专长）医师资格证书且第一注册地在该医疗机构的医师；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4.主要负责人负责医保工作；配备专（兼）职医保管理人员；100 张床位以上的医疗机构应设内部医保管理部门，安排专职工作人员；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5.具有符合医保协议管理要求的医保管理制度、财务制度、统计信息管理制度、进销存管理制度、医疗质量安全核心制度等，并按规定执行；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具有符合医保协议管理要求的信息系统技术和接口标准，能够实现与医保信息系统有效对接，按要求向医保信息系统实时传送全部就诊人员相关信息，能够为参保人员提供直接联网结算，能够实现医保电子凭证（医保码）、电子处方流转、电子票据、电子病历等落地应用，能够实现医保结算窗口便利性和时效性要求以及具备追溯信息采集条件；设立医保药品、诊疗项目、医疗服务设施、医用耗材、疾病病种等基础数据库，按规定使用国家统一的医保编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7.机构所在地符合年度医疗机构区域配置规划；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8.符合法律法规、规章和省级及以上医疗保障行政部门规定的其他条件。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（二）零售药店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1.取得药品经营许可证；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2.在注册地址正式经营至少3个月；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3.至少有1名执业药师或者依法经过资格认定的其他药学技术人员，且注册地在该零售药店，参保在该药店（连锁药店可参保在公司总部），并签订1年以上劳动合同且在合同期内；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4.至少有2名熟悉医疗保障法律法规和相关制度规定的专（兼）职医保管理人员负责管理医保费用，参保在该药店（连锁药店可参保在公司总部），并签订1年以上劳动合同且在合同期内；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5.按照药品经营质量管理规范要求，开展药品分类分区管理，并对所售药品设立明确的医保用药标识；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6.具有符合医保协议管理要求的医保药品管理制度、财务管理制度、医保人员管理制度、统计信息管理制度和医保费用结算制度，并按规定执行；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具备符合医保协议管理要求的信息系统技术和接口标准，能够实现与医保信息系统有效对接，为参保人员提供直接联网结算，能够实现医保电子凭证（医保码）、电子处方流转、电子票据等落地应用，能够实现医保结算窗口便利性和时效性要求以及具备追溯信息采集条件建立医保药品等基础数据库，按规定使用国家统一医保编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8.机构所在地符合年度零售药店区域配置规划；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9.符合法律法规、规章和省级及以上医疗保障行政部门规定的其他条件。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根据医疗保障定点管理办法和医疗保障经办政务服务事项办事指南相关要求，医药机构申请医保定点需要提供 以下材料：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（一）医疗机构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1.《湖南省新增定点医疗机构申请表》（加盖医疗机构全称的公章）；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2.医疗机构执业许可证或中医诊所备案证或诊所备案凭证或军队医疗机构为民服务许可证照（正、副本）复印件（加盖医疗机构全称的公章）；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3.与医疗保障政策对应的内部管理制度和财务制度文本，主要是医保管理制度、财务制度、统计信息管理制度、进销存管理制度、医疗质量安全核心制度等；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4.与医保有关的医疗机构信息系统相关材料；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5.纳入定点后使用医疗保障基金的预测性分析报告，主要内容包括：基本情况、医疗费用构成、基金支出存在的风险、建议等；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6.省级医疗保障行政部门按相关规定要求提供的其他材料。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（二）零售药店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1.《湖南省新增定点零售药店申请表》（加盖零售药店公章）；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2.《药品经营许可证》《营业执照》（正、副本）复印件和法定代表人、主要负责人或实际控制人身份证复印件（加盖零售药店公章）；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3.执业药师资格证书或药学技术人员相关证书及其劳动合同复印件；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4.医保专（兼）职管理人员的劳动合同复印件；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5.与医疗保障政策对应的内部管理制度和财务制度文本，主要包括医保管理制度、财务制度、统计信息管理制度、进销存管理制度、药械质量安全核心制度等；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6.与医保有关的信息系统相关材料；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7.纳入定点后使用医疗保障基金的预测性分析报告，主要内容包括：基本情况、药品费用构成、基金支出存在的风险、建议等；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8.省级医疗保障行政部门按相关规定要求提供的其他材料。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医药机构存在下列情形之一的，不予受理定点申请：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（一）医疗机构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1.以医疗美容、生活照护等非基本医疗服务为主要执业范围的；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2.基本医疗服务未执行医疗保障行政部门制定的医药价格政策的；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3.未依法履行行政处罚责任的；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4.以弄虚作假等不正当手段申请定点医疗机构资格，自发现之日起未满3年的；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5.因违法违规被解除协议未满3年或已满3年但未完全履行行政处罚责任的；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6.因严重违反医保协议约定而被解除协议未满1年或已满1年但未完全履行违约责任的；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7.法定代表人、主要负责人或实际控制人曾因严重违法违规导致原定点医疗机构解除医保协议，未满5年的；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8.法定代表人、主要负责人或实际控制人被列入失信人名单的；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9.法律法规规定的其他不予受理的情形。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（二）零售药店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1.未依法履行行政处罚责任的；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2.以弄虚作假等不正当手段申请定点，自发现之日起未满3年的；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3.因违法违规被解除医保协议未满3年或已满3年但未完全履行行政处罚法律责任的；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4.因严重违反医保协议约定而被解除医保协议未满1年或已满1年但未完全履行违约责任的；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5.法定代表人、企业负责人或实际控制人曾因严重违法违规导致原定点零售药店被解除医保协议，未满5年的；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6.法定代表人、企业负责人或实际控制人被列入失信人名单的；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7.法律法规规定的其他不予受理的情形。</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医药机构提出定点申请，医保经办机构应按照年度计划及时受理。对申请材料齐全且符合申请条件的，应在规定时间内告知受理结果并出具《湖南省医药机构业务受理回执》。对申请材料内容不全的，医保经办机构自收到材料之日起</w:t>
      </w:r>
      <w:r>
        <w:rPr>
          <w:rFonts w:hint="default" w:ascii="Times New Roman" w:hAnsi="Times New Roman" w:eastAsia="宋体" w:cs="Times New Roman"/>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个工作日内一次性告知医药机构补充材料并出具《湖南省医药机构补充材料通知书》；对不符合申请条件的，医保经办机构自收到材料之日起</w:t>
      </w:r>
      <w:r>
        <w:rPr>
          <w:rFonts w:hint="default" w:ascii="Times New Roman" w:hAnsi="Times New Roman" w:eastAsia="宋体" w:cs="Times New Roman"/>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个工作日内退回申请材料，告知不予受理的理由并出具《湖南省医药机构业务不予受理回执》。</w:t>
      </w:r>
    </w:p>
    <w:p>
      <w:pPr>
        <w:keepNext w:val="0"/>
        <w:keepLines w:val="0"/>
        <w:widowControl/>
        <w:numPr>
          <w:ilvl w:val="0"/>
          <w:numId w:val="1"/>
        </w:numPr>
        <w:suppressLineNumbers w:val="0"/>
        <w:ind w:left="0" w:leftChars="0" w:firstLine="622" w:firstLineChars="20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组织评估</w:t>
      </w:r>
    </w:p>
    <w:p>
      <w:pPr>
        <w:keepNext w:val="0"/>
        <w:keepLines w:val="0"/>
        <w:widowControl/>
        <w:suppressLineNumbers w:val="0"/>
        <w:ind w:firstLine="622"/>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医保经办机构组织人员对医</w:t>
      </w:r>
      <w:r>
        <w:rPr>
          <w:rFonts w:hint="eastAsia" w:ascii="仿宋_GB2312" w:hAnsi="仿宋_GB2312" w:eastAsia="仿宋_GB2312" w:cs="仿宋_GB2312"/>
          <w:color w:val="000000"/>
          <w:kern w:val="0"/>
          <w:sz w:val="31"/>
          <w:szCs w:val="31"/>
          <w:lang w:val="en-US" w:eastAsia="zh-CN" w:bidi="ar"/>
        </w:rPr>
        <w:t>药</w:t>
      </w:r>
      <w:r>
        <w:rPr>
          <w:rFonts w:ascii="仿宋_GB2312" w:hAnsi="仿宋_GB2312" w:eastAsia="仿宋_GB2312" w:cs="仿宋_GB2312"/>
          <w:color w:val="000000"/>
          <w:kern w:val="0"/>
          <w:sz w:val="31"/>
          <w:szCs w:val="31"/>
          <w:lang w:val="en-US" w:eastAsia="zh-CN" w:bidi="ar"/>
        </w:rPr>
        <w:t>机构所申报的材料和信息进行现场考察核实，并对医</w:t>
      </w:r>
      <w:r>
        <w:rPr>
          <w:rFonts w:hint="eastAsia" w:ascii="仿宋_GB2312" w:hAnsi="仿宋_GB2312" w:eastAsia="仿宋_GB2312" w:cs="仿宋_GB2312"/>
          <w:color w:val="000000"/>
          <w:kern w:val="0"/>
          <w:sz w:val="31"/>
          <w:szCs w:val="31"/>
          <w:lang w:val="en-US" w:eastAsia="zh-CN" w:bidi="ar"/>
        </w:rPr>
        <w:t>药</w:t>
      </w:r>
      <w:r>
        <w:rPr>
          <w:rFonts w:ascii="仿宋_GB2312" w:hAnsi="仿宋_GB2312" w:eastAsia="仿宋_GB2312" w:cs="仿宋_GB2312"/>
          <w:color w:val="000000"/>
          <w:kern w:val="0"/>
          <w:sz w:val="31"/>
          <w:szCs w:val="31"/>
          <w:lang w:val="en-US" w:eastAsia="zh-CN" w:bidi="ar"/>
        </w:rPr>
        <w:t>机构的内部管理、信息化建设、医</w:t>
      </w:r>
      <w:r>
        <w:rPr>
          <w:rFonts w:hint="eastAsia" w:ascii="仿宋_GB2312" w:hAnsi="仿宋_GB2312" w:eastAsia="仿宋_GB2312" w:cs="仿宋_GB2312"/>
          <w:color w:val="000000"/>
          <w:kern w:val="0"/>
          <w:sz w:val="31"/>
          <w:szCs w:val="31"/>
          <w:lang w:val="en-US" w:eastAsia="zh-CN" w:bidi="ar"/>
        </w:rPr>
        <w:t>药</w:t>
      </w:r>
      <w:r>
        <w:rPr>
          <w:rFonts w:ascii="仿宋_GB2312" w:hAnsi="仿宋_GB2312" w:eastAsia="仿宋_GB2312" w:cs="仿宋_GB2312"/>
          <w:color w:val="000000"/>
          <w:kern w:val="0"/>
          <w:sz w:val="31"/>
          <w:szCs w:val="31"/>
          <w:lang w:val="en-US" w:eastAsia="zh-CN" w:bidi="ar"/>
        </w:rPr>
        <w:t>服务能力等情况是否符合医保管理要求进行现场评估；具体评估标准参照《湖南省新增定点医疗机构综合评估表》、《湖南省新增定点零售药店综合评估表》。</w:t>
      </w:r>
    </w:p>
    <w:p>
      <w:pPr>
        <w:keepNext w:val="0"/>
        <w:keepLines w:val="0"/>
        <w:widowControl/>
        <w:suppressLineNumbers w:val="0"/>
        <w:ind w:firstLine="622"/>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评估过程中发现医疗机构采取虚构、篡改等不正当手段报送申请材料的，经办机构应当留存证据，</w:t>
      </w:r>
      <w:r>
        <w:rPr>
          <w:rFonts w:hint="default"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年内不再受理该医疗机构的定点申请。</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医保经办机构应对评估结果建立集体决策机制，并将评估结果报同级医疗保障行政部门备案。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评估结果分为合格和不合格。对于评估合格的，医保经办机构应向社会公示拟签订医保协议的定点医药机构名单，公示期为</w:t>
      </w:r>
      <w:r>
        <w:rPr>
          <w:rFonts w:hint="default" w:ascii="Times New Roman" w:hAnsi="Times New Roman" w:eastAsia="宋体" w:cs="Times New Roman"/>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个工作日。公示期间接到相关投诉举报的，医保经办机构需调查核实，情况属实且不符合定点条件的，不得签订医保协议；经核查不影响评估结果的，可签订医保协议。</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对于评估不合格的，应当告知其理由，提出整改建议，出具《湖南省新增定点医药机构评估结果告知书》。自结果告知送达之日起，整改</w:t>
      </w:r>
      <w:r>
        <w:rPr>
          <w:rFonts w:hint="default"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个月后可再次申请并组织评估，评估仍不合格的，</w:t>
      </w: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 xml:space="preserve">年内不得再次申请。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自受理申请材料之日起，评估时间不超过</w:t>
      </w:r>
      <w:r>
        <w:rPr>
          <w:rFonts w:hint="default"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个月，医药机构补充材料时间不计入评估期限。</w:t>
      </w:r>
    </w:p>
    <w:p>
      <w:pPr>
        <w:keepNext w:val="0"/>
        <w:keepLines w:val="0"/>
        <w:widowControl/>
        <w:numPr>
          <w:ilvl w:val="0"/>
          <w:numId w:val="1"/>
        </w:numPr>
        <w:suppressLineNumbers w:val="0"/>
        <w:ind w:left="0" w:leftChars="0" w:firstLine="622" w:firstLineChars="200"/>
        <w:jc w:val="lef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协议签订</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医保经办机构与评估合格且公示通过的医药机构协商谈判，达成一致的，双方自愿签订医保协议。医保协议生效后，定点医药机构应在显著位置悬挂统一样式的定点医药机构标识</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签订医保协议后，定点医药机构应及时在国家医保信息业务编码标准数据库按照要求填报本机构基础信息以及实施医保支付资格管理的相关人员信息，取得定点医药机构和相关资质人员的医保代码。自医保协议生效之日起，医保经办机构应为定点医药机构开通医保信息平台权限，开展医保基金结算 </w:t>
      </w: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业务等。</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_GB2312" w:hAnsi="仿宋_GB2312" w:eastAsia="仿宋_GB2312" w:cs="仿宋_GB2312"/>
          <w:color w:val="000000"/>
          <w:kern w:val="0"/>
          <w:sz w:val="31"/>
          <w:szCs w:val="31"/>
          <w:lang w:val="en-US" w:eastAsia="zh-CN" w:bidi="ar"/>
        </w:rPr>
        <w:t>附件：医药机构申请定点协议管理流程图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新晃侗族自治县医疗保障事务中心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2025年3月10日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drawing>
          <wp:anchor distT="0" distB="0" distL="114300" distR="114300" simplePos="0" relativeHeight="251660288" behindDoc="0" locked="0" layoutInCell="1" allowOverlap="1">
            <wp:simplePos x="0" y="0"/>
            <wp:positionH relativeFrom="column">
              <wp:posOffset>6350</wp:posOffset>
            </wp:positionH>
            <wp:positionV relativeFrom="paragraph">
              <wp:posOffset>271780</wp:posOffset>
            </wp:positionV>
            <wp:extent cx="5273675" cy="6930390"/>
            <wp:effectExtent l="0" t="0" r="9525" b="3810"/>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
                    <a:stretch>
                      <a:fillRect/>
                    </a:stretch>
                  </pic:blipFill>
                  <pic:spPr>
                    <a:xfrm>
                      <a:off x="0" y="0"/>
                      <a:ext cx="5273675" cy="693039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drawing>
          <wp:anchor distT="0" distB="0" distL="114300" distR="114300" simplePos="0" relativeHeight="251659264" behindDoc="0" locked="0" layoutInCell="1" allowOverlap="1">
            <wp:simplePos x="0" y="0"/>
            <wp:positionH relativeFrom="column">
              <wp:posOffset>-6350</wp:posOffset>
            </wp:positionH>
            <wp:positionV relativeFrom="paragraph">
              <wp:posOffset>195580</wp:posOffset>
            </wp:positionV>
            <wp:extent cx="5270500" cy="7423150"/>
            <wp:effectExtent l="0" t="0" r="0" b="6350"/>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0500" cy="742315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超粗黑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CESI小标宋-GB13000">
    <w:panose1 w:val="02000500000000000000"/>
    <w:charset w:val="86"/>
    <w:family w:val="auto"/>
    <w:pitch w:val="default"/>
    <w:sig w:usb0="800002BF" w:usb1="18CF7CF8"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方正魏碑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C25"/>
    <w:multiLevelType w:val="singleLevel"/>
    <w:tmpl w:val="81512C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32C1E"/>
    <w:rsid w:val="01C40DDD"/>
    <w:rsid w:val="038A395D"/>
    <w:rsid w:val="077A1F3E"/>
    <w:rsid w:val="08F059AA"/>
    <w:rsid w:val="0A4800D1"/>
    <w:rsid w:val="0D246BD4"/>
    <w:rsid w:val="126A39B1"/>
    <w:rsid w:val="13187189"/>
    <w:rsid w:val="15634011"/>
    <w:rsid w:val="19F33BB6"/>
    <w:rsid w:val="1A4A0650"/>
    <w:rsid w:val="1E432C32"/>
    <w:rsid w:val="1E8E20FF"/>
    <w:rsid w:val="20A21E92"/>
    <w:rsid w:val="219B72B6"/>
    <w:rsid w:val="230E78C0"/>
    <w:rsid w:val="274E1155"/>
    <w:rsid w:val="29233D8C"/>
    <w:rsid w:val="294855A0"/>
    <w:rsid w:val="2A1C0F07"/>
    <w:rsid w:val="2CB05936"/>
    <w:rsid w:val="2D88240F"/>
    <w:rsid w:val="2F090C2A"/>
    <w:rsid w:val="30EE2ED1"/>
    <w:rsid w:val="31290F5B"/>
    <w:rsid w:val="331A61FF"/>
    <w:rsid w:val="33C00B55"/>
    <w:rsid w:val="34F211E2"/>
    <w:rsid w:val="37313B18"/>
    <w:rsid w:val="37F555DB"/>
    <w:rsid w:val="3B820DE6"/>
    <w:rsid w:val="3E35213F"/>
    <w:rsid w:val="404D489C"/>
    <w:rsid w:val="42432C1E"/>
    <w:rsid w:val="42701998"/>
    <w:rsid w:val="446077EA"/>
    <w:rsid w:val="45102FBE"/>
    <w:rsid w:val="47E9475F"/>
    <w:rsid w:val="49282FCC"/>
    <w:rsid w:val="49CB1BAA"/>
    <w:rsid w:val="4A3D4856"/>
    <w:rsid w:val="4C8E75EA"/>
    <w:rsid w:val="4CB968F9"/>
    <w:rsid w:val="501778F7"/>
    <w:rsid w:val="50C03AEB"/>
    <w:rsid w:val="521D4F6D"/>
    <w:rsid w:val="54921C42"/>
    <w:rsid w:val="63DE65F4"/>
    <w:rsid w:val="63E91153"/>
    <w:rsid w:val="63FFAAAE"/>
    <w:rsid w:val="69B33D95"/>
    <w:rsid w:val="6AE5459F"/>
    <w:rsid w:val="6F305E87"/>
    <w:rsid w:val="741915E0"/>
    <w:rsid w:val="759203DF"/>
    <w:rsid w:val="764F0F26"/>
    <w:rsid w:val="76F501C0"/>
    <w:rsid w:val="78915BE9"/>
    <w:rsid w:val="7908577F"/>
    <w:rsid w:val="7CC8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link w:val="6"/>
    <w:qFormat/>
    <w:uiPriority w:val="0"/>
    <w:rPr>
      <w:rFonts w:ascii="Arial" w:hAnsi="Arial" w:eastAsia="仿宋" w:cs="Arial"/>
      <w:snapToGrid w:val="0"/>
      <w:color w:val="000000"/>
      <w:kern w:val="0"/>
      <w:sz w:val="32"/>
      <w:szCs w:val="21"/>
      <w:lang w:eastAsia="en-US"/>
    </w:rPr>
  </w:style>
  <w:style w:type="character" w:customStyle="1" w:styleId="6">
    <w:name w:val="目录 1 Char"/>
    <w:link w:val="3"/>
    <w:qFormat/>
    <w:uiPriority w:val="0"/>
    <w:rPr>
      <w:rFonts w:ascii="Arial" w:hAnsi="Arial" w:eastAsia="仿宋" w:cs="Arial"/>
      <w:snapToGrid w:val="0"/>
      <w:color w:val="000000"/>
      <w:kern w:val="0"/>
      <w:sz w:val="32"/>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3547</Words>
  <Characters>3603</Characters>
  <Lines>0</Lines>
  <Paragraphs>0</Paragraphs>
  <TotalTime>22</TotalTime>
  <ScaleCrop>false</ScaleCrop>
  <LinksUpToDate>false</LinksUpToDate>
  <CharactersWithSpaces>3690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2025-09-10T09:55:00Z</dcterms:created>
  <dc:creator>w</dc:creator>
  <cp:lastModifiedBy>XH</cp:lastModifiedBy>
  <dcterms:modified xsi:type="dcterms:W3CDTF">2025-09-22T09:27:19Z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FAD7E3BB81944465917FE104AA9B9F83_11</vt:lpwstr>
  </property>
  <property fmtid="{D5CDD505-2E9C-101B-9397-08002B2CF9AE}" pid="4" name="KSOTemplateDocerSaveRecord">
    <vt:lpwstr>eyJoZGlkIjoiMTU5MDYxMDk1MmQ2MTFjMGExYmJmZDU3NWJiYTdjMGUiLCJ1c2VySWQiOiIxMjg1MjA4MzQ4In0=</vt:lpwstr>
  </property>
</Properties>
</file>