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4E80B">
      <w:pPr>
        <w:spacing w:before="100" w:beforeAutospacing="1" w:after="100" w:afterAutospacing="1" w:line="240" w:lineRule="exact"/>
        <w:jc w:val="left"/>
        <w:rPr>
          <w:rFonts w:hint="eastAsia" w:ascii="仿宋_GB2312" w:hAnsi="仿宋_GB2312" w:eastAsia="仿宋_GB2312" w:cs="仿宋_GB2312"/>
          <w:sz w:val="24"/>
        </w:rPr>
      </w:pPr>
      <w:r>
        <w:rPr>
          <w:rFonts w:hint="eastAsia" w:ascii="仿宋_GB2312" w:hAnsi="仿宋_GB2312" w:eastAsia="仿宋_GB2312" w:cs="仿宋_GB2312"/>
          <w:b/>
          <w:sz w:val="24"/>
        </w:rPr>
        <w:t>附件2-1</w:t>
      </w:r>
    </w:p>
    <w:p w14:paraId="1FE9434A">
      <w:pPr>
        <w:spacing w:line="480" w:lineRule="exact"/>
        <w:jc w:val="center"/>
        <w:rPr>
          <w:rFonts w:ascii="宋体" w:hAnsi="宋体"/>
          <w:b/>
          <w:w w:val="85"/>
          <w:sz w:val="36"/>
          <w:szCs w:val="36"/>
        </w:rPr>
      </w:pPr>
      <w:r>
        <w:rPr>
          <w:rFonts w:hint="eastAsia" w:ascii="宋体" w:hAnsi="宋体"/>
          <w:b/>
          <w:w w:val="85"/>
          <w:sz w:val="36"/>
          <w:szCs w:val="36"/>
          <w:lang w:eastAsia="zh-CN"/>
        </w:rPr>
        <w:t>202</w:t>
      </w:r>
      <w:r>
        <w:rPr>
          <w:rFonts w:hint="eastAsia" w:ascii="宋体" w:hAnsi="宋体"/>
          <w:b/>
          <w:w w:val="85"/>
          <w:sz w:val="36"/>
          <w:szCs w:val="36"/>
          <w:lang w:val="en-US" w:eastAsia="zh-CN"/>
        </w:rPr>
        <w:t>4</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3B18FF2C">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1AAD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2FE97DA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1A327ED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43A5A8FA">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县医疗保障局</w:t>
            </w:r>
          </w:p>
        </w:tc>
        <w:tc>
          <w:tcPr>
            <w:tcW w:w="1628" w:type="dxa"/>
            <w:noWrap w:val="0"/>
            <w:tcMar>
              <w:top w:w="0" w:type="dxa"/>
              <w:left w:w="105" w:type="dxa"/>
              <w:bottom w:w="0" w:type="dxa"/>
              <w:right w:w="105" w:type="dxa"/>
            </w:tcMar>
            <w:vAlign w:val="center"/>
          </w:tcPr>
          <w:p w14:paraId="59C9EE1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22567DA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 xml:space="preserve">  城乡医疗救助（上级资金）</w:t>
            </w:r>
          </w:p>
        </w:tc>
      </w:tr>
      <w:tr w14:paraId="690E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1219593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7544B50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74DFEE12">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县医疗保障事务中心</w:t>
            </w:r>
          </w:p>
        </w:tc>
        <w:tc>
          <w:tcPr>
            <w:tcW w:w="1628" w:type="dxa"/>
            <w:noWrap w:val="0"/>
            <w:tcMar>
              <w:top w:w="0" w:type="dxa"/>
              <w:left w:w="105" w:type="dxa"/>
              <w:bottom w:w="0" w:type="dxa"/>
              <w:right w:w="105" w:type="dxa"/>
            </w:tcMar>
            <w:vAlign w:val="center"/>
          </w:tcPr>
          <w:p w14:paraId="35D6FDF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56D2D78C">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李振东</w:t>
            </w:r>
          </w:p>
        </w:tc>
        <w:tc>
          <w:tcPr>
            <w:tcW w:w="1206" w:type="dxa"/>
            <w:noWrap w:val="0"/>
            <w:tcMar>
              <w:top w:w="0" w:type="dxa"/>
              <w:left w:w="105" w:type="dxa"/>
              <w:bottom w:w="0" w:type="dxa"/>
              <w:right w:w="105" w:type="dxa"/>
            </w:tcMar>
            <w:vAlign w:val="center"/>
          </w:tcPr>
          <w:p w14:paraId="7900169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29B0608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6230996</w:t>
            </w:r>
          </w:p>
        </w:tc>
      </w:tr>
      <w:tr w14:paraId="695E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7E9D0BD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763ED58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429F8DC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13B49F1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7A6E87B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1DAF360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77FA66E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39D6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5E2FFCAF">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1655B69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1800" w:type="dxa"/>
            <w:noWrap w:val="0"/>
            <w:tcMar>
              <w:top w:w="0" w:type="dxa"/>
              <w:left w:w="105" w:type="dxa"/>
              <w:bottom w:w="0" w:type="dxa"/>
              <w:right w:w="105" w:type="dxa"/>
            </w:tcMar>
            <w:vAlign w:val="center"/>
          </w:tcPr>
          <w:p w14:paraId="6E976B94">
            <w:pPr>
              <w:spacing w:line="320" w:lineRule="exact"/>
              <w:jc w:val="center"/>
              <w:rPr>
                <w:rFonts w:hint="default" w:ascii="仿宋_GB2312" w:hAnsi="仿宋_GB2312" w:eastAsia="仿宋_GB2312" w:cs="仿宋_GB2312"/>
                <w:color w:val="0000FF"/>
                <w:szCs w:val="21"/>
                <w:lang w:val="en-US" w:eastAsia="zh-CN"/>
              </w:rPr>
            </w:pPr>
            <w:r>
              <w:rPr>
                <w:rFonts w:hint="eastAsia" w:ascii="仿宋_GB2312" w:hAnsi="仿宋_GB2312" w:eastAsia="仿宋_GB2312" w:cs="仿宋_GB2312"/>
                <w:color w:val="auto"/>
                <w:szCs w:val="21"/>
                <w:lang w:val="en-US" w:eastAsia="zh-CN"/>
              </w:rPr>
              <w:t>897.63</w:t>
            </w:r>
          </w:p>
        </w:tc>
        <w:tc>
          <w:tcPr>
            <w:tcW w:w="1628" w:type="dxa"/>
            <w:noWrap w:val="0"/>
            <w:tcMar>
              <w:top w:w="0" w:type="dxa"/>
              <w:left w:w="105" w:type="dxa"/>
              <w:bottom w:w="0" w:type="dxa"/>
              <w:right w:w="105" w:type="dxa"/>
            </w:tcMar>
            <w:vAlign w:val="center"/>
          </w:tcPr>
          <w:p w14:paraId="590CDC92">
            <w:pPr>
              <w:spacing w:line="320" w:lineRule="exact"/>
              <w:jc w:val="center"/>
              <w:rPr>
                <w:rFonts w:hint="eastAsia" w:ascii="仿宋_GB2312" w:hAnsi="仿宋_GB2312" w:eastAsia="仿宋_GB2312" w:cs="仿宋_GB2312"/>
                <w:color w:val="0000FF"/>
                <w:szCs w:val="21"/>
              </w:rPr>
            </w:pPr>
            <w:r>
              <w:rPr>
                <w:rFonts w:hint="eastAsia" w:ascii="仿宋_GB2312" w:hAnsi="仿宋_GB2312" w:eastAsia="仿宋_GB2312" w:cs="仿宋_GB2312"/>
                <w:color w:val="000000" w:themeColor="text1"/>
                <w:szCs w:val="21"/>
                <w:lang w:val="en-US" w:eastAsia="zh-CN"/>
                <w14:textFill>
                  <w14:solidFill>
                    <w14:schemeClr w14:val="tx1"/>
                  </w14:solidFill>
                </w14:textFill>
              </w:rPr>
              <w:t>893.72</w:t>
            </w:r>
          </w:p>
        </w:tc>
        <w:tc>
          <w:tcPr>
            <w:tcW w:w="2303" w:type="dxa"/>
            <w:gridSpan w:val="2"/>
            <w:noWrap w:val="0"/>
            <w:tcMar>
              <w:top w:w="0" w:type="dxa"/>
              <w:left w:w="105" w:type="dxa"/>
              <w:bottom w:w="0" w:type="dxa"/>
              <w:right w:w="105" w:type="dxa"/>
            </w:tcMar>
            <w:vAlign w:val="center"/>
          </w:tcPr>
          <w:p w14:paraId="3FC39BDD">
            <w:pPr>
              <w:spacing w:line="320" w:lineRule="exact"/>
              <w:jc w:val="both"/>
              <w:rPr>
                <w:rFonts w:hint="default" w:ascii="仿宋_GB2312" w:hAnsi="仿宋_GB2312" w:eastAsia="仿宋_GB2312" w:cs="仿宋_GB2312"/>
                <w:color w:val="0000FF"/>
                <w:szCs w:val="21"/>
                <w:lang w:val="en-US" w:eastAsia="zh-CN"/>
              </w:rPr>
            </w:pPr>
            <w:r>
              <w:rPr>
                <w:rFonts w:hint="eastAsia" w:ascii="仿宋_GB2312" w:hAnsi="仿宋_GB2312" w:eastAsia="仿宋_GB2312" w:cs="仿宋_GB2312"/>
                <w:color w:val="000000" w:themeColor="text1"/>
                <w:szCs w:val="21"/>
                <w:lang w:val="en-US" w:eastAsia="zh-CN"/>
                <w14:textFill>
                  <w14:solidFill>
                    <w14:schemeClr w14:val="tx1"/>
                  </w14:solidFill>
                </w14:textFill>
              </w:rPr>
              <w:t>893.72</w:t>
            </w:r>
          </w:p>
        </w:tc>
        <w:tc>
          <w:tcPr>
            <w:tcW w:w="1702" w:type="dxa"/>
            <w:gridSpan w:val="2"/>
            <w:noWrap w:val="0"/>
            <w:tcMar>
              <w:top w:w="0" w:type="dxa"/>
              <w:left w:w="105" w:type="dxa"/>
              <w:bottom w:w="0" w:type="dxa"/>
              <w:right w:w="105" w:type="dxa"/>
            </w:tcMar>
            <w:vAlign w:val="center"/>
          </w:tcPr>
          <w:p w14:paraId="61F0389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14:paraId="097B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545C2D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070898BA">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190ADB7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7EF98C5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3126A72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790C2DE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4904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596870C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5208847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913B8C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决策符合预算绩效管理要求和资金管理办法，体现了预算绩效管理要求，符合《国家医疗保障局关于全面实施预算绩效管理的意见》，符合《中央财政城城乡医疗救助补助资金管理办法》。新晃县财政局、医疗保障局在城乡居民医疗救助补助资金分配过程中，决策程序合规完整，按规定履行报批程序，审批文件和手续齐全。下达预算指标的同时明确绩效目标。资金分配决策过程严谨规范。</w:t>
            </w:r>
          </w:p>
        </w:tc>
        <w:tc>
          <w:tcPr>
            <w:tcW w:w="832" w:type="dxa"/>
            <w:noWrap w:val="0"/>
            <w:tcMar>
              <w:top w:w="0" w:type="dxa"/>
              <w:left w:w="105" w:type="dxa"/>
              <w:bottom w:w="0" w:type="dxa"/>
              <w:right w:w="105" w:type="dxa"/>
            </w:tcMar>
            <w:vAlign w:val="center"/>
          </w:tcPr>
          <w:p w14:paraId="3E6AB1E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2EA5610">
            <w:pPr>
              <w:spacing w:line="320" w:lineRule="exact"/>
              <w:jc w:val="center"/>
              <w:rPr>
                <w:rFonts w:hint="eastAsia" w:ascii="仿宋_GB2312" w:hAnsi="仿宋_GB2312" w:eastAsia="仿宋_GB2312" w:cs="仿宋_GB2312"/>
                <w:szCs w:val="21"/>
              </w:rPr>
            </w:pPr>
          </w:p>
        </w:tc>
      </w:tr>
      <w:tr w14:paraId="6A1A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5F63507B">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79DE071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279DE339">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3EEF189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F4A179D">
            <w:pPr>
              <w:spacing w:line="320" w:lineRule="exact"/>
              <w:jc w:val="center"/>
              <w:rPr>
                <w:rFonts w:hint="eastAsia" w:ascii="仿宋_GB2312" w:hAnsi="仿宋_GB2312" w:eastAsia="仿宋_GB2312" w:cs="仿宋_GB2312"/>
                <w:szCs w:val="21"/>
              </w:rPr>
            </w:pPr>
          </w:p>
        </w:tc>
      </w:tr>
      <w:tr w14:paraId="588F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44B19D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5BC3FF4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12F6FE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《中央财政城乡居民医疗救助补助资金管理办法》明确规定，统筹地区医保财政专户专账核算、专款专用。</w:t>
            </w:r>
          </w:p>
        </w:tc>
        <w:tc>
          <w:tcPr>
            <w:tcW w:w="832" w:type="dxa"/>
            <w:noWrap w:val="0"/>
            <w:tcMar>
              <w:top w:w="0" w:type="dxa"/>
              <w:left w:w="105" w:type="dxa"/>
              <w:bottom w:w="0" w:type="dxa"/>
              <w:right w:w="105" w:type="dxa"/>
            </w:tcMar>
            <w:vAlign w:val="center"/>
          </w:tcPr>
          <w:p w14:paraId="01BC7D1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A9BBC46">
            <w:pPr>
              <w:spacing w:line="320" w:lineRule="exact"/>
              <w:jc w:val="center"/>
              <w:rPr>
                <w:rFonts w:hint="eastAsia" w:ascii="仿宋_GB2312" w:hAnsi="仿宋_GB2312" w:eastAsia="仿宋_GB2312" w:cs="仿宋_GB2312"/>
                <w:szCs w:val="21"/>
              </w:rPr>
            </w:pPr>
          </w:p>
        </w:tc>
      </w:tr>
      <w:tr w14:paraId="0743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5AE2D0D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7D161E1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63B2C21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155E259">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新晃县严格落实这一要求，城乡居民医疗救助补助资金专户存储，单独核算。专户支出符合《中央财政城乡居民医疗救助补助资金管理办法》及相关基金管理办法。</w:t>
            </w:r>
          </w:p>
        </w:tc>
        <w:tc>
          <w:tcPr>
            <w:tcW w:w="832" w:type="dxa"/>
            <w:noWrap w:val="0"/>
            <w:tcMar>
              <w:top w:w="0" w:type="dxa"/>
              <w:left w:w="105" w:type="dxa"/>
              <w:bottom w:w="0" w:type="dxa"/>
              <w:right w:w="105" w:type="dxa"/>
            </w:tcMar>
            <w:vAlign w:val="center"/>
          </w:tcPr>
          <w:p w14:paraId="6B29E84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E16D10D">
            <w:pPr>
              <w:spacing w:line="320" w:lineRule="exact"/>
              <w:jc w:val="center"/>
              <w:rPr>
                <w:rFonts w:hint="eastAsia" w:ascii="仿宋_GB2312" w:hAnsi="仿宋_GB2312" w:eastAsia="仿宋_GB2312" w:cs="仿宋_GB2312"/>
                <w:szCs w:val="21"/>
              </w:rPr>
            </w:pPr>
          </w:p>
        </w:tc>
      </w:tr>
      <w:tr w14:paraId="373B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14:paraId="0028181B">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14:paraId="51F5E44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14:paraId="530EF21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本年度医疗救助渠道资助参保的低保对象、特困人员、防止返贫监测对象人数</w:t>
            </w:r>
            <w:r>
              <w:rPr>
                <w:rFonts w:hint="eastAsia" w:ascii="仿宋_GB2312" w:hAnsi="仿宋_GB2312" w:eastAsia="仿宋_GB2312" w:cs="仿宋_GB2312"/>
                <w:szCs w:val="21"/>
                <w:lang w:val="en-US" w:eastAsia="zh-CN"/>
              </w:rPr>
              <w:t>16266</w:t>
            </w:r>
            <w:r>
              <w:rPr>
                <w:rFonts w:hint="eastAsia" w:ascii="仿宋_GB2312" w:hAnsi="仿宋_GB2312" w:eastAsia="仿宋_GB2312" w:cs="仿宋_GB2312"/>
                <w:szCs w:val="21"/>
              </w:rPr>
              <w:t>人；本年度医疗救助门诊和住院救助人次数</w:t>
            </w:r>
            <w:r>
              <w:rPr>
                <w:rFonts w:hint="eastAsia" w:ascii="仿宋_GB2312" w:hAnsi="仿宋_GB2312" w:eastAsia="仿宋_GB2312" w:cs="仿宋_GB2312"/>
                <w:szCs w:val="21"/>
                <w:lang w:val="en-US" w:eastAsia="zh-CN"/>
              </w:rPr>
              <w:t>19972</w:t>
            </w:r>
            <w:r>
              <w:rPr>
                <w:rFonts w:hint="eastAsia" w:ascii="仿宋_GB2312" w:hAnsi="仿宋_GB2312" w:eastAsia="仿宋_GB2312" w:cs="仿宋_GB2312"/>
                <w:szCs w:val="21"/>
              </w:rPr>
              <w:t>人次；本年度符合资助参保条件的农村低收入人口参保率100%。本年度纳入监测的农村低收入人口获得医疗救助人数</w:t>
            </w:r>
            <w:r>
              <w:rPr>
                <w:rFonts w:hint="eastAsia" w:ascii="仿宋_GB2312" w:hAnsi="仿宋_GB2312" w:eastAsia="仿宋_GB2312" w:cs="仿宋_GB2312"/>
                <w:szCs w:val="21"/>
                <w:lang w:val="en-US" w:eastAsia="zh-CN"/>
              </w:rPr>
              <w:t>1098</w:t>
            </w:r>
            <w:r>
              <w:rPr>
                <w:rFonts w:hint="eastAsia" w:ascii="仿宋_GB2312" w:hAnsi="仿宋_GB2312" w:eastAsia="仿宋_GB2312" w:cs="仿宋_GB2312"/>
                <w:szCs w:val="21"/>
              </w:rPr>
              <w:t>人。  重点救助对象政策范围内住院自付费用年度限额内救助比例不低于70%。</w:t>
            </w:r>
          </w:p>
        </w:tc>
        <w:tc>
          <w:tcPr>
            <w:tcW w:w="832" w:type="dxa"/>
            <w:noWrap w:val="0"/>
            <w:tcMar>
              <w:top w:w="0" w:type="dxa"/>
              <w:left w:w="105" w:type="dxa"/>
              <w:bottom w:w="0" w:type="dxa"/>
              <w:right w:w="105" w:type="dxa"/>
            </w:tcMar>
            <w:vAlign w:val="center"/>
          </w:tcPr>
          <w:p w14:paraId="293A678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14:paraId="2689AC62">
            <w:pPr>
              <w:spacing w:line="320" w:lineRule="exact"/>
              <w:jc w:val="center"/>
              <w:rPr>
                <w:rFonts w:hint="eastAsia" w:ascii="仿宋_GB2312" w:hAnsi="仿宋_GB2312" w:eastAsia="仿宋_GB2312" w:cs="仿宋_GB2312"/>
                <w:szCs w:val="21"/>
              </w:rPr>
            </w:pPr>
          </w:p>
        </w:tc>
      </w:tr>
      <w:tr w14:paraId="41D9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1DCCA58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084F51D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1D06CD24">
            <w:pPr>
              <w:spacing w:line="30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符合资助条件的农村低收入人口资助参保政策覆盖率100%。实施医疗救助对象信息动态管理，健全因病致贫和因病返贫双预警机制。细化完善救助服务事项清单，出台医疗救助经办管理服务规程。市域内一站式即时结算覆盖地区11个县市区，202</w:t>
            </w:r>
            <w:r>
              <w:rPr>
                <w:rFonts w:hint="eastAsia" w:ascii="仿宋_GB2312" w:hAnsi="仿宋_GB2312" w:eastAsia="仿宋_GB2312" w:cs="仿宋_GB2312"/>
                <w:szCs w:val="21"/>
                <w:lang w:val="en-US" w:eastAsia="zh-CN"/>
              </w:rPr>
              <w:t>4</w:t>
            </w:r>
            <w:r>
              <w:rPr>
                <w:rFonts w:hint="eastAsia" w:ascii="仿宋_GB2312" w:hAnsi="仿宋_GB2312" w:eastAsia="仿宋_GB2312" w:cs="仿宋_GB2312"/>
                <w:szCs w:val="21"/>
              </w:rPr>
              <w:t>年市内跨县区一站式结算的医疗机构4</w:t>
            </w: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家低保边缘及因病致贫重病患者标准明确，医疗救助对象覆盖一类，二类，三类对象</w:t>
            </w:r>
            <w:r>
              <w:rPr>
                <w:rFonts w:hint="eastAsia" w:ascii="仿宋_GB2312" w:hAnsi="仿宋_GB2312" w:eastAsia="仿宋_GB2312" w:cs="仿宋_GB2312"/>
                <w:szCs w:val="21"/>
                <w:lang w:val="en-US" w:eastAsia="zh-CN"/>
              </w:rPr>
              <w:t>36238</w:t>
            </w:r>
            <w:r>
              <w:rPr>
                <w:rFonts w:hint="eastAsia" w:ascii="仿宋_GB2312" w:hAnsi="仿宋_GB2312" w:eastAsia="仿宋_GB2312" w:cs="仿宋_GB2312"/>
                <w:szCs w:val="21"/>
              </w:rPr>
              <w:t>人。1.定点医疗机构实施一站式结算；2.2023年新晃县一站式结算覆盖定点医疗机构</w:t>
            </w:r>
            <w:r>
              <w:rPr>
                <w:rFonts w:hint="eastAsia" w:ascii="仿宋_GB2312" w:hAnsi="仿宋_GB2312" w:eastAsia="仿宋_GB2312" w:cs="仿宋_GB2312"/>
                <w:szCs w:val="21"/>
                <w:lang w:val="en-US" w:eastAsia="zh-CN"/>
              </w:rPr>
              <w:t>41</w:t>
            </w:r>
            <w:r>
              <w:rPr>
                <w:rFonts w:hint="eastAsia" w:ascii="仿宋_GB2312" w:hAnsi="仿宋_GB2312" w:eastAsia="仿宋_GB2312" w:cs="仿宋_GB2312"/>
                <w:szCs w:val="21"/>
              </w:rPr>
              <w:t>家，协议零售药店</w:t>
            </w:r>
            <w:r>
              <w:rPr>
                <w:rFonts w:hint="eastAsia" w:ascii="仿宋_GB2312" w:hAnsi="仿宋_GB2312" w:eastAsia="仿宋_GB2312" w:cs="仿宋_GB2312"/>
                <w:szCs w:val="21"/>
                <w:lang w:val="en-US" w:eastAsia="zh-CN"/>
              </w:rPr>
              <w:t>48</w:t>
            </w:r>
            <w:r>
              <w:rPr>
                <w:rFonts w:hint="eastAsia" w:ascii="仿宋_GB2312" w:hAnsi="仿宋_GB2312" w:eastAsia="仿宋_GB2312" w:cs="仿宋_GB2312"/>
                <w:szCs w:val="21"/>
              </w:rPr>
              <w:t>家</w:t>
            </w:r>
            <w:r>
              <w:rPr>
                <w:rFonts w:hint="eastAsia" w:ascii="仿宋_GB2312" w:hAnsi="仿宋_GB2312" w:eastAsia="仿宋_GB2312" w:cs="仿宋_GB2312"/>
                <w:szCs w:val="21"/>
                <w:lang w:eastAsia="zh-CN"/>
              </w:rPr>
              <w:t>，1.困难群众就医负担有效减轻，未发生冲击社会道德底线事件 ；2.全额资助</w:t>
            </w:r>
            <w:r>
              <w:rPr>
                <w:rFonts w:hint="eastAsia" w:ascii="仿宋_GB2312" w:hAnsi="仿宋_GB2312" w:eastAsia="仿宋_GB2312" w:cs="仿宋_GB2312"/>
                <w:szCs w:val="21"/>
                <w:lang w:val="en-US" w:eastAsia="zh-CN"/>
              </w:rPr>
              <w:t>6002</w:t>
            </w:r>
            <w:r>
              <w:rPr>
                <w:rFonts w:hint="eastAsia" w:ascii="仿宋_GB2312" w:hAnsi="仿宋_GB2312" w:eastAsia="仿宋_GB2312" w:cs="仿宋_GB2312"/>
                <w:szCs w:val="21"/>
                <w:lang w:eastAsia="zh-CN"/>
              </w:rPr>
              <w:t>人，对</w:t>
            </w:r>
            <w:r>
              <w:rPr>
                <w:rFonts w:hint="eastAsia" w:ascii="仿宋_GB2312" w:hAnsi="仿宋_GB2312" w:eastAsia="仿宋_GB2312" w:cs="仿宋_GB2312"/>
                <w:szCs w:val="21"/>
                <w:lang w:val="en-US" w:eastAsia="zh-CN"/>
              </w:rPr>
              <w:t>10264</w:t>
            </w:r>
            <w:r>
              <w:rPr>
                <w:rFonts w:hint="eastAsia" w:ascii="仿宋_GB2312" w:hAnsi="仿宋_GB2312" w:eastAsia="仿宋_GB2312" w:cs="仿宋_GB2312"/>
                <w:szCs w:val="21"/>
                <w:lang w:eastAsia="zh-CN"/>
              </w:rPr>
              <w:t>人进行50%资助。医疗救助与其他社会救</w:t>
            </w:r>
            <w:bookmarkStart w:id="0" w:name="_GoBack"/>
            <w:bookmarkEnd w:id="0"/>
            <w:r>
              <w:rPr>
                <w:rFonts w:hint="eastAsia" w:ascii="仿宋_GB2312" w:hAnsi="仿宋_GB2312" w:eastAsia="仿宋_GB2312" w:cs="仿宋_GB2312"/>
                <w:szCs w:val="21"/>
                <w:lang w:eastAsia="zh-CN"/>
              </w:rPr>
              <w:t>助制度的衔接，健全社会救助体系，明显提高社会救助水平。</w:t>
            </w:r>
          </w:p>
        </w:tc>
        <w:tc>
          <w:tcPr>
            <w:tcW w:w="832" w:type="dxa"/>
            <w:noWrap w:val="0"/>
            <w:tcMar>
              <w:top w:w="0" w:type="dxa"/>
              <w:left w:w="105" w:type="dxa"/>
              <w:bottom w:w="0" w:type="dxa"/>
              <w:right w:w="105" w:type="dxa"/>
            </w:tcMar>
            <w:vAlign w:val="center"/>
          </w:tcPr>
          <w:p w14:paraId="6A2096F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32341271">
            <w:pPr>
              <w:spacing w:line="320" w:lineRule="exact"/>
              <w:jc w:val="center"/>
              <w:rPr>
                <w:rFonts w:hint="eastAsia" w:ascii="仿宋_GB2312" w:hAnsi="仿宋_GB2312" w:eastAsia="仿宋_GB2312" w:cs="仿宋_GB2312"/>
                <w:szCs w:val="21"/>
              </w:rPr>
            </w:pPr>
          </w:p>
        </w:tc>
      </w:tr>
      <w:tr w14:paraId="4BE9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1376AC9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5C8A917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7A157FF">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满意度100%</w:t>
            </w:r>
          </w:p>
        </w:tc>
        <w:tc>
          <w:tcPr>
            <w:tcW w:w="832" w:type="dxa"/>
            <w:noWrap w:val="0"/>
            <w:tcMar>
              <w:top w:w="0" w:type="dxa"/>
              <w:left w:w="105" w:type="dxa"/>
              <w:bottom w:w="0" w:type="dxa"/>
              <w:right w:w="105" w:type="dxa"/>
            </w:tcMar>
            <w:vAlign w:val="center"/>
          </w:tcPr>
          <w:p w14:paraId="5E16DC77">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C0C02B1">
            <w:pPr>
              <w:spacing w:line="320" w:lineRule="exact"/>
              <w:jc w:val="center"/>
              <w:rPr>
                <w:rFonts w:hint="eastAsia" w:ascii="仿宋_GB2312" w:hAnsi="仿宋_GB2312" w:eastAsia="仿宋_GB2312" w:cs="仿宋_GB2312"/>
                <w:szCs w:val="21"/>
              </w:rPr>
            </w:pPr>
          </w:p>
        </w:tc>
      </w:tr>
      <w:tr w14:paraId="56E7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2225B8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272C119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2B31B1CF">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72B253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1F2279CC">
            <w:pPr>
              <w:spacing w:line="320" w:lineRule="exact"/>
              <w:jc w:val="center"/>
              <w:rPr>
                <w:rFonts w:hint="eastAsia" w:ascii="仿宋_GB2312" w:hAnsi="仿宋_GB2312" w:eastAsia="仿宋_GB2312" w:cs="仿宋_GB2312"/>
                <w:szCs w:val="21"/>
              </w:rPr>
            </w:pPr>
          </w:p>
        </w:tc>
      </w:tr>
      <w:tr w14:paraId="0750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E98951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14EC2239">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29E855AB">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1D71EE69">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4AAF7B6F">
            <w:pPr>
              <w:spacing w:line="320" w:lineRule="exact"/>
              <w:jc w:val="center"/>
              <w:rPr>
                <w:rFonts w:hint="eastAsia" w:ascii="仿宋_GB2312" w:hAnsi="仿宋_GB2312" w:eastAsia="仿宋_GB2312" w:cs="仿宋_GB2312"/>
                <w:szCs w:val="21"/>
              </w:rPr>
            </w:pPr>
          </w:p>
        </w:tc>
      </w:tr>
      <w:tr w14:paraId="7E34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96B56E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4EE4C5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000370A">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083F622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7051D34F">
            <w:pPr>
              <w:spacing w:line="320" w:lineRule="exact"/>
              <w:jc w:val="center"/>
              <w:rPr>
                <w:rFonts w:hint="eastAsia" w:ascii="仿宋_GB2312" w:hAnsi="仿宋_GB2312" w:eastAsia="仿宋_GB2312" w:cs="仿宋_GB2312"/>
                <w:szCs w:val="21"/>
              </w:rPr>
            </w:pPr>
          </w:p>
        </w:tc>
      </w:tr>
      <w:tr w14:paraId="3634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40AFD11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09283E74">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161D0CB6">
            <w:pPr>
              <w:spacing w:line="320" w:lineRule="exact"/>
              <w:rPr>
                <w:rFonts w:hint="eastAsia" w:ascii="仿宋_GB2312" w:hAnsi="仿宋_GB2312" w:eastAsia="仿宋_GB2312" w:cs="仿宋_GB2312"/>
                <w:szCs w:val="21"/>
              </w:rPr>
            </w:pPr>
            <w:r>
              <w:rPr>
                <w:rFonts w:hint="eastAsia" w:ascii="宋体" w:hAnsi="宋体" w:eastAsia="宋体" w:cs="宋体"/>
                <w:szCs w:val="21"/>
                <w:lang w:eastAsia="zh-CN"/>
              </w:rPr>
              <w:t>■</w:t>
            </w:r>
            <w:r>
              <w:rPr>
                <w:rFonts w:hint="eastAsia" w:ascii="仿宋_GB2312" w:hAnsi="仿宋_GB2312" w:eastAsia="仿宋_GB2312" w:cs="仿宋_GB2312"/>
                <w:szCs w:val="21"/>
              </w:rPr>
              <w:t xml:space="preserve">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3841D505">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1124D90D">
      <w:pPr>
        <w:spacing w:line="240" w:lineRule="auto"/>
        <w:ind w:left="0"/>
        <w:jc w:val="left"/>
        <w:rPr>
          <w:rFonts w:ascii="华文中宋" w:hAnsi="华文中宋" w:eastAsia="华文中宋"/>
          <w:szCs w:val="21"/>
        </w:rPr>
      </w:pPr>
    </w:p>
    <w:p w14:paraId="444E58FD">
      <w:pPr>
        <w:spacing w:line="240" w:lineRule="auto"/>
        <w:ind w:left="0"/>
        <w:jc w:val="left"/>
        <w:rPr>
          <w:rFonts w:ascii="华文中宋" w:hAnsi="华文中宋" w:eastAsia="华文中宋"/>
          <w:szCs w:val="21"/>
        </w:rPr>
      </w:pPr>
      <w:r>
        <w:rPr>
          <w:rFonts w:ascii="华文中宋" w:hAnsi="华文中宋" w:eastAsia="华文中宋"/>
          <w:szCs w:val="21"/>
        </w:rPr>
        <w:t>单位负责人（签字）：</w:t>
      </w:r>
      <w:r>
        <w:rPr>
          <w:rFonts w:hint="eastAsia" w:ascii="华文中宋" w:hAnsi="华文中宋" w:eastAsia="华文中宋"/>
          <w:szCs w:val="21"/>
          <w:lang w:eastAsia="zh-CN"/>
        </w:rPr>
        <w:t>吴拥军</w:t>
      </w:r>
      <w:r>
        <w:rPr>
          <w:rFonts w:ascii="华文中宋" w:hAnsi="华文中宋" w:eastAsia="华文中宋"/>
          <w:szCs w:val="21"/>
        </w:rPr>
        <w:t xml:space="preserve">   项目负责人（签字）：</w:t>
      </w:r>
      <w:r>
        <w:rPr>
          <w:rFonts w:hint="eastAsia" w:ascii="华文中宋" w:hAnsi="华文中宋" w:eastAsia="华文中宋"/>
          <w:szCs w:val="21"/>
          <w:lang w:eastAsia="zh-CN"/>
        </w:rPr>
        <w:t>李振东</w:t>
      </w:r>
      <w:r>
        <w:rPr>
          <w:rFonts w:hint="eastAsia" w:ascii="华文中宋" w:hAnsi="华文中宋" w:eastAsia="华文中宋"/>
          <w:szCs w:val="21"/>
        </w:rPr>
        <w:t xml:space="preserve"> </w:t>
      </w:r>
      <w:r>
        <w:rPr>
          <w:rFonts w:ascii="华文中宋" w:hAnsi="华文中宋" w:eastAsia="华文中宋"/>
          <w:szCs w:val="21"/>
        </w:rPr>
        <w:t xml:space="preserve"> 填表日期：</w:t>
      </w:r>
      <w:r>
        <w:rPr>
          <w:rFonts w:hint="eastAsia" w:ascii="华文中宋" w:hAnsi="华文中宋" w:eastAsia="华文中宋"/>
          <w:szCs w:val="21"/>
          <w:lang w:val="en-US" w:eastAsia="zh-CN"/>
        </w:rPr>
        <w:t>2025</w:t>
      </w:r>
      <w:r>
        <w:rPr>
          <w:rFonts w:hint="eastAsia" w:ascii="华文中宋" w:hAnsi="华文中宋" w:eastAsia="华文中宋"/>
          <w:szCs w:val="21"/>
        </w:rPr>
        <w:t xml:space="preserve"> </w:t>
      </w:r>
      <w:r>
        <w:rPr>
          <w:rFonts w:ascii="华文中宋" w:hAnsi="华文中宋" w:eastAsia="华文中宋"/>
          <w:szCs w:val="21"/>
        </w:rPr>
        <w:t>年 </w:t>
      </w:r>
      <w:r>
        <w:rPr>
          <w:rFonts w:hint="eastAsia" w:ascii="华文中宋" w:hAnsi="华文中宋" w:eastAsia="华文中宋"/>
          <w:szCs w:val="21"/>
          <w:lang w:val="en-US" w:eastAsia="zh-CN"/>
        </w:rPr>
        <w:t>3</w:t>
      </w:r>
      <w:r>
        <w:rPr>
          <w:rFonts w:ascii="华文中宋" w:hAnsi="华文中宋" w:eastAsia="华文中宋"/>
          <w:szCs w:val="21"/>
        </w:rPr>
        <w:t>月</w:t>
      </w:r>
      <w:r>
        <w:rPr>
          <w:rFonts w:hint="eastAsia" w:ascii="华文中宋" w:hAnsi="华文中宋" w:eastAsia="华文中宋"/>
          <w:szCs w:val="21"/>
          <w:lang w:val="en-US" w:eastAsia="zh-CN"/>
        </w:rPr>
        <w:t xml:space="preserve"> 15</w:t>
      </w:r>
      <w:r>
        <w:rPr>
          <w:rFonts w:ascii="华文中宋" w:hAnsi="华文中宋" w:eastAsia="华文中宋"/>
          <w:szCs w:val="21"/>
        </w:rPr>
        <w:t xml:space="preserve"> 日</w:t>
      </w:r>
    </w:p>
    <w:p w14:paraId="248DDE52">
      <w:pPr>
        <w:spacing w:line="320" w:lineRule="exact"/>
        <w:ind w:left="0"/>
        <w:jc w:val="left"/>
        <w:rPr>
          <w:rFonts w:ascii="华文中宋" w:hAnsi="华文中宋" w:eastAsia="华文中宋"/>
          <w:szCs w:val="21"/>
        </w:rPr>
      </w:pPr>
    </w:p>
    <w:p w14:paraId="7B668D9B">
      <w:pPr>
        <w:spacing w:line="320" w:lineRule="exact"/>
        <w:ind w:left="0"/>
        <w:jc w:val="left"/>
        <w:rPr>
          <w:rFonts w:ascii="华文中宋" w:hAnsi="华文中宋" w:eastAsia="华文中宋"/>
          <w:szCs w:val="21"/>
        </w:rPr>
      </w:pPr>
    </w:p>
    <w:p w14:paraId="0C923A97">
      <w:pPr>
        <w:spacing w:line="320" w:lineRule="exact"/>
        <w:ind w:left="0"/>
        <w:jc w:val="left"/>
        <w:rPr>
          <w:rFonts w:ascii="华文中宋" w:hAnsi="华文中宋" w:eastAsia="华文中宋"/>
          <w:szCs w:val="21"/>
        </w:rPr>
      </w:pPr>
    </w:p>
    <w:p w14:paraId="20EBD050">
      <w:pPr>
        <w:spacing w:line="320" w:lineRule="exact"/>
        <w:ind w:left="0"/>
        <w:jc w:val="left"/>
        <w:rPr>
          <w:rFonts w:ascii="华文中宋" w:hAnsi="华文中宋" w:eastAsia="华文中宋"/>
          <w:szCs w:val="21"/>
        </w:rPr>
      </w:pPr>
    </w:p>
    <w:p w14:paraId="05480B04">
      <w:pPr>
        <w:spacing w:line="320" w:lineRule="exact"/>
        <w:ind w:left="0"/>
        <w:jc w:val="left"/>
        <w:rPr>
          <w:rFonts w:ascii="华文中宋" w:hAnsi="华文中宋" w:eastAsia="华文中宋"/>
          <w:szCs w:val="21"/>
        </w:rPr>
      </w:pPr>
    </w:p>
    <w:p w14:paraId="71460E1A">
      <w:pPr>
        <w:spacing w:line="320" w:lineRule="exact"/>
        <w:ind w:left="0"/>
        <w:jc w:val="left"/>
        <w:rPr>
          <w:rFonts w:ascii="华文中宋" w:hAnsi="华文中宋" w:eastAsia="华文中宋"/>
          <w:szCs w:val="21"/>
        </w:rPr>
      </w:pPr>
    </w:p>
    <w:p w14:paraId="09B7D6A0">
      <w:pPr>
        <w:spacing w:line="320" w:lineRule="exact"/>
        <w:ind w:left="0"/>
        <w:jc w:val="left"/>
        <w:rPr>
          <w:rFonts w:ascii="华文中宋" w:hAnsi="华文中宋" w:eastAsia="华文中宋"/>
          <w:szCs w:val="21"/>
        </w:rPr>
      </w:pPr>
    </w:p>
    <w:p w14:paraId="76719B86">
      <w:pPr>
        <w:spacing w:line="320" w:lineRule="exact"/>
        <w:ind w:left="0"/>
        <w:jc w:val="left"/>
        <w:rPr>
          <w:rFonts w:ascii="华文中宋" w:hAnsi="华文中宋" w:eastAsia="华文中宋"/>
          <w:szCs w:val="21"/>
        </w:rPr>
      </w:pPr>
    </w:p>
    <w:p w14:paraId="7BFE5A82">
      <w:pPr>
        <w:spacing w:line="320" w:lineRule="exact"/>
        <w:ind w:left="0"/>
        <w:jc w:val="left"/>
        <w:rPr>
          <w:rFonts w:ascii="华文中宋" w:hAnsi="华文中宋" w:eastAsia="华文中宋"/>
          <w:szCs w:val="21"/>
        </w:rPr>
      </w:pPr>
    </w:p>
    <w:p w14:paraId="008A181A">
      <w:pPr>
        <w:spacing w:line="320" w:lineRule="exact"/>
        <w:ind w:left="0"/>
        <w:jc w:val="left"/>
        <w:rPr>
          <w:rFonts w:ascii="华文中宋" w:hAnsi="华文中宋" w:eastAsia="华文中宋"/>
          <w:szCs w:val="21"/>
        </w:rPr>
      </w:pPr>
    </w:p>
    <w:p w14:paraId="4CC91F08">
      <w:pPr>
        <w:spacing w:line="320" w:lineRule="exact"/>
        <w:ind w:left="0"/>
        <w:jc w:val="left"/>
        <w:rPr>
          <w:rFonts w:ascii="华文中宋" w:hAnsi="华文中宋" w:eastAsia="华文中宋"/>
          <w:szCs w:val="21"/>
        </w:rPr>
      </w:pPr>
    </w:p>
    <w:p w14:paraId="57B0143D">
      <w:pPr>
        <w:spacing w:line="320" w:lineRule="exact"/>
        <w:ind w:left="0"/>
        <w:jc w:val="left"/>
        <w:rPr>
          <w:rFonts w:ascii="华文中宋" w:hAnsi="华文中宋" w:eastAsia="华文中宋"/>
          <w:szCs w:val="21"/>
        </w:rPr>
      </w:pPr>
    </w:p>
    <w:p w14:paraId="7474D9A3">
      <w:pPr>
        <w:spacing w:line="320" w:lineRule="exact"/>
        <w:ind w:left="0"/>
        <w:jc w:val="left"/>
        <w:rPr>
          <w:rFonts w:ascii="华文中宋" w:hAnsi="华文中宋" w:eastAsia="华文中宋"/>
          <w:szCs w:val="21"/>
        </w:rPr>
      </w:pPr>
    </w:p>
    <w:p w14:paraId="3B4B8FCB">
      <w:pPr>
        <w:spacing w:line="320" w:lineRule="exact"/>
        <w:ind w:left="0"/>
        <w:jc w:val="left"/>
        <w:rPr>
          <w:rFonts w:ascii="华文中宋" w:hAnsi="华文中宋" w:eastAsia="华文中宋"/>
          <w:szCs w:val="21"/>
        </w:rPr>
      </w:pPr>
    </w:p>
    <w:p w14:paraId="4391A7B3">
      <w:pPr>
        <w:spacing w:line="320" w:lineRule="exact"/>
        <w:ind w:left="0"/>
        <w:jc w:val="left"/>
        <w:rPr>
          <w:rFonts w:ascii="华文中宋" w:hAnsi="华文中宋" w:eastAsia="华文中宋"/>
          <w:szCs w:val="21"/>
        </w:rPr>
      </w:pPr>
    </w:p>
    <w:p w14:paraId="4241AF3F">
      <w:pPr>
        <w:spacing w:line="320" w:lineRule="exact"/>
        <w:ind w:left="0"/>
        <w:jc w:val="left"/>
        <w:rPr>
          <w:rFonts w:ascii="华文中宋" w:hAnsi="华文中宋" w:eastAsia="华文中宋"/>
          <w:szCs w:val="21"/>
        </w:rPr>
      </w:pPr>
    </w:p>
    <w:p w14:paraId="014366C3">
      <w:pPr>
        <w:spacing w:line="320" w:lineRule="exact"/>
        <w:ind w:left="0"/>
        <w:jc w:val="left"/>
        <w:rPr>
          <w:rFonts w:ascii="华文中宋" w:hAnsi="华文中宋" w:eastAsia="华文中宋"/>
          <w:szCs w:val="21"/>
        </w:rPr>
      </w:pPr>
    </w:p>
    <w:p w14:paraId="5EC2B66B">
      <w:pPr>
        <w:spacing w:line="320" w:lineRule="exact"/>
        <w:ind w:left="0"/>
        <w:jc w:val="left"/>
        <w:rPr>
          <w:rFonts w:ascii="华文中宋" w:hAnsi="华文中宋" w:eastAsia="华文中宋"/>
          <w:szCs w:val="21"/>
        </w:rPr>
      </w:pPr>
    </w:p>
    <w:p w14:paraId="25A85C40">
      <w:pPr>
        <w:spacing w:line="320" w:lineRule="exact"/>
        <w:ind w:left="0"/>
        <w:jc w:val="left"/>
        <w:rPr>
          <w:rFonts w:ascii="华文中宋" w:hAnsi="华文中宋" w:eastAsia="华文中宋"/>
          <w:szCs w:val="21"/>
        </w:rPr>
      </w:pPr>
    </w:p>
    <w:p w14:paraId="3F77FE1B">
      <w:pPr>
        <w:spacing w:line="320" w:lineRule="exact"/>
        <w:ind w:left="0"/>
        <w:jc w:val="left"/>
        <w:rPr>
          <w:rFonts w:ascii="华文中宋" w:hAnsi="华文中宋" w:eastAsia="华文中宋"/>
          <w:szCs w:val="21"/>
        </w:rPr>
      </w:pPr>
    </w:p>
    <w:p w14:paraId="42B6B5B7">
      <w:pPr>
        <w:spacing w:line="320" w:lineRule="exact"/>
        <w:ind w:left="0"/>
        <w:jc w:val="left"/>
        <w:rPr>
          <w:rFonts w:ascii="华文中宋" w:hAnsi="华文中宋" w:eastAsia="华文中宋"/>
          <w:szCs w:val="21"/>
        </w:rPr>
      </w:pPr>
    </w:p>
    <w:p w14:paraId="0E77D31C">
      <w:pPr>
        <w:spacing w:line="320" w:lineRule="exact"/>
        <w:ind w:left="0"/>
        <w:jc w:val="left"/>
        <w:rPr>
          <w:rFonts w:ascii="华文中宋" w:hAnsi="华文中宋" w:eastAsia="华文中宋"/>
          <w:szCs w:val="21"/>
        </w:rPr>
      </w:pPr>
    </w:p>
    <w:p w14:paraId="7110B84E">
      <w:pPr>
        <w:spacing w:line="320" w:lineRule="exact"/>
        <w:ind w:left="0"/>
        <w:jc w:val="left"/>
        <w:rPr>
          <w:rFonts w:ascii="华文中宋" w:hAnsi="华文中宋" w:eastAsia="华文中宋"/>
          <w:szCs w:val="21"/>
        </w:rPr>
      </w:pPr>
    </w:p>
    <w:p w14:paraId="4C8E78B9">
      <w:pPr>
        <w:spacing w:line="320" w:lineRule="exact"/>
        <w:ind w:left="0"/>
        <w:jc w:val="left"/>
        <w:rPr>
          <w:rFonts w:ascii="华文中宋" w:hAnsi="华文中宋" w:eastAsia="华文中宋"/>
          <w:szCs w:val="21"/>
        </w:rPr>
      </w:pPr>
    </w:p>
    <w:p w14:paraId="7BDDCB4C">
      <w:pPr>
        <w:spacing w:line="320" w:lineRule="exact"/>
        <w:ind w:left="0"/>
        <w:jc w:val="left"/>
        <w:rPr>
          <w:rFonts w:ascii="华文中宋" w:hAnsi="华文中宋" w:eastAsia="华文中宋"/>
          <w:szCs w:val="21"/>
        </w:rPr>
      </w:pPr>
    </w:p>
    <w:p w14:paraId="4F7C3DE9">
      <w:pPr>
        <w:spacing w:line="320" w:lineRule="exact"/>
        <w:ind w:left="0"/>
        <w:jc w:val="left"/>
        <w:rPr>
          <w:rFonts w:ascii="华文中宋" w:hAnsi="华文中宋" w:eastAsia="华文中宋"/>
          <w:szCs w:val="21"/>
        </w:rPr>
      </w:pPr>
    </w:p>
    <w:p w14:paraId="5F2A48FF">
      <w:pPr>
        <w:jc w:val="both"/>
        <w:rPr>
          <w:rFonts w:hint="eastAsia" w:ascii="方正公文小标宋" w:hAnsi="方正公文小标宋" w:eastAsia="方正公文小标宋" w:cs="方正公文小标宋"/>
          <w:sz w:val="44"/>
          <w:szCs w:val="44"/>
        </w:rPr>
      </w:pPr>
    </w:p>
    <w:p w14:paraId="1D8CFE6C">
      <w:pPr>
        <w:jc w:val="center"/>
        <w:rPr>
          <w:rFonts w:hint="eastAsia" w:ascii="方正公文小标宋" w:hAnsi="方正公文小标宋" w:eastAsia="方正公文小标宋" w:cs="方正公文小标宋"/>
          <w:sz w:val="44"/>
          <w:szCs w:val="44"/>
        </w:rPr>
      </w:pPr>
    </w:p>
    <w:p w14:paraId="75F800CC">
      <w:pPr>
        <w:jc w:val="center"/>
        <w:rPr>
          <w:rFonts w:hint="eastAsia" w:ascii="黑体" w:hAnsi="黑体" w:eastAsia="黑体" w:cs="黑体"/>
          <w:sz w:val="44"/>
          <w:szCs w:val="44"/>
        </w:rPr>
      </w:pPr>
      <w:r>
        <w:rPr>
          <w:rFonts w:hint="eastAsia" w:ascii="黑体" w:hAnsi="黑体" w:eastAsia="黑体" w:cs="黑体"/>
          <w:sz w:val="44"/>
          <w:szCs w:val="44"/>
        </w:rPr>
        <w:t>新晃</w:t>
      </w:r>
      <w:r>
        <w:rPr>
          <w:rFonts w:hint="eastAsia" w:ascii="黑体" w:hAnsi="黑体" w:eastAsia="黑体" w:cs="黑体"/>
          <w:sz w:val="44"/>
          <w:szCs w:val="44"/>
          <w:lang w:eastAsia="zh-CN"/>
        </w:rPr>
        <w:t>县医疗保障局</w:t>
      </w:r>
      <w:r>
        <w:rPr>
          <w:rFonts w:hint="eastAsia" w:ascii="黑体" w:hAnsi="黑体" w:eastAsia="黑体" w:cs="黑体"/>
          <w:sz w:val="44"/>
          <w:szCs w:val="44"/>
        </w:rPr>
        <w:t>2024年医疗救助补助资金(</w:t>
      </w:r>
      <w:r>
        <w:rPr>
          <w:rFonts w:hint="eastAsia" w:ascii="黑体" w:hAnsi="黑体" w:eastAsia="黑体" w:cs="黑体"/>
          <w:sz w:val="44"/>
          <w:szCs w:val="44"/>
          <w:lang w:eastAsia="zh-CN"/>
        </w:rPr>
        <w:t>上级补助</w:t>
      </w:r>
      <w:r>
        <w:rPr>
          <w:rFonts w:hint="eastAsia" w:ascii="黑体" w:hAnsi="黑体" w:eastAsia="黑体" w:cs="黑体"/>
          <w:sz w:val="44"/>
          <w:szCs w:val="44"/>
        </w:rPr>
        <w:t>)绩效自评报告</w:t>
      </w:r>
    </w:p>
    <w:p w14:paraId="01D71F30">
      <w:pPr>
        <w:rPr>
          <w:rFonts w:hint="eastAsia" w:ascii="仿宋" w:hAnsi="仿宋" w:eastAsia="仿宋" w:cs="仿宋"/>
          <w:sz w:val="32"/>
          <w:szCs w:val="32"/>
        </w:rPr>
      </w:pPr>
    </w:p>
    <w:p w14:paraId="640AE7E6">
      <w:pPr>
        <w:ind w:firstLine="640" w:firstLineChars="200"/>
        <w:rPr>
          <w:rFonts w:hint="eastAsia" w:ascii="仿宋" w:hAnsi="仿宋" w:eastAsia="仿宋" w:cs="仿宋"/>
          <w:sz w:val="32"/>
          <w:szCs w:val="32"/>
        </w:rPr>
      </w:pPr>
      <w:r>
        <w:rPr>
          <w:rFonts w:hint="eastAsia" w:ascii="仿宋" w:hAnsi="仿宋" w:eastAsia="仿宋" w:cs="仿宋"/>
          <w:sz w:val="32"/>
          <w:szCs w:val="32"/>
        </w:rPr>
        <w:t>医疗救助制度是多层次医疗保障制度体系的重要组成部分，也是守住群众看病有保障底线的重大制度安排。2024年我局</w:t>
      </w:r>
      <w:r>
        <w:rPr>
          <w:rFonts w:hint="eastAsia" w:ascii="仿宋" w:hAnsi="仿宋" w:eastAsia="仿宋" w:cs="仿宋"/>
          <w:sz w:val="32"/>
          <w:szCs w:val="32"/>
          <w:lang w:val="en-US" w:eastAsia="zh-CN"/>
        </w:rPr>
        <w:t>根据</w:t>
      </w:r>
      <w:r>
        <w:rPr>
          <w:rFonts w:hint="eastAsia" w:ascii="仿宋" w:hAnsi="仿宋" w:eastAsia="仿宋" w:cs="仿宋"/>
          <w:sz w:val="32"/>
          <w:szCs w:val="32"/>
        </w:rPr>
        <w:t>《湖南省医疗救助办法》（湘政办发〔2021〕62 号）</w:t>
      </w:r>
      <w:r>
        <w:rPr>
          <w:rFonts w:hint="eastAsia" w:ascii="仿宋" w:hAnsi="仿宋" w:eastAsia="仿宋" w:cs="仿宋"/>
          <w:sz w:val="32"/>
          <w:szCs w:val="32"/>
          <w:lang w:val="en-US" w:eastAsia="zh-CN"/>
        </w:rPr>
        <w:t>以及《怀化市2024年度巩固拓展医疗保障脱贫攻坚成果同乡村振兴有效衔接工作计划》</w:t>
      </w:r>
      <w:r>
        <w:rPr>
          <w:rFonts w:hint="eastAsia" w:ascii="仿宋" w:hAnsi="仿宋" w:eastAsia="仿宋" w:cs="仿宋"/>
          <w:sz w:val="32"/>
          <w:szCs w:val="32"/>
        </w:rPr>
        <w:t>（</w:t>
      </w:r>
      <w:r>
        <w:rPr>
          <w:rFonts w:hint="eastAsia" w:ascii="仿宋" w:hAnsi="仿宋" w:eastAsia="仿宋" w:cs="仿宋"/>
          <w:sz w:val="32"/>
          <w:szCs w:val="32"/>
          <w:lang w:val="en-US" w:eastAsia="zh-CN"/>
        </w:rPr>
        <w:t>怀医保函</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14</w:t>
      </w:r>
      <w:r>
        <w:rPr>
          <w:rFonts w:hint="eastAsia" w:ascii="仿宋" w:hAnsi="仿宋" w:eastAsia="仿宋" w:cs="仿宋"/>
          <w:sz w:val="32"/>
          <w:szCs w:val="32"/>
        </w:rPr>
        <w:t>号）等文件精神，明确资助参保、住院医疗救助和门诊医疗救助比例，有序推进资助参保、门诊救助、住院救助等各项医疗救助工作。</w:t>
      </w:r>
    </w:p>
    <w:p w14:paraId="7E8C792A">
      <w:pPr>
        <w:ind w:firstLine="640" w:firstLineChars="200"/>
        <w:rPr>
          <w:rFonts w:hint="eastAsia" w:ascii="仿宋" w:hAnsi="仿宋" w:eastAsia="仿宋" w:cs="仿宋"/>
          <w:sz w:val="32"/>
          <w:szCs w:val="32"/>
        </w:rPr>
      </w:pPr>
      <w:r>
        <w:rPr>
          <w:rFonts w:hint="eastAsia" w:ascii="仿宋" w:hAnsi="仿宋" w:eastAsia="仿宋" w:cs="仿宋"/>
          <w:sz w:val="32"/>
          <w:szCs w:val="32"/>
        </w:rPr>
        <w:t>2024年我局通过资助参保、医疗救助补助住院费用的方 式开展医疗救助共计36238人。其中资助参保人次数16266人，住院救助人次数8617人，门诊救助人次数11355人。我县明确了医疗救助基本原则、对象范围，条件标准、审批程序、支付方式等内容。对符合条件的困难群众按照文件规定给予一定比例的救助，并随筹资水平的提高而逐年提高救助标准，在确保救助对象及时得到救助的同时，有效的缓解困难群众“就医难”“看病贵”的问题。</w:t>
      </w:r>
    </w:p>
    <w:p w14:paraId="5595D183">
      <w:pPr>
        <w:ind w:firstLine="640" w:firstLineChars="200"/>
        <w:rPr>
          <w:rFonts w:hint="eastAsia" w:ascii="黑体" w:hAnsi="黑体" w:eastAsia="黑体" w:cs="黑体"/>
          <w:sz w:val="32"/>
          <w:szCs w:val="32"/>
        </w:rPr>
      </w:pPr>
      <w:r>
        <w:rPr>
          <w:rFonts w:hint="eastAsia" w:ascii="黑体" w:hAnsi="黑体" w:eastAsia="黑体" w:cs="黑体"/>
          <w:sz w:val="32"/>
          <w:szCs w:val="32"/>
        </w:rPr>
        <w:t>一、基本情况</w:t>
      </w:r>
    </w:p>
    <w:p w14:paraId="0DF25A5C">
      <w:pPr>
        <w:ind w:firstLine="640" w:firstLineChars="200"/>
        <w:rPr>
          <w:rFonts w:hint="eastAsia" w:ascii="楷体" w:hAnsi="楷体" w:eastAsia="楷体" w:cs="楷体"/>
          <w:sz w:val="32"/>
          <w:szCs w:val="32"/>
        </w:rPr>
      </w:pPr>
      <w:r>
        <w:rPr>
          <w:rFonts w:hint="eastAsia" w:ascii="楷体" w:hAnsi="楷体" w:eastAsia="楷体" w:cs="楷体"/>
          <w:sz w:val="32"/>
          <w:szCs w:val="32"/>
        </w:rPr>
        <w:t>（一）2024年度中央、省级资金下达情况，市州、县（市区）配套资金情况，历年结转结余情况。</w:t>
      </w:r>
    </w:p>
    <w:p w14:paraId="5C20B1C6">
      <w:pPr>
        <w:ind w:firstLine="640" w:firstLineChars="200"/>
        <w:rPr>
          <w:rFonts w:hint="eastAsia" w:ascii="仿宋" w:hAnsi="仿宋" w:eastAsia="仿宋" w:cs="仿宋"/>
          <w:sz w:val="32"/>
          <w:szCs w:val="32"/>
        </w:rPr>
      </w:pPr>
      <w:r>
        <w:rPr>
          <w:rFonts w:hint="eastAsia" w:ascii="仿宋" w:hAnsi="仿宋" w:eastAsia="仿宋" w:cs="仿宋"/>
          <w:sz w:val="32"/>
          <w:szCs w:val="32"/>
        </w:rPr>
        <w:t>（1）中央资金分解下达情况：下达新晃县 2024年中央财政医疗救助补助资金（城乡医疗救助部分）706.01 万元。</w:t>
      </w:r>
    </w:p>
    <w:p w14:paraId="207785B9">
      <w:pPr>
        <w:ind w:firstLine="640" w:firstLineChars="200"/>
        <w:rPr>
          <w:rFonts w:hint="eastAsia" w:ascii="仿宋" w:hAnsi="仿宋" w:eastAsia="仿宋" w:cs="仿宋"/>
          <w:sz w:val="32"/>
          <w:szCs w:val="32"/>
        </w:rPr>
      </w:pPr>
      <w:r>
        <w:rPr>
          <w:rFonts w:hint="eastAsia" w:ascii="仿宋" w:hAnsi="仿宋" w:eastAsia="仿宋" w:cs="仿宋"/>
          <w:sz w:val="32"/>
          <w:szCs w:val="32"/>
        </w:rPr>
        <w:t>（2）省内资金安排、分解下达情况：:下达新晃县 2024年省级医疗救助补助资金（城乡医疗救助部分）187.71 万元。</w:t>
      </w:r>
    </w:p>
    <w:p w14:paraId="009F5DA8">
      <w:pPr>
        <w:ind w:firstLine="640" w:firstLineChars="200"/>
        <w:rPr>
          <w:rFonts w:hint="eastAsia" w:ascii="仿宋" w:hAnsi="仿宋" w:eastAsia="仿宋" w:cs="仿宋"/>
          <w:sz w:val="32"/>
          <w:szCs w:val="32"/>
        </w:rPr>
      </w:pPr>
      <w:r>
        <w:rPr>
          <w:rFonts w:hint="eastAsia" w:ascii="仿宋" w:hAnsi="仿宋" w:eastAsia="仿宋" w:cs="仿宋"/>
          <w:sz w:val="32"/>
          <w:szCs w:val="32"/>
        </w:rPr>
        <w:t>无市县配套资金，</w:t>
      </w:r>
      <w:r>
        <w:rPr>
          <w:rFonts w:hint="eastAsia" w:ascii="仿宋" w:hAnsi="仿宋" w:eastAsia="仿宋" w:cs="仿宋"/>
          <w:sz w:val="32"/>
          <w:szCs w:val="32"/>
          <w:lang w:val="en-US" w:eastAsia="zh-CN"/>
        </w:rPr>
        <w:t>年末</w:t>
      </w:r>
      <w:r>
        <w:rPr>
          <w:rFonts w:hint="eastAsia" w:ascii="仿宋" w:hAnsi="仿宋" w:eastAsia="仿宋" w:cs="仿宋"/>
          <w:sz w:val="32"/>
          <w:szCs w:val="32"/>
        </w:rPr>
        <w:t>滚存结余</w:t>
      </w:r>
      <w:r>
        <w:rPr>
          <w:rFonts w:hint="eastAsia" w:ascii="仿宋" w:hAnsi="仿宋" w:eastAsia="仿宋" w:cs="仿宋"/>
          <w:color w:val="000000" w:themeColor="text1"/>
          <w:sz w:val="32"/>
          <w:szCs w:val="32"/>
          <w:lang w:val="en-US" w:eastAsia="zh-CN"/>
          <w14:textFill>
            <w14:solidFill>
              <w14:schemeClr w14:val="tx1"/>
            </w14:solidFill>
          </w14:textFill>
        </w:rPr>
        <w:t>988.52</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sz w:val="32"/>
          <w:szCs w:val="32"/>
        </w:rPr>
        <w:t>。</w:t>
      </w:r>
    </w:p>
    <w:p w14:paraId="67B7942A">
      <w:pPr>
        <w:ind w:firstLine="640" w:firstLineChars="200"/>
        <w:rPr>
          <w:rFonts w:hint="eastAsia" w:ascii="楷体" w:hAnsi="楷体" w:eastAsia="楷体" w:cs="楷体"/>
          <w:sz w:val="32"/>
          <w:szCs w:val="32"/>
        </w:rPr>
      </w:pPr>
      <w:r>
        <w:rPr>
          <w:rFonts w:hint="eastAsia" w:ascii="楷体" w:hAnsi="楷体" w:eastAsia="楷体" w:cs="楷体"/>
          <w:sz w:val="32"/>
          <w:szCs w:val="32"/>
        </w:rPr>
        <w:t>（二）2024年度各级财补资金实际到位情况。</w:t>
      </w:r>
    </w:p>
    <w:p w14:paraId="1D78F6A6">
      <w:pPr>
        <w:ind w:firstLine="640" w:firstLineChars="200"/>
        <w:rPr>
          <w:rFonts w:hint="eastAsia" w:ascii="仿宋" w:hAnsi="仿宋" w:eastAsia="仿宋" w:cs="仿宋"/>
          <w:sz w:val="32"/>
          <w:szCs w:val="32"/>
        </w:rPr>
      </w:pPr>
      <w:r>
        <w:rPr>
          <w:rFonts w:hint="eastAsia" w:ascii="仿宋" w:hAnsi="仿宋" w:eastAsia="仿宋" w:cs="仿宋"/>
          <w:sz w:val="32"/>
          <w:szCs w:val="32"/>
        </w:rPr>
        <w:t>（1）新晃县 2024年中央财政医疗救助补助资金（城乡医疗救助部分）实际到位706.01 万元。</w:t>
      </w:r>
    </w:p>
    <w:p w14:paraId="371E1283">
      <w:pPr>
        <w:ind w:firstLine="640" w:firstLineChars="200"/>
        <w:rPr>
          <w:rFonts w:hint="eastAsia" w:ascii="仿宋" w:hAnsi="仿宋" w:eastAsia="仿宋" w:cs="仿宋"/>
          <w:sz w:val="32"/>
          <w:szCs w:val="32"/>
        </w:rPr>
      </w:pPr>
      <w:r>
        <w:rPr>
          <w:rFonts w:hint="eastAsia" w:ascii="仿宋" w:hAnsi="仿宋" w:eastAsia="仿宋" w:cs="仿宋"/>
          <w:sz w:val="32"/>
          <w:szCs w:val="32"/>
        </w:rPr>
        <w:t>（2）新晃县 2024年省级医疗救助补助资金（城乡医疗救助部分）实际到位187.71 万元。</w:t>
      </w:r>
    </w:p>
    <w:p w14:paraId="51931317">
      <w:pPr>
        <w:ind w:firstLine="640" w:firstLineChars="200"/>
        <w:rPr>
          <w:rFonts w:hint="eastAsia" w:ascii="楷体" w:hAnsi="楷体" w:eastAsia="楷体" w:cs="楷体"/>
          <w:sz w:val="32"/>
          <w:szCs w:val="32"/>
        </w:rPr>
      </w:pPr>
      <w:r>
        <w:rPr>
          <w:rFonts w:hint="eastAsia" w:ascii="楷体" w:hAnsi="楷体" w:eastAsia="楷体" w:cs="楷体"/>
          <w:sz w:val="32"/>
          <w:szCs w:val="32"/>
        </w:rPr>
        <w:t>（三）2024年度各级资金支出情况</w:t>
      </w:r>
    </w:p>
    <w:p w14:paraId="7789284D">
      <w:pPr>
        <w:ind w:firstLine="640" w:firstLineChars="200"/>
        <w:rPr>
          <w:rFonts w:hint="eastAsia" w:ascii="仿宋" w:hAnsi="仿宋" w:eastAsia="仿宋" w:cs="仿宋"/>
          <w:sz w:val="32"/>
          <w:szCs w:val="32"/>
        </w:rPr>
      </w:pPr>
      <w:r>
        <w:rPr>
          <w:rFonts w:hint="eastAsia" w:ascii="仿宋" w:hAnsi="仿宋" w:eastAsia="仿宋" w:cs="仿宋"/>
          <w:sz w:val="32"/>
          <w:szCs w:val="32"/>
        </w:rPr>
        <w:t>2024年参保资助支出244.33万元，住院救助支出1614.56万元，门诊救助支出108.86万元。</w:t>
      </w:r>
    </w:p>
    <w:p w14:paraId="7E7AAA6C">
      <w:pPr>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（四）2024年末资金结转结余情况。</w:t>
      </w:r>
    </w:p>
    <w:p w14:paraId="39A93069">
      <w:pPr>
        <w:ind w:firstLine="640" w:firstLineChars="200"/>
        <w:rPr>
          <w:rFonts w:hint="eastAsia" w:ascii="仿宋" w:hAnsi="仿宋" w:eastAsia="仿宋" w:cs="仿宋"/>
          <w:sz w:val="32"/>
          <w:szCs w:val="32"/>
        </w:rPr>
      </w:pPr>
      <w:r>
        <w:rPr>
          <w:rFonts w:hint="eastAsia" w:ascii="仿宋" w:hAnsi="仿宋" w:eastAsia="仿宋" w:cs="仿宋"/>
          <w:sz w:val="32"/>
          <w:szCs w:val="32"/>
        </w:rPr>
        <w:t>2024年末资金结转结余</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1101.85</w:t>
      </w:r>
      <w:r>
        <w:rPr>
          <w:rFonts w:hint="eastAsia" w:ascii="仿宋" w:hAnsi="仿宋" w:eastAsia="仿宋" w:cs="仿宋"/>
          <w:color w:val="000000" w:themeColor="text1"/>
          <w:sz w:val="32"/>
          <w:szCs w:val="32"/>
          <w14:textFill>
            <w14:solidFill>
              <w14:schemeClr w14:val="tx1"/>
            </w14:solidFill>
          </w14:textFill>
        </w:rPr>
        <w:t>万</w:t>
      </w:r>
      <w:r>
        <w:rPr>
          <w:rFonts w:hint="eastAsia" w:ascii="仿宋" w:hAnsi="仿宋" w:eastAsia="仿宋" w:cs="仿宋"/>
          <w:sz w:val="32"/>
          <w:szCs w:val="32"/>
        </w:rPr>
        <w:t>元。</w:t>
      </w:r>
    </w:p>
    <w:p w14:paraId="6C037F42">
      <w:pPr>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二、绩效评价指标分析</w:t>
      </w:r>
    </w:p>
    <w:p w14:paraId="2EED9350">
      <w:pPr>
        <w:ind w:firstLine="640" w:firstLineChars="200"/>
        <w:rPr>
          <w:rFonts w:hint="eastAsia" w:ascii="楷体" w:hAnsi="楷体" w:eastAsia="楷体" w:cs="楷体"/>
          <w:sz w:val="32"/>
          <w:szCs w:val="32"/>
        </w:rPr>
      </w:pPr>
      <w:r>
        <w:rPr>
          <w:rFonts w:hint="eastAsia" w:ascii="楷体" w:hAnsi="楷体" w:eastAsia="楷体" w:cs="楷体"/>
          <w:sz w:val="32"/>
          <w:szCs w:val="32"/>
        </w:rPr>
        <w:t>（一）</w:t>
      </w:r>
      <w:r>
        <w:rPr>
          <w:rFonts w:hint="eastAsia" w:ascii="楷体" w:hAnsi="楷体" w:eastAsia="楷体" w:cs="楷体"/>
          <w:sz w:val="32"/>
          <w:szCs w:val="32"/>
          <w:lang w:val="en-US" w:eastAsia="zh-CN"/>
        </w:rPr>
        <w:t>资金管理情况</w:t>
      </w:r>
      <w:r>
        <w:rPr>
          <w:rFonts w:hint="eastAsia" w:ascii="楷体" w:hAnsi="楷体" w:eastAsia="楷体" w:cs="楷体"/>
          <w:sz w:val="32"/>
          <w:szCs w:val="32"/>
        </w:rPr>
        <w:t>（满分</w:t>
      </w:r>
      <w:r>
        <w:rPr>
          <w:rFonts w:hint="eastAsia" w:ascii="楷体" w:hAnsi="楷体" w:eastAsia="楷体" w:cs="楷体"/>
          <w:sz w:val="32"/>
          <w:szCs w:val="32"/>
          <w:lang w:val="en-US" w:eastAsia="zh-CN"/>
        </w:rPr>
        <w:t>45</w:t>
      </w:r>
      <w:r>
        <w:rPr>
          <w:rFonts w:hint="eastAsia" w:ascii="楷体" w:hAnsi="楷体" w:eastAsia="楷体" w:cs="楷体"/>
          <w:sz w:val="32"/>
          <w:szCs w:val="32"/>
        </w:rPr>
        <w:t xml:space="preserve"> 分，评价得分</w:t>
      </w:r>
      <w:r>
        <w:rPr>
          <w:rFonts w:hint="eastAsia" w:ascii="楷体" w:hAnsi="楷体" w:eastAsia="楷体" w:cs="楷体"/>
          <w:sz w:val="32"/>
          <w:szCs w:val="32"/>
          <w:lang w:val="en-US" w:eastAsia="zh-CN"/>
        </w:rPr>
        <w:t>45</w:t>
      </w:r>
      <w:r>
        <w:rPr>
          <w:rFonts w:hint="eastAsia" w:ascii="楷体" w:hAnsi="楷体" w:eastAsia="楷体" w:cs="楷体"/>
          <w:sz w:val="32"/>
          <w:szCs w:val="32"/>
        </w:rPr>
        <w:t>分）</w:t>
      </w:r>
    </w:p>
    <w:p w14:paraId="2F67B0C2">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资金投入情况</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10</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10</w:t>
      </w:r>
      <w:r>
        <w:rPr>
          <w:rFonts w:hint="eastAsia" w:ascii="仿宋" w:hAnsi="仿宋" w:eastAsia="仿宋" w:cs="仿宋"/>
          <w:b/>
          <w:bCs/>
          <w:sz w:val="32"/>
          <w:szCs w:val="32"/>
        </w:rPr>
        <w:t>分）</w:t>
      </w:r>
    </w:p>
    <w:p w14:paraId="47DBAEBA">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资金执行率</w:t>
      </w:r>
      <w:r>
        <w:rPr>
          <w:rFonts w:hint="eastAsia" w:ascii="仿宋" w:hAnsi="仿宋" w:eastAsia="仿宋" w:cs="仿宋"/>
          <w:b w:val="0"/>
          <w:bCs w:val="0"/>
          <w:sz w:val="32"/>
          <w:szCs w:val="32"/>
        </w:rPr>
        <w:t xml:space="preserve">（满分 </w:t>
      </w: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 xml:space="preserve"> 分，评价得分 </w:t>
      </w: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分）</w:t>
      </w:r>
    </w:p>
    <w:p w14:paraId="74646DEF">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2.分配科学性</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18AE7CDE">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资金分配科学</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w:t>
      </w:r>
    </w:p>
    <w:p w14:paraId="51E08AEA">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rPr>
        <w:t>无</w:t>
      </w:r>
      <w:r>
        <w:rPr>
          <w:rFonts w:hint="eastAsia" w:ascii="仿宋" w:hAnsi="仿宋" w:eastAsia="仿宋" w:cs="仿宋"/>
          <w:b w:val="0"/>
          <w:bCs w:val="0"/>
          <w:sz w:val="32"/>
          <w:szCs w:val="32"/>
          <w:lang w:val="en-US" w:eastAsia="zh-CN"/>
        </w:rPr>
        <w:t>市级</w:t>
      </w:r>
      <w:r>
        <w:rPr>
          <w:rFonts w:hint="eastAsia" w:ascii="仿宋" w:hAnsi="仿宋" w:eastAsia="仿宋" w:cs="仿宋"/>
          <w:b w:val="0"/>
          <w:bCs w:val="0"/>
          <w:sz w:val="32"/>
          <w:szCs w:val="32"/>
        </w:rPr>
        <w:t>资金安排</w:t>
      </w:r>
      <w:r>
        <w:rPr>
          <w:rFonts w:hint="eastAsia" w:ascii="仿宋" w:hAnsi="仿宋" w:eastAsia="仿宋" w:cs="仿宋"/>
          <w:b w:val="0"/>
          <w:bCs w:val="0"/>
          <w:sz w:val="32"/>
          <w:szCs w:val="32"/>
          <w:lang w:eastAsia="zh-CN"/>
        </w:rPr>
        <w:t>。</w:t>
      </w:r>
    </w:p>
    <w:p w14:paraId="3C17E972">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3.资金下达及时性</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5C8A58D5">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资金下达及时</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w:t>
      </w:r>
    </w:p>
    <w:p w14:paraId="3CB62B02">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基金已按序时进度及时拨付至本级医保基金财政专户。</w:t>
      </w:r>
    </w:p>
    <w:p w14:paraId="477AE491">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4.拨付合规性</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7C760556">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资金拨付合规</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w:t>
      </w:r>
    </w:p>
    <w:p w14:paraId="69C0CD22">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资金拨付依据、流程及账户管理合规。</w:t>
      </w:r>
    </w:p>
    <w:p w14:paraId="3C32D550">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5.使用规范性</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0B89217E">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资金使用合规性</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w:t>
      </w:r>
    </w:p>
    <w:p w14:paraId="6C5C3C0F">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中央财政城乡居民医疗救助补助资金管理办法》明确规定，统筹地区医保财政专户专账核算、专款专用。新晃县严格落实这一要求，城乡居民医疗救助补助资金专户存储，单独核算。专户支出符合《中央财政城乡居民医疗救助补助资金管理办法》及相关基金管理办法。</w:t>
      </w:r>
    </w:p>
    <w:p w14:paraId="47563364">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6.执行准确性</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184B5DD0">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执行准确</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w:t>
      </w:r>
    </w:p>
    <w:p w14:paraId="15F76C5D">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按照上级下达的金额执行，预算执行无偏差</w:t>
      </w:r>
    </w:p>
    <w:p w14:paraId="0EA4A198">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7.预算绩效管理情况</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53FA056F">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（1）绩效目标设置科学</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分）</w:t>
      </w:r>
    </w:p>
    <w:p w14:paraId="3A786E2E">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遵照财政部和国家医疗保障局下达的年度总体目标和具体绩效指标。</w:t>
      </w:r>
    </w:p>
    <w:p w14:paraId="26DA8106">
      <w:pPr>
        <w:numPr>
          <w:ilvl w:val="0"/>
          <w:numId w:val="1"/>
        </w:num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绩效目标分解细化</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分）</w:t>
      </w:r>
    </w:p>
    <w:p w14:paraId="16755C1D">
      <w:pPr>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按省市医保局下达绩效目标文件执行。</w:t>
      </w:r>
    </w:p>
    <w:p w14:paraId="58C7FEB6">
      <w:pPr>
        <w:ind w:left="638" w:leftChars="304" w:firstLine="0" w:firstLineChars="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（3）绩效评价机制健全性（满分3分，评价得分3分）绩效自评组织有力，评价报告规范完整，自评报告及时上报。</w:t>
      </w:r>
    </w:p>
    <w:p w14:paraId="2A765FF8">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8.支出责任履行情况</w:t>
      </w:r>
      <w:r>
        <w:rPr>
          <w:rFonts w:hint="eastAsia" w:ascii="仿宋" w:hAnsi="仿宋" w:eastAsia="仿宋" w:cs="仿宋"/>
          <w:b/>
          <w:bCs/>
          <w:sz w:val="32"/>
          <w:szCs w:val="32"/>
        </w:rPr>
        <w:t>（满分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分）</w:t>
      </w:r>
    </w:p>
    <w:p w14:paraId="3C1F75C2">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履行本级支出责任</w:t>
      </w:r>
      <w:r>
        <w:rPr>
          <w:rFonts w:hint="eastAsia" w:ascii="仿宋" w:hAnsi="仿宋" w:eastAsia="仿宋" w:cs="仿宋"/>
          <w:b w:val="0"/>
          <w:bCs w:val="0"/>
          <w:sz w:val="32"/>
          <w:szCs w:val="32"/>
        </w:rPr>
        <w:t>（满分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分，评价得分</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分）</w:t>
      </w:r>
    </w:p>
    <w:p w14:paraId="3C0234A2">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按照财政事权和支出责任划分有关规定，足额安排资金履行本级支出责任</w:t>
      </w:r>
      <w:r>
        <w:rPr>
          <w:rFonts w:hint="eastAsia" w:ascii="仿宋" w:hAnsi="仿宋" w:eastAsia="仿宋" w:cs="仿宋"/>
          <w:b w:val="0"/>
          <w:bCs w:val="0"/>
          <w:color w:val="000000" w:themeColor="text1"/>
          <w:sz w:val="32"/>
          <w:szCs w:val="32"/>
          <w:lang w:eastAsia="zh-CN"/>
          <w14:textFill>
            <w14:solidFill>
              <w14:schemeClr w14:val="tx1"/>
            </w14:solidFill>
          </w14:textFill>
        </w:rPr>
        <w:t>。</w:t>
      </w:r>
    </w:p>
    <w:p w14:paraId="7912F0F0">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（三）产出指标（满分</w:t>
      </w:r>
      <w:r>
        <w:rPr>
          <w:rFonts w:hint="eastAsia" w:ascii="楷体" w:hAnsi="楷体" w:eastAsia="楷体" w:cs="楷体"/>
          <w:color w:val="000000" w:themeColor="text1"/>
          <w:sz w:val="32"/>
          <w:szCs w:val="32"/>
          <w:lang w:val="en-US" w:eastAsia="zh-CN"/>
          <w14:textFill>
            <w14:solidFill>
              <w14:schemeClr w14:val="tx1"/>
            </w14:solidFill>
          </w14:textFill>
        </w:rPr>
        <w:t>31</w:t>
      </w:r>
      <w:r>
        <w:rPr>
          <w:rFonts w:hint="eastAsia" w:ascii="楷体" w:hAnsi="楷体" w:eastAsia="楷体" w:cs="楷体"/>
          <w:color w:val="000000" w:themeColor="text1"/>
          <w:sz w:val="32"/>
          <w:szCs w:val="32"/>
          <w14:textFill>
            <w14:solidFill>
              <w14:schemeClr w14:val="tx1"/>
            </w14:solidFill>
          </w14:textFill>
        </w:rPr>
        <w:t>分，评价得分</w:t>
      </w:r>
      <w:r>
        <w:rPr>
          <w:rFonts w:hint="eastAsia" w:ascii="楷体" w:hAnsi="楷体" w:eastAsia="楷体" w:cs="楷体"/>
          <w:color w:val="000000" w:themeColor="text1"/>
          <w:sz w:val="32"/>
          <w:szCs w:val="32"/>
          <w:lang w:val="en-US" w:eastAsia="zh-CN"/>
          <w14:textFill>
            <w14:solidFill>
              <w14:schemeClr w14:val="tx1"/>
            </w14:solidFill>
          </w14:textFill>
        </w:rPr>
        <w:t>31</w:t>
      </w:r>
      <w:r>
        <w:rPr>
          <w:rFonts w:hint="eastAsia" w:ascii="楷体" w:hAnsi="楷体" w:eastAsia="楷体" w:cs="楷体"/>
          <w:color w:val="000000" w:themeColor="text1"/>
          <w:sz w:val="32"/>
          <w:szCs w:val="32"/>
          <w14:textFill>
            <w14:solidFill>
              <w14:schemeClr w14:val="tx1"/>
            </w14:solidFill>
          </w14:textFill>
        </w:rPr>
        <w:t>分）</w:t>
      </w:r>
    </w:p>
    <w:p w14:paraId="0D5EDCD8">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1.数量指标（满分 </w:t>
      </w:r>
      <w:r>
        <w:rPr>
          <w:rFonts w:hint="eastAsia" w:ascii="仿宋" w:hAnsi="仿宋" w:eastAsia="仿宋" w:cs="仿宋"/>
          <w:b/>
          <w:bCs/>
          <w:sz w:val="32"/>
          <w:szCs w:val="32"/>
          <w:lang w:val="en-US" w:eastAsia="zh-CN"/>
        </w:rPr>
        <w:t>11</w:t>
      </w:r>
      <w:r>
        <w:rPr>
          <w:rFonts w:hint="eastAsia" w:ascii="仿宋" w:hAnsi="仿宋" w:eastAsia="仿宋" w:cs="仿宋"/>
          <w:b/>
          <w:bCs/>
          <w:sz w:val="32"/>
          <w:szCs w:val="32"/>
        </w:rPr>
        <w:t>分，评价得</w:t>
      </w:r>
      <w:r>
        <w:rPr>
          <w:rFonts w:hint="eastAsia" w:ascii="仿宋" w:hAnsi="仿宋" w:eastAsia="仿宋" w:cs="仿宋"/>
          <w:b/>
          <w:bCs/>
          <w:sz w:val="32"/>
          <w:szCs w:val="32"/>
          <w:lang w:val="en-US" w:eastAsia="zh-CN"/>
        </w:rPr>
        <w:t>11</w:t>
      </w:r>
      <w:r>
        <w:rPr>
          <w:rFonts w:hint="eastAsia" w:ascii="仿宋" w:hAnsi="仿宋" w:eastAsia="仿宋" w:cs="仿宋"/>
          <w:b/>
          <w:bCs/>
          <w:sz w:val="32"/>
          <w:szCs w:val="32"/>
        </w:rPr>
        <w:t>分）</w:t>
      </w:r>
    </w:p>
    <w:p w14:paraId="36F9DCCF">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救助</w:t>
      </w:r>
      <w:r>
        <w:rPr>
          <w:rFonts w:hint="eastAsia" w:ascii="仿宋" w:hAnsi="仿宋" w:eastAsia="仿宋" w:cs="仿宋"/>
          <w:sz w:val="32"/>
          <w:szCs w:val="32"/>
        </w:rPr>
        <w:t xml:space="preserve">人次规模（满分 </w:t>
      </w:r>
      <w:r>
        <w:rPr>
          <w:rFonts w:hint="eastAsia" w:ascii="仿宋" w:hAnsi="仿宋" w:eastAsia="仿宋" w:cs="仿宋"/>
          <w:sz w:val="32"/>
          <w:szCs w:val="32"/>
          <w:lang w:val="en-US" w:eastAsia="zh-CN"/>
        </w:rPr>
        <w:t>5</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5</w:t>
      </w:r>
      <w:r>
        <w:rPr>
          <w:rFonts w:hint="eastAsia" w:ascii="仿宋" w:hAnsi="仿宋" w:eastAsia="仿宋" w:cs="仿宋"/>
          <w:sz w:val="32"/>
          <w:szCs w:val="32"/>
        </w:rPr>
        <w:t>分）</w:t>
      </w:r>
    </w:p>
    <w:p w14:paraId="046D531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2024年医疗救助渠道资助困难人群参保16266人，低收入和脱贫人口参保率100%。门诊救助11355人次，住院救助8617人次</w:t>
      </w:r>
      <w:r>
        <w:rPr>
          <w:rFonts w:hint="eastAsia" w:ascii="仿宋" w:hAnsi="仿宋" w:eastAsia="仿宋" w:cs="仿宋"/>
          <w:sz w:val="32"/>
          <w:szCs w:val="32"/>
        </w:rPr>
        <w:t>；</w:t>
      </w:r>
    </w:p>
    <w:p w14:paraId="0D32746B">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）符合资助条件的农村低收入人口资助参保政策覆盖率（满分</w:t>
      </w:r>
      <w:r>
        <w:rPr>
          <w:rFonts w:hint="eastAsia" w:ascii="仿宋" w:hAnsi="仿宋" w:eastAsia="仿宋" w:cs="仿宋"/>
          <w:sz w:val="32"/>
          <w:szCs w:val="32"/>
          <w:lang w:val="en-US" w:eastAsia="zh-CN"/>
        </w:rPr>
        <w:t>6</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6</w:t>
      </w:r>
      <w:r>
        <w:rPr>
          <w:rFonts w:hint="eastAsia" w:ascii="仿宋" w:hAnsi="仿宋" w:eastAsia="仿宋" w:cs="仿宋"/>
          <w:sz w:val="32"/>
          <w:szCs w:val="32"/>
        </w:rPr>
        <w:t>分）</w:t>
      </w:r>
    </w:p>
    <w:p w14:paraId="357CA674">
      <w:pPr>
        <w:ind w:firstLine="640" w:firstLineChars="200"/>
        <w:rPr>
          <w:rFonts w:hint="eastAsia" w:ascii="仿宋" w:hAnsi="仿宋" w:eastAsia="仿宋" w:cs="仿宋"/>
          <w:sz w:val="32"/>
          <w:szCs w:val="32"/>
        </w:rPr>
      </w:pPr>
      <w:r>
        <w:rPr>
          <w:rFonts w:hint="eastAsia" w:ascii="仿宋" w:hAnsi="仿宋" w:eastAsia="仿宋" w:cs="仿宋"/>
          <w:sz w:val="32"/>
          <w:szCs w:val="32"/>
        </w:rPr>
        <w:t>本年度符合资助参保条件的农村低收入人口参保率 100%。</w:t>
      </w:r>
    </w:p>
    <w:p w14:paraId="39F749C2">
      <w:pPr>
        <w:ind w:firstLine="643" w:firstLineChars="200"/>
        <w:rPr>
          <w:rFonts w:hint="eastAsia" w:ascii="仿宋" w:hAnsi="仿宋" w:eastAsia="仿宋" w:cs="仿宋"/>
          <w:sz w:val="32"/>
          <w:szCs w:val="32"/>
        </w:rPr>
      </w:pPr>
      <w:r>
        <w:rPr>
          <w:rFonts w:hint="eastAsia" w:ascii="仿宋" w:hAnsi="仿宋" w:eastAsia="仿宋" w:cs="仿宋"/>
          <w:b/>
          <w:bCs/>
          <w:sz w:val="32"/>
          <w:szCs w:val="32"/>
        </w:rPr>
        <w:t>2.质量指标（满分</w:t>
      </w:r>
      <w:r>
        <w:rPr>
          <w:rFonts w:hint="eastAsia" w:ascii="仿宋" w:hAnsi="仿宋" w:eastAsia="仿宋" w:cs="仿宋"/>
          <w:b/>
          <w:bCs/>
          <w:sz w:val="32"/>
          <w:szCs w:val="32"/>
          <w:lang w:val="en-US" w:eastAsia="zh-CN"/>
        </w:rPr>
        <w:t>18</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18</w:t>
      </w:r>
      <w:r>
        <w:rPr>
          <w:rFonts w:hint="eastAsia" w:ascii="仿宋" w:hAnsi="仿宋" w:eastAsia="仿宋" w:cs="仿宋"/>
          <w:b/>
          <w:bCs/>
          <w:sz w:val="32"/>
          <w:szCs w:val="32"/>
        </w:rPr>
        <w:t>分）</w:t>
      </w:r>
    </w:p>
    <w:p w14:paraId="72E71D49">
      <w:pPr>
        <w:ind w:firstLine="640" w:firstLineChars="200"/>
        <w:rPr>
          <w:rFonts w:hint="eastAsia" w:ascii="仿宋" w:hAnsi="仿宋" w:eastAsia="仿宋" w:cs="仿宋"/>
          <w:sz w:val="32"/>
          <w:szCs w:val="32"/>
        </w:rPr>
      </w:pPr>
      <w:r>
        <w:rPr>
          <w:rFonts w:hint="eastAsia" w:ascii="仿宋" w:hAnsi="仿宋" w:eastAsia="仿宋" w:cs="仿宋"/>
          <w:sz w:val="32"/>
          <w:szCs w:val="32"/>
        </w:rPr>
        <w:t>（1）重点救助对象政策范围内住院自付费用年度限额内救助比率（满分</w:t>
      </w:r>
      <w:r>
        <w:rPr>
          <w:rFonts w:hint="eastAsia" w:ascii="仿宋" w:hAnsi="仿宋" w:eastAsia="仿宋" w:cs="仿宋"/>
          <w:sz w:val="32"/>
          <w:szCs w:val="32"/>
          <w:lang w:val="en-US" w:eastAsia="zh-CN"/>
        </w:rPr>
        <w:t>10</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10</w:t>
      </w:r>
      <w:r>
        <w:rPr>
          <w:rFonts w:hint="eastAsia" w:ascii="仿宋" w:hAnsi="仿宋" w:eastAsia="仿宋" w:cs="仿宋"/>
          <w:sz w:val="32"/>
          <w:szCs w:val="32"/>
        </w:rPr>
        <w:t>分）</w:t>
      </w:r>
    </w:p>
    <w:p w14:paraId="55A58D23">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对低保对象、特困人员符合规定的医疗费用的比例救助不低于70%</w:t>
      </w:r>
      <w:r>
        <w:rPr>
          <w:rFonts w:hint="eastAsia" w:ascii="仿宋" w:hAnsi="仿宋" w:eastAsia="仿宋" w:cs="仿宋"/>
          <w:sz w:val="32"/>
          <w:szCs w:val="32"/>
          <w:lang w:eastAsia="zh-CN"/>
        </w:rPr>
        <w:t>。</w:t>
      </w:r>
    </w:p>
    <w:p w14:paraId="3EB7B6FA">
      <w:pPr>
        <w:ind w:firstLine="640" w:firstLineChars="200"/>
        <w:rPr>
          <w:rFonts w:hint="eastAsia" w:ascii="仿宋" w:hAnsi="仿宋" w:eastAsia="仿宋" w:cs="仿宋"/>
          <w:sz w:val="32"/>
          <w:szCs w:val="32"/>
        </w:rPr>
      </w:pPr>
      <w:r>
        <w:rPr>
          <w:rFonts w:hint="eastAsia" w:ascii="仿宋" w:hAnsi="仿宋" w:eastAsia="仿宋" w:cs="仿宋"/>
          <w:sz w:val="32"/>
          <w:szCs w:val="32"/>
        </w:rPr>
        <w:t>（2）医保综合监管能力（满分 3 分，评价得分3 分）</w:t>
      </w:r>
    </w:p>
    <w:p w14:paraId="51B96D23">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医保综合监管能力在全名排名靠前，执行成效明显</w:t>
      </w:r>
      <w:r>
        <w:rPr>
          <w:rFonts w:hint="eastAsia" w:ascii="仿宋" w:hAnsi="仿宋" w:eastAsia="仿宋" w:cs="仿宋"/>
          <w:sz w:val="32"/>
          <w:szCs w:val="32"/>
          <w:lang w:eastAsia="zh-CN"/>
        </w:rPr>
        <w:t>。</w:t>
      </w:r>
    </w:p>
    <w:p w14:paraId="77B94C0E">
      <w:pPr>
        <w:ind w:firstLine="640" w:firstLineChars="200"/>
        <w:rPr>
          <w:rFonts w:hint="eastAsia" w:ascii="仿宋" w:hAnsi="仿宋" w:eastAsia="仿宋" w:cs="仿宋"/>
          <w:sz w:val="32"/>
          <w:szCs w:val="32"/>
        </w:rPr>
      </w:pPr>
      <w:r>
        <w:rPr>
          <w:rFonts w:hint="eastAsia" w:ascii="仿宋" w:hAnsi="仿宋" w:eastAsia="仿宋" w:cs="仿宋"/>
          <w:sz w:val="32"/>
          <w:szCs w:val="32"/>
        </w:rPr>
        <w:t>（3）高额医疗费用支出因病致贫和因病返贫双预警监测（满分</w:t>
      </w:r>
      <w:r>
        <w:rPr>
          <w:rFonts w:hint="eastAsia" w:ascii="仿宋" w:hAnsi="仿宋" w:eastAsia="仿宋" w:cs="仿宋"/>
          <w:sz w:val="32"/>
          <w:szCs w:val="32"/>
          <w:lang w:val="en-US" w:eastAsia="zh-CN"/>
        </w:rPr>
        <w:t>1</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1</w:t>
      </w:r>
      <w:r>
        <w:rPr>
          <w:rFonts w:hint="eastAsia" w:ascii="仿宋" w:hAnsi="仿宋" w:eastAsia="仿宋" w:cs="仿宋"/>
          <w:sz w:val="32"/>
          <w:szCs w:val="32"/>
        </w:rPr>
        <w:t>分）</w:t>
      </w:r>
    </w:p>
    <w:p w14:paraId="6F6B41B6">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制订了高额医疗费用支出预警监测制度，并对高额医疗费用支出进行有效预警</w:t>
      </w:r>
      <w:r>
        <w:rPr>
          <w:rFonts w:hint="eastAsia" w:ascii="仿宋" w:hAnsi="仿宋" w:eastAsia="仿宋" w:cs="仿宋"/>
          <w:sz w:val="32"/>
          <w:szCs w:val="32"/>
          <w:lang w:eastAsia="zh-CN"/>
        </w:rPr>
        <w:t>。</w:t>
      </w:r>
    </w:p>
    <w:p w14:paraId="6A62E3AB">
      <w:pPr>
        <w:ind w:firstLine="640" w:firstLineChars="200"/>
        <w:rPr>
          <w:rFonts w:hint="eastAsia" w:ascii="仿宋" w:hAnsi="仿宋" w:eastAsia="仿宋" w:cs="仿宋"/>
          <w:sz w:val="32"/>
          <w:szCs w:val="32"/>
        </w:rPr>
      </w:pPr>
      <w:r>
        <w:rPr>
          <w:rFonts w:hint="eastAsia" w:ascii="仿宋" w:hAnsi="仿宋" w:eastAsia="仿宋" w:cs="仿宋"/>
          <w:sz w:val="32"/>
          <w:szCs w:val="32"/>
        </w:rPr>
        <w:t>（4）推行基层首诊、规范转诊，促进救助对象合理就医（满分</w:t>
      </w:r>
      <w:r>
        <w:rPr>
          <w:rFonts w:hint="eastAsia" w:ascii="仿宋" w:hAnsi="仿宋" w:eastAsia="仿宋" w:cs="仿宋"/>
          <w:sz w:val="32"/>
          <w:szCs w:val="32"/>
          <w:lang w:val="en-US" w:eastAsia="zh-CN"/>
        </w:rPr>
        <w:t>1</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1</w:t>
      </w:r>
      <w:r>
        <w:rPr>
          <w:rFonts w:hint="eastAsia" w:ascii="仿宋" w:hAnsi="仿宋" w:eastAsia="仿宋" w:cs="仿宋"/>
          <w:sz w:val="32"/>
          <w:szCs w:val="32"/>
        </w:rPr>
        <w:t>分）</w:t>
      </w:r>
    </w:p>
    <w:p w14:paraId="1210D9E7">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制定基层首诊、规范转诊，促进救助对象合理就医制度并有效执行</w:t>
      </w:r>
      <w:r>
        <w:rPr>
          <w:rFonts w:hint="eastAsia" w:ascii="仿宋" w:hAnsi="仿宋" w:eastAsia="仿宋" w:cs="仿宋"/>
          <w:sz w:val="32"/>
          <w:szCs w:val="32"/>
          <w:lang w:eastAsia="zh-CN"/>
        </w:rPr>
        <w:t>。</w:t>
      </w:r>
    </w:p>
    <w:p w14:paraId="477DF11C">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）控制救助对象全自费和高值医用耗材超限价自负费用</w:t>
      </w:r>
      <w:r>
        <w:rPr>
          <w:rFonts w:hint="eastAsia" w:ascii="仿宋" w:hAnsi="仿宋" w:eastAsia="仿宋" w:cs="仿宋"/>
          <w:sz w:val="32"/>
          <w:szCs w:val="32"/>
        </w:rPr>
        <w:t>（满分</w:t>
      </w:r>
      <w:r>
        <w:rPr>
          <w:rFonts w:hint="eastAsia" w:ascii="仿宋" w:hAnsi="仿宋" w:eastAsia="仿宋" w:cs="仿宋"/>
          <w:sz w:val="32"/>
          <w:szCs w:val="32"/>
          <w:lang w:val="en-US" w:eastAsia="zh-CN"/>
        </w:rPr>
        <w:t>3</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3</w:t>
      </w:r>
      <w:r>
        <w:rPr>
          <w:rFonts w:hint="eastAsia" w:ascii="仿宋" w:hAnsi="仿宋" w:eastAsia="仿宋" w:cs="仿宋"/>
          <w:sz w:val="32"/>
          <w:szCs w:val="32"/>
        </w:rPr>
        <w:t>分）</w:t>
      </w:r>
    </w:p>
    <w:p w14:paraId="2CACD07D">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措施有力，将自负费用和全自负费用之和占医疗总费用比例纳入医保服务协议管理；对救助对象住院医疗费用结构进行监测，对定点医疗机构困难群众住院费用进行监管。</w:t>
      </w:r>
    </w:p>
    <w:p w14:paraId="4DA058E1">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3.时效指标（满分</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分）</w:t>
      </w:r>
    </w:p>
    <w:p w14:paraId="1EAD2746">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市域内一站式即时结算覆盖</w:t>
      </w:r>
      <w:r>
        <w:rPr>
          <w:rFonts w:hint="eastAsia" w:ascii="仿宋" w:hAnsi="仿宋" w:eastAsia="仿宋" w:cs="仿宋"/>
          <w:sz w:val="32"/>
          <w:szCs w:val="32"/>
          <w:lang w:val="en-US" w:eastAsia="zh-CN"/>
        </w:rPr>
        <w:t>率</w:t>
      </w:r>
      <w:r>
        <w:rPr>
          <w:rFonts w:hint="eastAsia" w:ascii="仿宋" w:hAnsi="仿宋" w:eastAsia="仿宋" w:cs="仿宋"/>
          <w:sz w:val="32"/>
          <w:szCs w:val="32"/>
        </w:rPr>
        <w:t>（满分</w:t>
      </w:r>
      <w:r>
        <w:rPr>
          <w:rFonts w:hint="eastAsia" w:ascii="仿宋" w:hAnsi="仿宋" w:eastAsia="仿宋" w:cs="仿宋"/>
          <w:sz w:val="32"/>
          <w:szCs w:val="32"/>
          <w:lang w:val="en-US" w:eastAsia="zh-CN"/>
        </w:rPr>
        <w:t>2</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2</w:t>
      </w:r>
    </w:p>
    <w:p w14:paraId="3683CE44">
      <w:pPr>
        <w:rPr>
          <w:rFonts w:hint="eastAsia" w:ascii="仿宋" w:hAnsi="仿宋" w:eastAsia="仿宋" w:cs="仿宋"/>
          <w:sz w:val="32"/>
          <w:szCs w:val="32"/>
        </w:rPr>
      </w:pPr>
      <w:r>
        <w:rPr>
          <w:rFonts w:hint="eastAsia" w:ascii="仿宋" w:hAnsi="仿宋" w:eastAsia="仿宋" w:cs="仿宋"/>
          <w:sz w:val="32"/>
          <w:szCs w:val="32"/>
        </w:rPr>
        <w:t>分）</w:t>
      </w:r>
    </w:p>
    <w:p w14:paraId="10E8FCB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市域内一站式即时结算覆盖地区11个县市区，202</w:t>
      </w:r>
      <w:r>
        <w:rPr>
          <w:rFonts w:hint="eastAsia" w:ascii="仿宋" w:hAnsi="仿宋" w:eastAsia="仿宋" w:cs="仿宋"/>
          <w:sz w:val="32"/>
          <w:szCs w:val="32"/>
          <w:lang w:val="en-US" w:eastAsia="zh-CN"/>
        </w:rPr>
        <w:t>4</w:t>
      </w:r>
      <w:r>
        <w:rPr>
          <w:rFonts w:hint="eastAsia" w:ascii="仿宋" w:hAnsi="仿宋" w:eastAsia="仿宋" w:cs="仿宋"/>
          <w:sz w:val="32"/>
          <w:szCs w:val="32"/>
        </w:rPr>
        <w:t>年市内跨县区一站式结算的医疗机构4</w:t>
      </w:r>
      <w:r>
        <w:rPr>
          <w:rFonts w:hint="eastAsia" w:ascii="仿宋" w:hAnsi="仿宋" w:eastAsia="仿宋" w:cs="仿宋"/>
          <w:sz w:val="32"/>
          <w:szCs w:val="32"/>
          <w:lang w:val="en-US" w:eastAsia="zh-CN"/>
        </w:rPr>
        <w:t>1</w:t>
      </w:r>
      <w:r>
        <w:rPr>
          <w:rFonts w:hint="eastAsia" w:ascii="仿宋" w:hAnsi="仿宋" w:eastAsia="仿宋" w:cs="仿宋"/>
          <w:sz w:val="32"/>
          <w:szCs w:val="32"/>
        </w:rPr>
        <w:t>家</w:t>
      </w:r>
      <w:r>
        <w:rPr>
          <w:rFonts w:hint="eastAsia" w:ascii="仿宋" w:hAnsi="仿宋" w:eastAsia="仿宋" w:cs="仿宋"/>
          <w:sz w:val="32"/>
          <w:szCs w:val="32"/>
          <w:lang w:eastAsia="zh-CN"/>
        </w:rPr>
        <w:t>。</w:t>
      </w:r>
    </w:p>
    <w:p w14:paraId="28BFCC76">
      <w:pPr>
        <w:ind w:firstLine="640" w:firstLineChars="200"/>
        <w:rPr>
          <w:rFonts w:hint="eastAsia" w:ascii="楷体" w:hAnsi="楷体" w:eastAsia="楷体" w:cs="楷体"/>
          <w:sz w:val="32"/>
          <w:szCs w:val="32"/>
        </w:rPr>
      </w:pPr>
      <w:r>
        <w:rPr>
          <w:rFonts w:hint="eastAsia" w:ascii="楷体" w:hAnsi="楷体" w:eastAsia="楷体" w:cs="楷体"/>
          <w:sz w:val="32"/>
          <w:szCs w:val="32"/>
        </w:rPr>
        <w:t>（四）效益指标（满分</w:t>
      </w:r>
      <w:r>
        <w:rPr>
          <w:rFonts w:hint="eastAsia" w:ascii="楷体" w:hAnsi="楷体" w:eastAsia="楷体" w:cs="楷体"/>
          <w:sz w:val="32"/>
          <w:szCs w:val="32"/>
          <w:lang w:val="en-US" w:eastAsia="zh-CN"/>
        </w:rPr>
        <w:t>19</w:t>
      </w:r>
      <w:r>
        <w:rPr>
          <w:rFonts w:hint="eastAsia" w:ascii="楷体" w:hAnsi="楷体" w:eastAsia="楷体" w:cs="楷体"/>
          <w:sz w:val="32"/>
          <w:szCs w:val="32"/>
        </w:rPr>
        <w:t>分，评价得分</w:t>
      </w:r>
      <w:r>
        <w:rPr>
          <w:rFonts w:hint="eastAsia" w:ascii="楷体" w:hAnsi="楷体" w:eastAsia="楷体" w:cs="楷体"/>
          <w:sz w:val="32"/>
          <w:szCs w:val="32"/>
          <w:lang w:val="en-US" w:eastAsia="zh-CN"/>
        </w:rPr>
        <w:t>19</w:t>
      </w:r>
      <w:r>
        <w:rPr>
          <w:rFonts w:hint="eastAsia" w:ascii="楷体" w:hAnsi="楷体" w:eastAsia="楷体" w:cs="楷体"/>
          <w:sz w:val="32"/>
          <w:szCs w:val="32"/>
        </w:rPr>
        <w:t>分）</w:t>
      </w:r>
    </w:p>
    <w:p w14:paraId="7C8F4CE2">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1.社会效益指标（满分 </w:t>
      </w:r>
      <w:r>
        <w:rPr>
          <w:rFonts w:hint="eastAsia" w:ascii="仿宋" w:hAnsi="仿宋" w:eastAsia="仿宋" w:cs="仿宋"/>
          <w:b/>
          <w:bCs/>
          <w:sz w:val="32"/>
          <w:szCs w:val="32"/>
          <w:lang w:val="en-US" w:eastAsia="zh-CN"/>
        </w:rPr>
        <w:t>13</w:t>
      </w:r>
      <w:r>
        <w:rPr>
          <w:rFonts w:hint="eastAsia" w:ascii="仿宋" w:hAnsi="仿宋" w:eastAsia="仿宋" w:cs="仿宋"/>
          <w:b/>
          <w:bCs/>
          <w:sz w:val="32"/>
          <w:szCs w:val="32"/>
        </w:rPr>
        <w:t>分，评价得</w:t>
      </w:r>
      <w:r>
        <w:rPr>
          <w:rFonts w:hint="eastAsia" w:ascii="仿宋" w:hAnsi="仿宋" w:eastAsia="仿宋" w:cs="仿宋"/>
          <w:b/>
          <w:bCs/>
          <w:sz w:val="32"/>
          <w:szCs w:val="32"/>
          <w:lang w:val="en-US" w:eastAsia="zh-CN"/>
        </w:rPr>
        <w:t>13</w:t>
      </w:r>
      <w:r>
        <w:rPr>
          <w:rFonts w:hint="eastAsia" w:ascii="仿宋" w:hAnsi="仿宋" w:eastAsia="仿宋" w:cs="仿宋"/>
          <w:b/>
          <w:bCs/>
          <w:sz w:val="32"/>
          <w:szCs w:val="32"/>
        </w:rPr>
        <w:t>分）</w:t>
      </w:r>
    </w:p>
    <w:p w14:paraId="4EF75AAD">
      <w:pPr>
        <w:ind w:firstLine="640" w:firstLineChars="200"/>
        <w:rPr>
          <w:rFonts w:hint="eastAsia" w:ascii="仿宋" w:hAnsi="仿宋" w:eastAsia="仿宋" w:cs="仿宋"/>
          <w:sz w:val="32"/>
          <w:szCs w:val="32"/>
        </w:rPr>
      </w:pPr>
      <w:r>
        <w:rPr>
          <w:rFonts w:hint="eastAsia" w:ascii="仿宋" w:hAnsi="仿宋" w:eastAsia="仿宋" w:cs="仿宋"/>
          <w:sz w:val="32"/>
          <w:szCs w:val="32"/>
        </w:rPr>
        <w:t>（1）城乡医疗救助政策知晓率（满分</w:t>
      </w:r>
      <w:r>
        <w:rPr>
          <w:rFonts w:hint="eastAsia" w:ascii="仿宋" w:hAnsi="仿宋" w:eastAsia="仿宋" w:cs="仿宋"/>
          <w:sz w:val="32"/>
          <w:szCs w:val="32"/>
          <w:lang w:val="en-US" w:eastAsia="zh-CN"/>
        </w:rPr>
        <w:t>5</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 分）</w:t>
      </w:r>
    </w:p>
    <w:p w14:paraId="71D6542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城乡医疗救助政策知晓率</w:t>
      </w:r>
      <w:r>
        <w:rPr>
          <w:rFonts w:hint="eastAsia" w:ascii="仿宋" w:hAnsi="仿宋" w:eastAsia="仿宋" w:cs="仿宋"/>
          <w:sz w:val="32"/>
          <w:szCs w:val="32"/>
          <w:lang w:val="en-US" w:eastAsia="zh-CN"/>
        </w:rPr>
        <w:t>100%</w:t>
      </w:r>
    </w:p>
    <w:p w14:paraId="31CA0803">
      <w:pPr>
        <w:ind w:firstLine="640" w:firstLineChars="200"/>
        <w:rPr>
          <w:rFonts w:hint="eastAsia" w:ascii="仿宋" w:hAnsi="仿宋" w:eastAsia="仿宋" w:cs="仿宋"/>
          <w:sz w:val="32"/>
          <w:szCs w:val="32"/>
        </w:rPr>
      </w:pPr>
      <w:r>
        <w:rPr>
          <w:rFonts w:hint="eastAsia" w:ascii="仿宋" w:hAnsi="仿宋" w:eastAsia="仿宋" w:cs="仿宋"/>
          <w:sz w:val="32"/>
          <w:szCs w:val="32"/>
        </w:rPr>
        <w:t>（2）困难群众看病就医方便程度（满分</w:t>
      </w:r>
      <w:r>
        <w:rPr>
          <w:rFonts w:hint="eastAsia" w:ascii="仿宋" w:hAnsi="仿宋" w:eastAsia="仿宋" w:cs="仿宋"/>
          <w:sz w:val="32"/>
          <w:szCs w:val="32"/>
          <w:lang w:val="en-US" w:eastAsia="zh-CN"/>
        </w:rPr>
        <w:t>3</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3</w:t>
      </w:r>
      <w:r>
        <w:rPr>
          <w:rFonts w:hint="eastAsia" w:ascii="仿宋" w:hAnsi="仿宋" w:eastAsia="仿宋" w:cs="仿宋"/>
          <w:sz w:val="32"/>
          <w:szCs w:val="32"/>
        </w:rPr>
        <w:t>分）</w:t>
      </w:r>
    </w:p>
    <w:p w14:paraId="6190991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①</w:t>
      </w:r>
      <w:r>
        <w:rPr>
          <w:rFonts w:hint="eastAsia" w:ascii="仿宋" w:hAnsi="仿宋" w:eastAsia="仿宋" w:cs="仿宋"/>
          <w:sz w:val="32"/>
          <w:szCs w:val="32"/>
        </w:rPr>
        <w:t>定点医疗机构实施一站式结算；</w:t>
      </w:r>
      <w:r>
        <w:rPr>
          <w:rFonts w:hint="eastAsia" w:ascii="仿宋" w:hAnsi="仿宋" w:eastAsia="仿宋" w:cs="仿宋"/>
          <w:sz w:val="32"/>
          <w:szCs w:val="32"/>
          <w:lang w:val="en-US" w:eastAsia="zh-CN"/>
        </w:rPr>
        <w:t>②</w:t>
      </w:r>
      <w:r>
        <w:rPr>
          <w:rFonts w:hint="eastAsia" w:ascii="仿宋" w:hAnsi="仿宋" w:eastAsia="仿宋" w:cs="仿宋"/>
          <w:sz w:val="32"/>
          <w:szCs w:val="32"/>
        </w:rPr>
        <w:t>2024年新晃县一站式结算覆盖定点医疗机构41家，协议零售药店48家。</w:t>
      </w:r>
    </w:p>
    <w:p w14:paraId="6E88C9AD">
      <w:pPr>
        <w:ind w:firstLine="640" w:firstLineChars="200"/>
        <w:rPr>
          <w:rFonts w:hint="eastAsia" w:ascii="仿宋" w:hAnsi="仿宋" w:eastAsia="仿宋" w:cs="仿宋"/>
          <w:sz w:val="32"/>
          <w:szCs w:val="32"/>
        </w:rPr>
      </w:pPr>
      <w:r>
        <w:rPr>
          <w:rFonts w:hint="eastAsia" w:ascii="仿宋" w:hAnsi="仿宋" w:eastAsia="仿宋" w:cs="仿宋"/>
          <w:sz w:val="32"/>
          <w:szCs w:val="32"/>
        </w:rPr>
        <w:t>（3）困难群众就医负担减轻程度 （满分</w:t>
      </w:r>
      <w:r>
        <w:rPr>
          <w:rFonts w:hint="eastAsia" w:ascii="仿宋" w:hAnsi="仿宋" w:eastAsia="仿宋" w:cs="仿宋"/>
          <w:sz w:val="32"/>
          <w:szCs w:val="32"/>
          <w:lang w:val="en-US" w:eastAsia="zh-CN"/>
        </w:rPr>
        <w:t>5</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5</w:t>
      </w:r>
      <w:r>
        <w:rPr>
          <w:rFonts w:hint="eastAsia" w:ascii="仿宋" w:hAnsi="仿宋" w:eastAsia="仿宋" w:cs="仿宋"/>
          <w:sz w:val="32"/>
          <w:szCs w:val="32"/>
        </w:rPr>
        <w:t>分）</w:t>
      </w:r>
    </w:p>
    <w:p w14:paraId="086058CA">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困难群众就医负担有效减轻，未发生冲击社会道德底线事件 ；全额资助 </w:t>
      </w:r>
      <w:r>
        <w:rPr>
          <w:rFonts w:hint="eastAsia" w:ascii="仿宋" w:hAnsi="仿宋" w:eastAsia="仿宋" w:cs="仿宋"/>
          <w:sz w:val="32"/>
          <w:szCs w:val="32"/>
          <w:lang w:val="en-US" w:eastAsia="zh-CN"/>
        </w:rPr>
        <w:t>6002</w:t>
      </w:r>
      <w:r>
        <w:rPr>
          <w:rFonts w:hint="eastAsia" w:ascii="仿宋" w:hAnsi="仿宋" w:eastAsia="仿宋" w:cs="仿宋"/>
          <w:sz w:val="32"/>
          <w:szCs w:val="32"/>
        </w:rPr>
        <w:t>人，对</w:t>
      </w:r>
      <w:r>
        <w:rPr>
          <w:rFonts w:hint="eastAsia" w:ascii="仿宋" w:hAnsi="仿宋" w:eastAsia="仿宋" w:cs="仿宋"/>
          <w:sz w:val="32"/>
          <w:szCs w:val="32"/>
          <w:lang w:val="en-US" w:eastAsia="zh-CN"/>
        </w:rPr>
        <w:t>10264</w:t>
      </w:r>
      <w:r>
        <w:rPr>
          <w:rFonts w:hint="eastAsia" w:ascii="仿宋" w:hAnsi="仿宋" w:eastAsia="仿宋" w:cs="仿宋"/>
          <w:sz w:val="32"/>
          <w:szCs w:val="32"/>
        </w:rPr>
        <w:t>人进行 50%资助。</w:t>
      </w:r>
    </w:p>
    <w:p w14:paraId="3B84E825">
      <w:pPr>
        <w:ind w:firstLine="643" w:firstLineChars="200"/>
        <w:rPr>
          <w:rFonts w:hint="eastAsia" w:ascii="仿宋" w:hAnsi="仿宋" w:eastAsia="仿宋" w:cs="仿宋"/>
          <w:sz w:val="32"/>
          <w:szCs w:val="32"/>
        </w:rPr>
      </w:pPr>
      <w:r>
        <w:rPr>
          <w:rFonts w:hint="eastAsia" w:ascii="仿宋" w:hAnsi="仿宋" w:eastAsia="仿宋" w:cs="仿宋"/>
          <w:b/>
          <w:bCs/>
          <w:sz w:val="32"/>
          <w:szCs w:val="32"/>
        </w:rPr>
        <w:t xml:space="preserve">2.可持续影响指标（满分 </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分，评价得分</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分）</w:t>
      </w:r>
    </w:p>
    <w:p w14:paraId="275CCF8C">
      <w:pPr>
        <w:ind w:firstLine="640" w:firstLineChars="200"/>
        <w:rPr>
          <w:rFonts w:hint="eastAsia" w:ascii="仿宋" w:hAnsi="仿宋" w:eastAsia="仿宋" w:cs="仿宋"/>
          <w:sz w:val="32"/>
          <w:szCs w:val="32"/>
        </w:rPr>
      </w:pPr>
      <w:r>
        <w:rPr>
          <w:rFonts w:hint="eastAsia" w:ascii="仿宋" w:hAnsi="仿宋" w:eastAsia="仿宋" w:cs="仿宋"/>
          <w:sz w:val="32"/>
          <w:szCs w:val="32"/>
        </w:rPr>
        <w:t>（1）对健全社会救助体系的影响（满分</w:t>
      </w:r>
      <w:r>
        <w:rPr>
          <w:rFonts w:hint="eastAsia" w:ascii="仿宋" w:hAnsi="仿宋" w:eastAsia="仿宋" w:cs="仿宋"/>
          <w:sz w:val="32"/>
          <w:szCs w:val="32"/>
          <w:lang w:val="en-US" w:eastAsia="zh-CN"/>
        </w:rPr>
        <w:t>3</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3</w:t>
      </w:r>
      <w:r>
        <w:rPr>
          <w:rFonts w:hint="eastAsia" w:ascii="仿宋" w:hAnsi="仿宋" w:eastAsia="仿宋" w:cs="仿宋"/>
          <w:sz w:val="32"/>
          <w:szCs w:val="32"/>
        </w:rPr>
        <w:t>分）</w:t>
      </w:r>
    </w:p>
    <w:p w14:paraId="3A614C66">
      <w:pPr>
        <w:ind w:firstLine="640" w:firstLineChars="200"/>
        <w:rPr>
          <w:rFonts w:hint="eastAsia" w:ascii="仿宋" w:hAnsi="仿宋" w:eastAsia="仿宋" w:cs="仿宋"/>
          <w:sz w:val="32"/>
          <w:szCs w:val="32"/>
        </w:rPr>
      </w:pPr>
      <w:r>
        <w:rPr>
          <w:rFonts w:hint="eastAsia" w:ascii="仿宋" w:hAnsi="仿宋" w:eastAsia="仿宋" w:cs="仿宋"/>
          <w:sz w:val="32"/>
          <w:szCs w:val="32"/>
        </w:rPr>
        <w:t>成效明显。</w:t>
      </w:r>
    </w:p>
    <w:p w14:paraId="4397BFED">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（2）对健全医疗保障体系的作用（满分 </w:t>
      </w:r>
      <w:r>
        <w:rPr>
          <w:rFonts w:hint="eastAsia" w:ascii="仿宋" w:hAnsi="仿宋" w:eastAsia="仿宋" w:cs="仿宋"/>
          <w:sz w:val="32"/>
          <w:szCs w:val="32"/>
          <w:lang w:val="en-US" w:eastAsia="zh-CN"/>
        </w:rPr>
        <w:t>3</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3</w:t>
      </w:r>
      <w:r>
        <w:rPr>
          <w:rFonts w:hint="eastAsia" w:ascii="仿宋" w:hAnsi="仿宋" w:eastAsia="仿宋" w:cs="仿宋"/>
          <w:sz w:val="32"/>
          <w:szCs w:val="32"/>
        </w:rPr>
        <w:t>分）</w:t>
      </w:r>
    </w:p>
    <w:p w14:paraId="73DAD507">
      <w:pPr>
        <w:ind w:firstLine="640" w:firstLineChars="200"/>
        <w:rPr>
          <w:rFonts w:hint="eastAsia" w:ascii="仿宋" w:hAnsi="仿宋" w:eastAsia="仿宋" w:cs="仿宋"/>
          <w:sz w:val="32"/>
          <w:szCs w:val="32"/>
        </w:rPr>
      </w:pPr>
      <w:r>
        <w:rPr>
          <w:rFonts w:hint="eastAsia" w:ascii="仿宋" w:hAnsi="仿宋" w:eastAsia="仿宋" w:cs="仿宋"/>
          <w:sz w:val="32"/>
          <w:szCs w:val="32"/>
        </w:rPr>
        <w:t>成效明显。</w:t>
      </w:r>
    </w:p>
    <w:p w14:paraId="1B1958D6">
      <w:pPr>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（五）满意度指标</w:t>
      </w:r>
      <w:r>
        <w:rPr>
          <w:rFonts w:hint="eastAsia" w:ascii="楷体" w:hAnsi="楷体" w:eastAsia="楷体" w:cs="楷体"/>
          <w:b/>
          <w:bCs/>
          <w:sz w:val="32"/>
          <w:szCs w:val="32"/>
        </w:rPr>
        <w:t xml:space="preserve">（满分 </w:t>
      </w:r>
      <w:r>
        <w:rPr>
          <w:rFonts w:hint="eastAsia" w:ascii="楷体" w:hAnsi="楷体" w:eastAsia="楷体" w:cs="楷体"/>
          <w:b/>
          <w:bCs/>
          <w:sz w:val="32"/>
          <w:szCs w:val="32"/>
          <w:lang w:val="en-US" w:eastAsia="zh-CN"/>
        </w:rPr>
        <w:t>5</w:t>
      </w:r>
      <w:r>
        <w:rPr>
          <w:rFonts w:hint="eastAsia" w:ascii="楷体" w:hAnsi="楷体" w:eastAsia="楷体" w:cs="楷体"/>
          <w:b/>
          <w:bCs/>
          <w:sz w:val="32"/>
          <w:szCs w:val="32"/>
        </w:rPr>
        <w:t>分，评价得分</w:t>
      </w:r>
      <w:r>
        <w:rPr>
          <w:rFonts w:hint="eastAsia" w:ascii="楷体" w:hAnsi="楷体" w:eastAsia="楷体" w:cs="楷体"/>
          <w:b/>
          <w:bCs/>
          <w:sz w:val="32"/>
          <w:szCs w:val="32"/>
          <w:lang w:val="en-US" w:eastAsia="zh-CN"/>
        </w:rPr>
        <w:t>5</w:t>
      </w:r>
      <w:r>
        <w:rPr>
          <w:rFonts w:hint="eastAsia" w:ascii="楷体" w:hAnsi="楷体" w:eastAsia="楷体" w:cs="楷体"/>
          <w:b/>
          <w:bCs/>
          <w:sz w:val="32"/>
          <w:szCs w:val="32"/>
        </w:rPr>
        <w:t>分）</w:t>
      </w:r>
    </w:p>
    <w:p w14:paraId="411EB4EE">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服务对象满意度（</w:t>
      </w:r>
      <w:r>
        <w:rPr>
          <w:rFonts w:hint="eastAsia" w:ascii="仿宋" w:hAnsi="仿宋" w:eastAsia="仿宋" w:cs="仿宋"/>
          <w:sz w:val="32"/>
          <w:szCs w:val="32"/>
        </w:rPr>
        <w:t>满分</w:t>
      </w:r>
      <w:r>
        <w:rPr>
          <w:rFonts w:hint="eastAsia" w:ascii="仿宋" w:hAnsi="仿宋" w:eastAsia="仿宋" w:cs="仿宋"/>
          <w:sz w:val="32"/>
          <w:szCs w:val="32"/>
          <w:lang w:val="en-US" w:eastAsia="zh-CN"/>
        </w:rPr>
        <w:t>5</w:t>
      </w:r>
      <w:r>
        <w:rPr>
          <w:rFonts w:hint="eastAsia" w:ascii="仿宋" w:hAnsi="仿宋" w:eastAsia="仿宋" w:cs="仿宋"/>
          <w:sz w:val="32"/>
          <w:szCs w:val="32"/>
        </w:rPr>
        <w:t>分，评价得分</w:t>
      </w:r>
      <w:r>
        <w:rPr>
          <w:rFonts w:hint="eastAsia" w:ascii="仿宋" w:hAnsi="仿宋" w:eastAsia="仿宋" w:cs="仿宋"/>
          <w:sz w:val="32"/>
          <w:szCs w:val="32"/>
          <w:lang w:val="en-US" w:eastAsia="zh-CN"/>
        </w:rPr>
        <w:t>5</w:t>
      </w:r>
      <w:r>
        <w:rPr>
          <w:rFonts w:hint="eastAsia" w:ascii="仿宋" w:hAnsi="仿宋" w:eastAsia="仿宋" w:cs="仿宋"/>
          <w:sz w:val="32"/>
          <w:szCs w:val="32"/>
        </w:rPr>
        <w:t>分</w:t>
      </w:r>
      <w:r>
        <w:rPr>
          <w:rFonts w:hint="eastAsia" w:ascii="仿宋" w:hAnsi="仿宋" w:eastAsia="仿宋" w:cs="仿宋"/>
          <w:sz w:val="32"/>
          <w:szCs w:val="32"/>
          <w:lang w:val="en-US" w:eastAsia="zh-CN"/>
        </w:rPr>
        <w:t>）</w:t>
      </w:r>
    </w:p>
    <w:p w14:paraId="05447016">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服务对象满意度100%。</w:t>
      </w:r>
    </w:p>
    <w:p w14:paraId="4D513456">
      <w:pPr>
        <w:numPr>
          <w:ilvl w:val="0"/>
          <w:numId w:val="0"/>
        </w:numPr>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绩效目标未完成的，分析未完成原因</w:t>
      </w:r>
    </w:p>
    <w:p w14:paraId="786116A2">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2439BC89">
      <w:pPr>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、存在的主要问题和改进措施</w:t>
      </w:r>
    </w:p>
    <w:p w14:paraId="558DE5A0">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（一）存在的问题</w:t>
      </w:r>
    </w:p>
    <w:p w14:paraId="07CB3790">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2024年我县中央医疗救助补助资金收入706.01万元、省级医疗救助补助资金收入187.71万元、其他收入5.89万元（合计899.61万元）。</w:t>
      </w:r>
      <w:r>
        <w:rPr>
          <w:rFonts w:hint="eastAsia" w:ascii="仿宋" w:hAnsi="仿宋" w:eastAsia="仿宋" w:cs="仿宋"/>
          <w:b w:val="0"/>
          <w:bCs w:val="0"/>
          <w:color w:val="000000" w:themeColor="text1"/>
          <w:sz w:val="32"/>
          <w:szCs w:val="32"/>
          <w:lang w:val="en-US" w:eastAsia="zh-CN"/>
          <w14:textFill>
            <w14:solidFill>
              <w14:schemeClr w14:val="tx1"/>
            </w14:solidFill>
          </w14:textFill>
        </w:rPr>
        <w:t>2024年我县按照</w:t>
      </w:r>
      <w:r>
        <w:rPr>
          <w:rFonts w:hint="eastAsia" w:ascii="仿宋" w:hAnsi="仿宋" w:eastAsia="仿宋" w:cs="仿宋"/>
          <w:b w:val="0"/>
          <w:bCs w:val="0"/>
          <w:i w:val="0"/>
          <w:iCs w:val="0"/>
          <w:caps w:val="0"/>
          <w:color w:val="000000" w:themeColor="text1"/>
          <w:spacing w:val="0"/>
          <w:sz w:val="32"/>
          <w:szCs w:val="32"/>
          <w:shd w:val="clear" w:fill="FFFFFF"/>
          <w14:textFill>
            <w14:solidFill>
              <w14:schemeClr w14:val="tx1"/>
            </w14:solidFill>
          </w14:textFill>
        </w:rPr>
        <w:t>《湖南省医疗救助办法》</w:t>
      </w:r>
      <w:r>
        <w:rPr>
          <w:rFonts w:hint="eastAsia" w:ascii="仿宋" w:hAnsi="仿宋" w:eastAsia="仿宋" w:cs="仿宋"/>
          <w:b w:val="0"/>
          <w:bCs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怀化市医疗救助实施细则</w:t>
      </w:r>
      <w:r>
        <w:rPr>
          <w:rFonts w:hint="eastAsia" w:ascii="仿宋" w:hAnsi="仿宋" w:eastAsia="仿宋" w:cs="仿宋"/>
          <w:b w:val="0"/>
          <w:bCs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参保资助16266人，门诊资助11355人次，住院资助8617人次，本年支出1967.75万元，</w:t>
      </w:r>
      <w:r>
        <w:rPr>
          <w:rFonts w:hint="eastAsia" w:ascii="仿宋" w:hAnsi="仿宋" w:eastAsia="仿宋" w:cs="仿宋"/>
          <w:sz w:val="32"/>
          <w:szCs w:val="32"/>
          <w:lang w:val="en-US" w:eastAsia="zh-CN"/>
        </w:rPr>
        <w:t>当年收支结余</w:t>
      </w:r>
      <w:r>
        <w:rPr>
          <w:rFonts w:hint="eastAsia" w:ascii="仿宋" w:hAnsi="仿宋" w:eastAsia="仿宋" w:cs="仿宋"/>
          <w:sz w:val="32"/>
          <w:szCs w:val="32"/>
        </w:rPr>
        <w:t>-1068.14</w:t>
      </w:r>
      <w:r>
        <w:rPr>
          <w:rFonts w:hint="eastAsia" w:ascii="仿宋" w:hAnsi="仿宋" w:eastAsia="仿宋" w:cs="仿宋"/>
          <w:sz w:val="32"/>
          <w:szCs w:val="32"/>
          <w:lang w:val="en-US" w:eastAsia="zh-CN"/>
        </w:rPr>
        <w:t>万元，2024年医疗救助资金收入无法满足当年医疗救助补助资金使用需求。</w:t>
      </w:r>
    </w:p>
    <w:p w14:paraId="2E80F2A4">
      <w:pPr>
        <w:numPr>
          <w:ilvl w:val="0"/>
          <w:numId w:val="2"/>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改进措施</w:t>
      </w:r>
    </w:p>
    <w:p w14:paraId="7A4F2E32">
      <w:pPr>
        <w:numPr>
          <w:ilvl w:val="0"/>
          <w:numId w:val="0"/>
        </w:numPr>
        <w:ind w:firstLine="640" w:firstLineChars="200"/>
        <w:jc w:val="left"/>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仿宋" w:hAnsi="仿宋" w:eastAsia="仿宋" w:cs="仿宋"/>
          <w:sz w:val="32"/>
          <w:szCs w:val="32"/>
          <w:lang w:val="en-US" w:eastAsia="zh-CN"/>
        </w:rPr>
        <w:t>1.严格</w:t>
      </w:r>
      <w:r>
        <w:rPr>
          <w:rFonts w:hint="eastAsia" w:ascii="仿宋" w:hAnsi="仿宋" w:eastAsia="仿宋" w:cs="仿宋"/>
          <w:b w:val="0"/>
          <w:bCs w:val="0"/>
          <w:color w:val="000000" w:themeColor="text1"/>
          <w:sz w:val="32"/>
          <w:szCs w:val="32"/>
          <w:lang w:val="en-US" w:eastAsia="zh-CN"/>
          <w14:textFill>
            <w14:solidFill>
              <w14:schemeClr w14:val="tx1"/>
            </w14:solidFill>
          </w14:textFill>
        </w:rPr>
        <w:t>执行</w:t>
      </w:r>
      <w:r>
        <w:rPr>
          <w:rFonts w:hint="eastAsia" w:ascii="仿宋" w:hAnsi="仿宋" w:eastAsia="仿宋" w:cs="仿宋"/>
          <w:b w:val="0"/>
          <w:bCs w:val="0"/>
          <w:i w:val="0"/>
          <w:iCs w:val="0"/>
          <w:caps w:val="0"/>
          <w:color w:val="000000" w:themeColor="text1"/>
          <w:spacing w:val="0"/>
          <w:sz w:val="32"/>
          <w:szCs w:val="32"/>
          <w:shd w:val="clear" w:fill="FFFFFF"/>
          <w14:textFill>
            <w14:solidFill>
              <w14:schemeClr w14:val="tx1"/>
            </w14:solidFill>
          </w14:textFill>
        </w:rPr>
        <w:t>《湖南省医疗救助办法》</w:t>
      </w:r>
      <w:r>
        <w:rPr>
          <w:rFonts w:hint="eastAsia" w:ascii="仿宋" w:hAnsi="仿宋" w:eastAsia="仿宋" w:cs="仿宋"/>
          <w:b w:val="0"/>
          <w:bCs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怀化市医疗救助实施细则</w:t>
      </w:r>
      <w:r>
        <w:rPr>
          <w:rFonts w:hint="eastAsia" w:ascii="仿宋" w:hAnsi="仿宋" w:eastAsia="仿宋" w:cs="仿宋"/>
          <w:b w:val="0"/>
          <w:bCs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等文件精神，实行应保尽保、应救尽救；</w:t>
      </w:r>
    </w:p>
    <w:p w14:paraId="58D0B9B5">
      <w:pPr>
        <w:numPr>
          <w:ilvl w:val="0"/>
          <w:numId w:val="0"/>
        </w:numPr>
        <w:ind w:firstLine="640" w:firstLineChars="200"/>
        <w:jc w:val="left"/>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2.加强医疗救助资金使用管理，加强医疗救助资金监管；</w:t>
      </w:r>
    </w:p>
    <w:p w14:paraId="6E8FCD94">
      <w:pPr>
        <w:numPr>
          <w:ilvl w:val="0"/>
          <w:numId w:val="0"/>
        </w:numPr>
        <w:ind w:firstLine="640" w:firstLineChars="200"/>
        <w:jc w:val="left"/>
        <w:rPr>
          <w:rFonts w:hint="default"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32"/>
          <w:szCs w:val="32"/>
          <w:shd w:val="clear" w:fill="FFFFFF"/>
          <w:lang w:val="en-US" w:eastAsia="zh-CN"/>
          <w14:textFill>
            <w14:solidFill>
              <w14:schemeClr w14:val="tx1"/>
            </w14:solidFill>
          </w14:textFill>
        </w:rPr>
        <w:t>3.严格按文件认定医疗救助三类困难群众。</w:t>
      </w:r>
    </w:p>
    <w:p w14:paraId="5A21F15F">
      <w:pPr>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、经验做法和</w:t>
      </w:r>
      <w:r>
        <w:rPr>
          <w:rFonts w:hint="eastAsia" w:ascii="黑体" w:hAnsi="黑体" w:eastAsia="黑体" w:cs="黑体"/>
          <w:sz w:val="32"/>
          <w:szCs w:val="32"/>
          <w:lang w:val="en-US" w:eastAsia="zh-CN"/>
        </w:rPr>
        <w:t>意见</w:t>
      </w:r>
      <w:r>
        <w:rPr>
          <w:rFonts w:hint="eastAsia" w:ascii="黑体" w:hAnsi="黑体" w:eastAsia="黑体" w:cs="黑体"/>
          <w:sz w:val="32"/>
          <w:szCs w:val="32"/>
        </w:rPr>
        <w:t>建议</w:t>
      </w:r>
    </w:p>
    <w:p w14:paraId="1EFE6CFD">
      <w:pPr>
        <w:ind w:firstLine="640" w:firstLineChars="200"/>
        <w:rPr>
          <w:rFonts w:hint="eastAsia" w:ascii="仿宋" w:hAnsi="仿宋" w:eastAsia="仿宋" w:cs="仿宋"/>
          <w:sz w:val="32"/>
          <w:szCs w:val="32"/>
        </w:rPr>
      </w:pPr>
      <w:r>
        <w:rPr>
          <w:rFonts w:hint="eastAsia" w:ascii="仿宋" w:hAnsi="仿宋" w:eastAsia="仿宋" w:cs="仿宋"/>
          <w:sz w:val="32"/>
          <w:szCs w:val="32"/>
        </w:rPr>
        <w:t>（一）经验做法</w:t>
      </w:r>
    </w:p>
    <w:p w14:paraId="15345FE7">
      <w:pPr>
        <w:numPr>
          <w:ilvl w:val="0"/>
          <w:numId w:val="0"/>
        </w:numPr>
        <w:ind w:firstLine="643" w:firstLineChars="200"/>
        <w:jc w:val="left"/>
        <w:rPr>
          <w:rFonts w:hint="eastAsia" w:ascii="仿宋" w:hAnsi="仿宋" w:eastAsia="仿宋" w:cs="仿宋"/>
          <w:sz w:val="32"/>
          <w:szCs w:val="32"/>
        </w:rPr>
      </w:pPr>
      <w:r>
        <w:rPr>
          <w:rFonts w:hint="eastAsia" w:ascii="仿宋" w:hAnsi="仿宋" w:eastAsia="仿宋" w:cs="仿宋"/>
          <w:b/>
          <w:bCs/>
          <w:sz w:val="32"/>
          <w:szCs w:val="32"/>
          <w:lang w:val="en-US" w:eastAsia="zh-CN"/>
        </w:rPr>
        <w:t>一是</w:t>
      </w:r>
      <w:r>
        <w:rPr>
          <w:rFonts w:hint="eastAsia" w:ascii="仿宋" w:hAnsi="仿宋" w:eastAsia="仿宋" w:cs="仿宋"/>
          <w:sz w:val="32"/>
          <w:szCs w:val="32"/>
          <w:lang w:val="en-US" w:eastAsia="zh-CN"/>
        </w:rPr>
        <w:t>加大政策宣传力度，提高老百姓对医疗救助政策知晓率；</w:t>
      </w:r>
      <w:r>
        <w:rPr>
          <w:rFonts w:hint="eastAsia" w:ascii="仿宋" w:hAnsi="仿宋" w:eastAsia="仿宋" w:cs="仿宋"/>
          <w:b/>
          <w:bCs/>
          <w:sz w:val="32"/>
          <w:szCs w:val="32"/>
          <w:lang w:val="en-US" w:eastAsia="zh-CN"/>
        </w:rPr>
        <w:t>二是</w:t>
      </w:r>
      <w:r>
        <w:rPr>
          <w:rFonts w:hint="eastAsia" w:ascii="仿宋" w:hAnsi="仿宋" w:eastAsia="仿宋" w:cs="仿宋"/>
          <w:b w:val="0"/>
          <w:bCs w:val="0"/>
          <w:sz w:val="32"/>
          <w:szCs w:val="32"/>
          <w:lang w:val="en-US" w:eastAsia="zh-CN"/>
        </w:rPr>
        <w:t>实施医疗救助对象信息动态管理，建全</w:t>
      </w:r>
      <w:r>
        <w:rPr>
          <w:rFonts w:hint="eastAsia" w:ascii="仿宋" w:hAnsi="仿宋" w:eastAsia="仿宋" w:cs="仿宋"/>
          <w:sz w:val="32"/>
          <w:szCs w:val="32"/>
          <w:lang w:val="en-US" w:eastAsia="zh-CN"/>
        </w:rPr>
        <w:t>预警机制，提高救助精准性，实现“政策找人”。</w:t>
      </w:r>
    </w:p>
    <w:p w14:paraId="07F9B0F2">
      <w:pPr>
        <w:numPr>
          <w:ilvl w:val="0"/>
          <w:numId w:val="0"/>
        </w:numPr>
        <w:ind w:leftChars="200"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意见建议</w:t>
      </w:r>
    </w:p>
    <w:p w14:paraId="4C5E902D">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请求</w:t>
      </w:r>
      <w:r>
        <w:rPr>
          <w:rFonts w:hint="eastAsia" w:ascii="仿宋" w:hAnsi="仿宋" w:eastAsia="仿宋" w:cs="仿宋"/>
          <w:i w:val="0"/>
          <w:iCs w:val="0"/>
          <w:caps w:val="0"/>
          <w:color w:val="000000" w:themeColor="text1"/>
          <w:spacing w:val="0"/>
          <w:sz w:val="32"/>
          <w:szCs w:val="32"/>
          <w14:textFill>
            <w14:solidFill>
              <w14:schemeClr w14:val="tx1"/>
            </w14:solidFill>
          </w14:textFill>
        </w:rPr>
        <w:t>中央和省级财政持续加大医疗救助资金投入</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p>
    <w:p w14:paraId="15E857A3">
      <w:pPr>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、其他需要说明的问题</w:t>
      </w:r>
    </w:p>
    <w:p w14:paraId="058B976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3F674DB3">
      <w:pPr>
        <w:ind w:firstLine="640" w:firstLineChars="200"/>
        <w:rPr>
          <w:rFonts w:hint="eastAsia" w:ascii="仿宋" w:hAnsi="仿宋" w:eastAsia="仿宋" w:cs="仿宋"/>
          <w:sz w:val="32"/>
          <w:szCs w:val="32"/>
        </w:rPr>
      </w:pPr>
    </w:p>
    <w:p w14:paraId="52FD02F9">
      <w:pPr>
        <w:ind w:firstLine="640" w:firstLineChars="200"/>
        <w:rPr>
          <w:rFonts w:hint="eastAsia" w:ascii="仿宋" w:hAnsi="仿宋" w:eastAsia="仿宋" w:cs="仿宋"/>
          <w:sz w:val="32"/>
          <w:szCs w:val="32"/>
        </w:rPr>
      </w:pPr>
      <w:r>
        <w:rPr>
          <w:rFonts w:hint="eastAsia" w:ascii="仿宋" w:hAnsi="仿宋" w:eastAsia="仿宋" w:cs="仿宋"/>
          <w:sz w:val="32"/>
          <w:szCs w:val="32"/>
        </w:rPr>
        <w:t>附件：医疗救助补助资金（城乡医疗救助补助资金部分）绩效自评表</w:t>
      </w:r>
    </w:p>
    <w:p w14:paraId="73690D14">
      <w:pPr>
        <w:rPr>
          <w:rFonts w:hint="eastAsia" w:ascii="仿宋" w:hAnsi="仿宋" w:eastAsia="仿宋" w:cs="仿宋"/>
          <w:sz w:val="32"/>
          <w:szCs w:val="32"/>
        </w:rPr>
      </w:pPr>
    </w:p>
    <w:p w14:paraId="262B23A7">
      <w:pPr>
        <w:rPr>
          <w:rFonts w:hint="eastAsia" w:ascii="仿宋" w:hAnsi="仿宋" w:eastAsia="仿宋" w:cs="仿宋"/>
          <w:sz w:val="32"/>
          <w:szCs w:val="32"/>
        </w:rPr>
      </w:pPr>
      <w:r>
        <w:drawing>
          <wp:anchor distT="0" distB="0" distL="114300" distR="114300" simplePos="0" relativeHeight="251659264" behindDoc="0" locked="0" layoutInCell="1" allowOverlap="1">
            <wp:simplePos x="0" y="0"/>
            <wp:positionH relativeFrom="column">
              <wp:posOffset>2995930</wp:posOffset>
            </wp:positionH>
            <wp:positionV relativeFrom="paragraph">
              <wp:posOffset>20320</wp:posOffset>
            </wp:positionV>
            <wp:extent cx="1577975" cy="1593850"/>
            <wp:effectExtent l="0" t="0" r="11430" b="0"/>
            <wp:wrapNone/>
            <wp:docPr id="3" name="图片 2" descr="图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层"/>
                    <pic:cNvPicPr>
                      <a:picLocks noChangeAspect="1"/>
                    </pic:cNvPicPr>
                  </pic:nvPicPr>
                  <pic:blipFill>
                    <a:blip r:embed="rId7"/>
                    <a:stretch>
                      <a:fillRect/>
                    </a:stretch>
                  </pic:blipFill>
                  <pic:spPr>
                    <a:xfrm rot="593927">
                      <a:off x="0" y="0"/>
                      <a:ext cx="1577975" cy="1593850"/>
                    </a:xfrm>
                    <a:prstGeom prst="rect">
                      <a:avLst/>
                    </a:prstGeom>
                    <a:noFill/>
                    <a:ln>
                      <a:noFill/>
                    </a:ln>
                  </pic:spPr>
                </pic:pic>
              </a:graphicData>
            </a:graphic>
          </wp:anchor>
        </w:drawing>
      </w:r>
    </w:p>
    <w:p w14:paraId="7486BFCE">
      <w:pPr>
        <w:rPr>
          <w:rFonts w:hint="eastAsia" w:ascii="仿宋" w:hAnsi="仿宋" w:eastAsia="仿宋" w:cs="仿宋"/>
          <w:sz w:val="32"/>
          <w:szCs w:val="32"/>
        </w:rPr>
      </w:pPr>
    </w:p>
    <w:p w14:paraId="0FC54169">
      <w:pPr>
        <w:ind w:firstLine="4160" w:firstLineChars="1300"/>
        <w:rPr>
          <w:rFonts w:hint="eastAsia" w:ascii="仿宋" w:hAnsi="仿宋" w:eastAsia="仿宋" w:cs="仿宋"/>
          <w:sz w:val="32"/>
          <w:szCs w:val="32"/>
        </w:rPr>
      </w:pPr>
      <w:r>
        <w:rPr>
          <w:rFonts w:hint="eastAsia" w:ascii="仿宋" w:hAnsi="仿宋" w:eastAsia="仿宋" w:cs="仿宋"/>
          <w:sz w:val="32"/>
          <w:szCs w:val="32"/>
          <w:lang w:val="en-US" w:eastAsia="zh-CN"/>
        </w:rPr>
        <w:t>新晃侗族自治县</w:t>
      </w:r>
      <w:r>
        <w:rPr>
          <w:rFonts w:hint="eastAsia" w:ascii="仿宋" w:hAnsi="仿宋" w:eastAsia="仿宋" w:cs="仿宋"/>
          <w:sz w:val="32"/>
          <w:szCs w:val="32"/>
        </w:rPr>
        <w:t>医疗保障局</w:t>
      </w:r>
    </w:p>
    <w:p w14:paraId="3A7F4ADA">
      <w:pPr>
        <w:ind w:firstLine="5120" w:firstLineChars="1600"/>
        <w:rPr>
          <w:rFonts w:hint="eastAsia" w:ascii="仿宋" w:hAnsi="仿宋" w:eastAsia="仿宋" w:cs="仿宋"/>
          <w:sz w:val="32"/>
          <w:szCs w:val="32"/>
        </w:rPr>
      </w:pPr>
      <w:r>
        <w:rPr>
          <w:rFonts w:hint="eastAsia" w:ascii="仿宋" w:hAnsi="仿宋" w:eastAsia="仿宋" w:cs="仿宋"/>
          <w:sz w:val="32"/>
          <w:szCs w:val="32"/>
        </w:rPr>
        <w:t>2025年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w:t>
      </w:r>
    </w:p>
    <w:p w14:paraId="47FD066B">
      <w:pPr>
        <w:ind w:firstLine="5760" w:firstLineChars="1800"/>
        <w:rPr>
          <w:rFonts w:hint="eastAsia" w:ascii="仿宋" w:hAnsi="仿宋" w:eastAsia="仿宋" w:cs="仿宋"/>
          <w:sz w:val="32"/>
          <w:szCs w:val="32"/>
        </w:rPr>
      </w:pPr>
    </w:p>
    <w:p w14:paraId="4A17FD7F">
      <w:pPr>
        <w:ind w:firstLine="5760" w:firstLineChars="1800"/>
        <w:rPr>
          <w:rFonts w:hint="eastAsia" w:ascii="仿宋" w:hAnsi="仿宋" w:eastAsia="仿宋" w:cs="仿宋"/>
          <w:sz w:val="32"/>
          <w:szCs w:val="32"/>
        </w:rPr>
      </w:pPr>
    </w:p>
    <w:p w14:paraId="13A2E3C2">
      <w:pPr>
        <w:ind w:firstLine="5760" w:firstLineChars="1800"/>
        <w:rPr>
          <w:rFonts w:hint="eastAsia" w:ascii="仿宋" w:hAnsi="仿宋" w:eastAsia="仿宋" w:cs="仿宋"/>
          <w:sz w:val="32"/>
          <w:szCs w:val="32"/>
        </w:rPr>
      </w:pPr>
    </w:p>
    <w:p w14:paraId="01B878B8">
      <w:pPr>
        <w:rPr>
          <w:rFonts w:hint="eastAsia" w:ascii="仿宋" w:hAnsi="仿宋" w:eastAsia="仿宋" w:cs="仿宋"/>
          <w:sz w:val="32"/>
          <w:szCs w:val="32"/>
          <w:lang w:eastAsia="zh-CN"/>
        </w:rPr>
      </w:pPr>
      <w:r>
        <w:rPr>
          <w:rFonts w:hint="eastAsia" w:ascii="仿宋" w:hAnsi="仿宋" w:eastAsia="仿宋" w:cs="仿宋"/>
          <w:sz w:val="32"/>
          <w:szCs w:val="32"/>
          <w:lang w:eastAsia="zh-CN"/>
        </w:rPr>
        <w:object>
          <v:shape id="_x0000_i1025" o:spt="75" type="#_x0000_t75" style="height:66pt;width:72.75pt;" o:ole="t" filled="f" o:preferrelative="t" stroked="f" coordsize="21600,21600">
            <v:path/>
            <v:fill on="f" focussize="0,0"/>
            <v:stroke on="f"/>
            <v:imagedata r:id="rId9" o:title=""/>
            <o:lock v:ext="edit" aspectratio="t"/>
            <w10:wrap type="none"/>
            <w10:anchorlock/>
          </v:shape>
          <o:OLEObject Type="Embed" ProgID="Excel.Sheet.12" ShapeID="_x0000_i1025" DrawAspect="Icon" ObjectID="_1468075725" r:id="rId8">
            <o:LockedField>false</o:LockedField>
          </o:OLEObject>
        </w:object>
      </w:r>
    </w:p>
    <w:p w14:paraId="047335D3">
      <w:pPr>
        <w:spacing w:before="32" w:line="227" w:lineRule="auto"/>
        <w:ind w:left="35"/>
        <w:rPr>
          <w:rFonts w:hint="eastAsia" w:ascii="宋体" w:hAnsi="宋体" w:eastAsia="宋体" w:cs="宋体"/>
          <w:sz w:val="10"/>
          <w:szCs w:val="10"/>
          <w:lang w:eastAsia="zh-CN"/>
        </w:rPr>
      </w:pPr>
    </w:p>
    <w:sectPr>
      <w:footerReference r:id="rId5" w:type="default"/>
      <w:pgSz w:w="11906" w:h="16838"/>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9542114-76B2-4BDE-8E58-8B42FD8E2BE7}"/>
  </w:font>
  <w:font w:name="黑体">
    <w:panose1 w:val="02010609060101010101"/>
    <w:charset w:val="86"/>
    <w:family w:val="auto"/>
    <w:pitch w:val="default"/>
    <w:sig w:usb0="800002BF" w:usb1="38CF7CFA" w:usb2="00000016" w:usb3="00000000" w:csb0="00040001" w:csb1="00000000"/>
    <w:embedRegular r:id="rId2" w:fontKey="{D186FB8B-5C8A-48E1-A8DD-5E758CEFEE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3" w:fontKey="{3F4830BB-E7FC-44AB-ABC6-F3685312427B}"/>
  </w:font>
  <w:font w:name="仿宋_GB2312">
    <w:altName w:val="仿宋"/>
    <w:panose1 w:val="02010609030101010101"/>
    <w:charset w:val="86"/>
    <w:family w:val="modern"/>
    <w:pitch w:val="default"/>
    <w:sig w:usb0="00000000" w:usb1="00000000" w:usb2="00000000" w:usb3="00000000" w:csb0="00040000" w:csb1="00000000"/>
    <w:embedRegular r:id="rId4" w:fontKey="{378FFC11-46CB-47A6-9BC7-568ED041A1EE}"/>
  </w:font>
  <w:font w:name="华文中宋">
    <w:panose1 w:val="02010600040101010101"/>
    <w:charset w:val="86"/>
    <w:family w:val="auto"/>
    <w:pitch w:val="default"/>
    <w:sig w:usb0="00000287" w:usb1="080F0000" w:usb2="00000000" w:usb3="00000000" w:csb0="0004009F" w:csb1="DFD70000"/>
    <w:embedRegular r:id="rId5" w:fontKey="{7921F25C-E9BF-44F5-A934-4DA252FF7814}"/>
  </w:font>
  <w:font w:name="方正公文小标宋">
    <w:panose1 w:val="02000500000000000000"/>
    <w:charset w:val="86"/>
    <w:family w:val="auto"/>
    <w:pitch w:val="default"/>
    <w:sig w:usb0="A00002BF" w:usb1="38CF7CFA" w:usb2="00000016" w:usb3="00000000" w:csb0="00040001" w:csb1="00000000"/>
    <w:embedRegular r:id="rId6" w:fontKey="{7412836A-747F-480F-936C-75E53A5C27CC}"/>
  </w:font>
  <w:font w:name="楷体">
    <w:panose1 w:val="02010609060101010101"/>
    <w:charset w:val="86"/>
    <w:family w:val="auto"/>
    <w:pitch w:val="default"/>
    <w:sig w:usb0="800002BF" w:usb1="38CF7CFA" w:usb2="00000016" w:usb3="00000000" w:csb0="00040001" w:csb1="00000000"/>
    <w:embedRegular r:id="rId7" w:fontKey="{F35D063E-36C3-4041-B988-5AF480A62E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5ECCB">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A72BC"/>
    <w:multiLevelType w:val="singleLevel"/>
    <w:tmpl w:val="8FCA72BC"/>
    <w:lvl w:ilvl="0" w:tentative="0">
      <w:start w:val="2"/>
      <w:numFmt w:val="chineseCounting"/>
      <w:suff w:val="nothing"/>
      <w:lvlText w:val="（%1）"/>
      <w:lvlJc w:val="left"/>
      <w:rPr>
        <w:rFonts w:hint="eastAsia"/>
      </w:rPr>
    </w:lvl>
  </w:abstractNum>
  <w:abstractNum w:abstractNumId="1">
    <w:nsid w:val="585C2FA2"/>
    <w:multiLevelType w:val="singleLevel"/>
    <w:tmpl w:val="585C2FA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Tc3NDA3MjU1ODY3YmYxNjM4OGE2NDUxZjlmNGZlOGMifQ=="/>
  </w:docVars>
  <w:rsids>
    <w:rsidRoot w:val="00000000"/>
    <w:rsid w:val="1B1F438E"/>
    <w:rsid w:val="3812316D"/>
    <w:rsid w:val="412224FD"/>
    <w:rsid w:val="504518F6"/>
    <w:rsid w:val="514F397A"/>
    <w:rsid w:val="52026090"/>
    <w:rsid w:val="5FE66E30"/>
    <w:rsid w:val="62276E4E"/>
    <w:rsid w:val="74CC3080"/>
    <w:rsid w:val="75673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黑体" w:hAnsi="黑体" w:eastAsia="黑体" w:cs="黑体"/>
      <w:sz w:val="14"/>
      <w:szCs w:val="1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4001</Words>
  <Characters>4380</Characters>
  <TotalTime>29</TotalTime>
  <ScaleCrop>false</ScaleCrop>
  <LinksUpToDate>false</LinksUpToDate>
  <CharactersWithSpaces>4508</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2024-02-21T09:36:00Z</dcterms:created>
  <dc:creator>胡超</dc:creator>
  <cp:lastModifiedBy>春暖花开</cp:lastModifiedBy>
  <cp:lastPrinted>2025-03-21T00:29:18Z</cp:lastPrinted>
  <dcterms:modified xsi:type="dcterms:W3CDTF">2025-03-21T00:29:40Z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2024-04-08T08:19:42Z</vt:filetime>
  </property>
  <property fmtid="{D5CDD505-2E9C-101B-9397-08002B2CF9AE}" pid="4" name="KSOProductBuildVer">
    <vt:lpwstr>2052-12.1.0.20305</vt:lpwstr>
  </property>
  <property fmtid="{D5CDD505-2E9C-101B-9397-08002B2CF9AE}" pid="5" name="ICV">
    <vt:lpwstr>32E29C6F6E2D40928DEF8E87C51476EE_13</vt:lpwstr>
  </property>
  <property fmtid="{D5CDD505-2E9C-101B-9397-08002B2CF9AE}" pid="6" name="KSOTemplateDocerSaveRecord">
    <vt:lpwstr>eyJoZGlkIjoiYTc3NDA3MjU1ODY3YmYxNjM4OGE2NDUxZjlmNGZlOGMiLCJ1c2VySWQiOiI0NDA4NTE0ODQifQ==</vt:lpwstr>
  </property>
</Properties>
</file>