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0E3D93">
      <w:pPr>
        <w:pStyle w:val="12"/>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hAnsi="黑体" w:cs="黑体"/>
          <w:b w:val="0"/>
          <w:bCs/>
          <w:sz w:val="32"/>
          <w:szCs w:val="32"/>
          <w:lang w:eastAsia="zh-CN"/>
        </w:rPr>
        <w:t>新晃县医疗保障局</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14:paraId="31676A64">
      <w:pPr>
        <w:pStyle w:val="12"/>
        <w:keepNext w:val="0"/>
        <w:keepLines w:val="0"/>
        <w:pageBreakBefore w:val="0"/>
        <w:widowControl w:val="0"/>
        <w:kinsoku/>
        <w:wordWrap/>
        <w:overflowPunct/>
        <w:topLinePunct w:val="0"/>
        <w:bidi w:val="0"/>
        <w:snapToGrid/>
        <w:spacing w:line="600" w:lineRule="exact"/>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lang w:eastAsia="zh-CN"/>
        </w:rPr>
        <w:t>一、</w:t>
      </w:r>
      <w:r>
        <w:rPr>
          <w:rFonts w:hint="eastAsia" w:ascii="楷体" w:hAnsi="楷体" w:eastAsia="楷体" w:cs="楷体"/>
          <w:b/>
          <w:bCs/>
          <w:sz w:val="30"/>
          <w:szCs w:val="30"/>
        </w:rPr>
        <w:t>部门整体支出绩效情况</w:t>
      </w:r>
    </w:p>
    <w:p w14:paraId="5CCC3289">
      <w:pPr>
        <w:widowControl/>
        <w:spacing w:line="600" w:lineRule="exact"/>
        <w:ind w:firstLine="800" w:firstLineChars="250"/>
        <w:rPr>
          <w:rFonts w:hint="eastAsia" w:ascii="仿宋" w:hAnsi="仿宋" w:eastAsia="仿宋"/>
          <w:sz w:val="32"/>
          <w:szCs w:val="32"/>
          <w:shd w:val="clear" w:color="auto" w:fill="FFFFFF"/>
        </w:rPr>
      </w:pPr>
      <w:r>
        <w:rPr>
          <w:rFonts w:hint="eastAsia" w:ascii="仿宋_GB2312" w:hAnsi="仿宋_GB2312" w:eastAsia="仿宋_GB2312" w:cs="仿宋_GB2312"/>
          <w:color w:val="000000"/>
          <w:sz w:val="32"/>
          <w:szCs w:val="32"/>
          <w:lang w:val="en-US" w:eastAsia="zh-CN"/>
        </w:rPr>
        <w:t>2023年，</w:t>
      </w:r>
      <w:r>
        <w:rPr>
          <w:rFonts w:hint="eastAsia" w:ascii="仿宋_GB2312" w:hAnsi="仿宋_GB2312" w:eastAsia="仿宋_GB2312" w:cs="仿宋_GB2312"/>
          <w:color w:val="000000"/>
          <w:sz w:val="32"/>
          <w:szCs w:val="32"/>
        </w:rPr>
        <w:t>新晃县医保局坚持以习近平新时代中国特色社会主义思想为指导，深入学习贯彻党的二十大会议精神，以落实医保惠民、利民、便民、为民各项政策为落脚点，</w:t>
      </w:r>
      <w:r>
        <w:rPr>
          <w:rFonts w:hint="eastAsia" w:ascii="仿宋_GB2312" w:hAnsi="仿宋_GB2312" w:eastAsia="仿宋_GB2312" w:cs="仿宋_GB2312"/>
          <w:b w:val="0"/>
          <w:bCs w:val="0"/>
          <w:color w:val="000000"/>
          <w:sz w:val="32"/>
          <w:szCs w:val="32"/>
        </w:rPr>
        <w:t>在优服务、建体系、强管理服务体系建设和综合能力提升中坚持“三优三化”，着力解决医保经办服务痛点、堵点、难点问题，全力打造群众满意的医保经办服务，有效促进</w:t>
      </w:r>
      <w:r>
        <w:rPr>
          <w:rFonts w:hint="eastAsia" w:ascii="仿宋_GB2312" w:hAnsi="仿宋_GB2312" w:eastAsia="仿宋_GB2312" w:cs="仿宋_GB2312"/>
          <w:b w:val="0"/>
          <w:bCs w:val="0"/>
          <w:color w:val="000000"/>
          <w:sz w:val="32"/>
          <w:szCs w:val="32"/>
          <w:lang w:eastAsia="zh-CN"/>
        </w:rPr>
        <w:t>我</w:t>
      </w:r>
      <w:r>
        <w:rPr>
          <w:rFonts w:hint="eastAsia" w:ascii="仿宋_GB2312" w:hAnsi="仿宋_GB2312" w:eastAsia="仿宋_GB2312" w:cs="仿宋_GB2312"/>
          <w:b w:val="0"/>
          <w:bCs w:val="0"/>
          <w:color w:val="000000"/>
          <w:sz w:val="32"/>
          <w:szCs w:val="32"/>
          <w:lang w:val="en-US" w:eastAsia="zh-CN"/>
        </w:rPr>
        <w:t>县</w:t>
      </w:r>
      <w:r>
        <w:rPr>
          <w:rFonts w:hint="eastAsia" w:ascii="仿宋_GB2312" w:hAnsi="仿宋_GB2312" w:eastAsia="仿宋_GB2312" w:cs="仿宋_GB2312"/>
          <w:b w:val="0"/>
          <w:bCs w:val="0"/>
          <w:color w:val="000000"/>
          <w:sz w:val="32"/>
          <w:szCs w:val="32"/>
        </w:rPr>
        <w:t>医疗保障事业高质量可持续发展。</w:t>
      </w:r>
      <w:r>
        <w:rPr>
          <w:rFonts w:hint="eastAsia" w:ascii="仿宋_GB2312" w:hAnsi="仿宋_GB2312" w:eastAsia="仿宋_GB2312" w:cs="仿宋_GB2312"/>
          <w:sz w:val="32"/>
          <w:szCs w:val="32"/>
        </w:rPr>
        <w:t>我局分别荣获省医疗保障局《2022年度医保管理服务真抓实干表现突出地区表彰》、《2022年度医疗保障脱贫攻坚成果同乡村振兴有效衔接工作表现突出单位表彰》、《2022年度政务信息工作成绩突出单位表彰》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color w:val="000000"/>
          <w:sz w:val="32"/>
          <w:szCs w:val="32"/>
          <w:lang w:val="en-US" w:eastAsia="zh-CN"/>
        </w:rPr>
        <w:t>县</w:t>
      </w:r>
      <w:r>
        <w:rPr>
          <w:rFonts w:hint="eastAsia" w:ascii="仿宋_GB2312" w:hAnsi="仿宋_GB2312" w:eastAsia="仿宋_GB2312" w:cs="仿宋_GB2312"/>
          <w:b w:val="0"/>
          <w:bCs w:val="0"/>
          <w:color w:val="000000"/>
          <w:sz w:val="32"/>
          <w:szCs w:val="32"/>
        </w:rPr>
        <w:t>医保事务中心荣获怀化市</w:t>
      </w:r>
      <w:r>
        <w:rPr>
          <w:rFonts w:hint="eastAsia" w:ascii="仿宋_GB2312" w:hAnsi="仿宋_GB2312" w:eastAsia="仿宋_GB2312" w:cs="仿宋_GB2312"/>
          <w:b w:val="0"/>
          <w:bCs w:val="0"/>
          <w:color w:val="000000"/>
          <w:sz w:val="32"/>
          <w:szCs w:val="32"/>
          <w:lang w:val="en-US" w:eastAsia="zh-CN"/>
        </w:rPr>
        <w:t>2022年度</w:t>
      </w:r>
      <w:r>
        <w:rPr>
          <w:rFonts w:hint="eastAsia" w:ascii="仿宋_GB2312" w:hAnsi="仿宋_GB2312" w:eastAsia="仿宋_GB2312" w:cs="仿宋_GB2312"/>
          <w:b w:val="0"/>
          <w:bCs w:val="0"/>
          <w:color w:val="000000"/>
          <w:sz w:val="32"/>
          <w:szCs w:val="32"/>
        </w:rPr>
        <w:t>“清廉医保窗口”称号</w:t>
      </w:r>
      <w:r>
        <w:rPr>
          <w:rFonts w:hint="eastAsia" w:ascii="仿宋_GB2312" w:hAnsi="仿宋_GB2312" w:eastAsia="仿宋_GB2312" w:cs="仿宋_GB2312"/>
          <w:sz w:val="32"/>
          <w:szCs w:val="32"/>
        </w:rPr>
        <w:t>。</w:t>
      </w:r>
      <w:r>
        <w:rPr>
          <w:rFonts w:hint="eastAsia" w:ascii="仿宋" w:hAnsi="仿宋" w:eastAsia="仿宋" w:cs="Times New Roman"/>
          <w:sz w:val="32"/>
          <w:szCs w:val="32"/>
          <w:lang w:eastAsia="zh-CN"/>
        </w:rPr>
        <w:t>社会公众和服务人群满意度均超过</w:t>
      </w:r>
      <w:r>
        <w:rPr>
          <w:rFonts w:hint="eastAsia" w:ascii="仿宋" w:hAnsi="仿宋" w:eastAsia="仿宋" w:cs="Times New Roman"/>
          <w:sz w:val="32"/>
          <w:szCs w:val="32"/>
          <w:lang w:val="en-US" w:eastAsia="zh-CN"/>
        </w:rPr>
        <w:t>95%。</w:t>
      </w:r>
      <w:r>
        <w:rPr>
          <w:rFonts w:hint="eastAsia" w:ascii="仿宋" w:hAnsi="仿宋" w:eastAsia="仿宋" w:cs="Times New Roman"/>
          <w:sz w:val="32"/>
          <w:szCs w:val="32"/>
        </w:rPr>
        <w:t>根据《部门整体支出绩效评价指标》评分表自评得分</w:t>
      </w:r>
      <w:r>
        <w:rPr>
          <w:rFonts w:hint="eastAsia" w:ascii="仿宋" w:hAnsi="仿宋" w:eastAsia="仿宋" w:cs="Times New Roman"/>
          <w:sz w:val="32"/>
          <w:szCs w:val="32"/>
          <w:lang w:val="en-US" w:eastAsia="zh-CN"/>
        </w:rPr>
        <w:t>97</w:t>
      </w:r>
      <w:r>
        <w:rPr>
          <w:rFonts w:hint="eastAsia" w:ascii="仿宋" w:hAnsi="仿宋" w:eastAsia="仿宋" w:cs="Times New Roman"/>
          <w:sz w:val="32"/>
          <w:szCs w:val="32"/>
        </w:rPr>
        <w:t>分，财政支出绩效为</w:t>
      </w:r>
      <w:r>
        <w:rPr>
          <w:rFonts w:hint="eastAsia" w:ascii="仿宋" w:hAnsi="仿宋" w:eastAsia="仿宋"/>
          <w:sz w:val="32"/>
          <w:szCs w:val="32"/>
          <w:shd w:val="clear" w:color="auto" w:fill="FFFFFF"/>
        </w:rPr>
        <w:t>“</w:t>
      </w:r>
      <w:r>
        <w:rPr>
          <w:rFonts w:hint="eastAsia" w:ascii="仿宋" w:hAnsi="仿宋" w:eastAsia="仿宋"/>
          <w:sz w:val="32"/>
          <w:szCs w:val="32"/>
          <w:shd w:val="clear" w:color="auto" w:fill="FFFFFF"/>
          <w:lang w:eastAsia="zh-CN"/>
        </w:rPr>
        <w:t>优秀</w:t>
      </w:r>
      <w:r>
        <w:rPr>
          <w:rFonts w:hint="eastAsia" w:ascii="仿宋" w:hAnsi="仿宋" w:eastAsia="仿宋"/>
          <w:sz w:val="32"/>
          <w:szCs w:val="32"/>
          <w:shd w:val="clear" w:color="auto" w:fill="FFFFFF"/>
        </w:rPr>
        <w:t>”。主要绩效如下：</w:t>
      </w:r>
    </w:p>
    <w:p w14:paraId="52571241">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bCs/>
          <w:color w:val="000000"/>
          <w:sz w:val="32"/>
          <w:szCs w:val="32"/>
          <w:lang w:val="en-US" w:eastAsia="zh-CN"/>
        </w:rPr>
        <w:t>（一）、工作亮点</w:t>
      </w:r>
    </w:p>
    <w:p w14:paraId="76EE05C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bCs/>
          <w:color w:val="000000"/>
          <w:sz w:val="32"/>
          <w:szCs w:val="32"/>
          <w:highlight w:val="none"/>
          <w:lang w:val="en-US" w:eastAsia="zh-CN"/>
        </w:rPr>
        <w:t>1.政策宣传多样化。一是</w:t>
      </w:r>
      <w:r>
        <w:rPr>
          <w:rFonts w:hint="eastAsia" w:ascii="仿宋_GB2312" w:hAnsi="仿宋_GB2312" w:eastAsia="仿宋_GB2312" w:cs="仿宋_GB2312"/>
          <w:b/>
          <w:bCs/>
          <w:color w:val="000000"/>
          <w:sz w:val="32"/>
          <w:szCs w:val="32"/>
          <w:highlight w:val="none"/>
        </w:rPr>
        <w:t>将医保政策宣传与民族传统节日相融合</w:t>
      </w:r>
      <w:r>
        <w:rPr>
          <w:rFonts w:hint="eastAsia" w:ascii="仿宋_GB2312" w:hAnsi="仿宋_GB2312" w:eastAsia="仿宋_GB2312" w:cs="仿宋_GB2312"/>
          <w:b/>
          <w:bCs/>
          <w:color w:val="000000"/>
          <w:sz w:val="32"/>
          <w:szCs w:val="32"/>
          <w:highlight w:val="none"/>
          <w:lang w:eastAsia="zh-CN"/>
        </w:rPr>
        <w:t>。</w:t>
      </w:r>
      <w:r>
        <w:rPr>
          <w:rFonts w:hint="eastAsia" w:ascii="仿宋_GB2312" w:hAnsi="仿宋_GB2312" w:eastAsia="仿宋_GB2312" w:cs="仿宋_GB2312"/>
          <w:bCs/>
          <w:color w:val="000000"/>
          <w:sz w:val="32"/>
          <w:szCs w:val="32"/>
          <w:highlight w:val="none"/>
        </w:rPr>
        <w:t>7月20日</w:t>
      </w:r>
      <w:r>
        <w:rPr>
          <w:rFonts w:hint="eastAsia" w:ascii="仿宋_GB2312" w:hAnsi="仿宋_GB2312" w:eastAsia="仿宋_GB2312" w:cs="仿宋_GB2312"/>
          <w:b w:val="0"/>
          <w:bCs w:val="0"/>
          <w:color w:val="000000"/>
          <w:sz w:val="32"/>
          <w:szCs w:val="32"/>
          <w:highlight w:val="none"/>
        </w:rPr>
        <w:t>圆满举办了“尝新节”暨医保政策进侗家宣传活动</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通过本次活动的成功举办，相关信息报道和工作经验在</w:t>
      </w:r>
      <w:r>
        <w:rPr>
          <w:rFonts w:hint="eastAsia" w:ascii="仿宋_GB2312" w:hAnsi="仿宋_GB2312" w:eastAsia="仿宋_GB2312" w:cs="仿宋_GB2312"/>
          <w:b w:val="0"/>
          <w:bCs w:val="0"/>
          <w:color w:val="000000"/>
          <w:sz w:val="32"/>
          <w:szCs w:val="32"/>
          <w:highlight w:val="none"/>
          <w:lang w:eastAsia="zh-CN"/>
        </w:rPr>
        <w:t>新华社</w:t>
      </w:r>
      <w:r>
        <w:rPr>
          <w:rFonts w:hint="eastAsia" w:ascii="仿宋_GB2312" w:hAnsi="仿宋_GB2312" w:eastAsia="仿宋_GB2312" w:cs="仿宋_GB2312"/>
          <w:b w:val="0"/>
          <w:bCs w:val="0"/>
          <w:color w:val="000000"/>
          <w:sz w:val="32"/>
          <w:szCs w:val="32"/>
          <w:highlight w:val="none"/>
        </w:rPr>
        <w:t>中国新闻网、潇湘晨报等媒体相继报道。</w:t>
      </w:r>
      <w:r>
        <w:rPr>
          <w:rFonts w:hint="eastAsia" w:ascii="仿宋_GB2312" w:hAnsi="仿宋_GB2312" w:eastAsia="仿宋_GB2312" w:cs="仿宋_GB2312"/>
          <w:b/>
          <w:bCs/>
          <w:color w:val="000000"/>
          <w:sz w:val="32"/>
          <w:szCs w:val="32"/>
          <w:highlight w:val="none"/>
          <w:lang w:val="en-US" w:eastAsia="zh-CN"/>
        </w:rPr>
        <w:t>二是</w:t>
      </w:r>
      <w:r>
        <w:rPr>
          <w:rFonts w:hint="eastAsia" w:ascii="仿宋_GB2312" w:hAnsi="仿宋_GB2312" w:eastAsia="仿宋_GB2312" w:cs="仿宋_GB2312"/>
          <w:b/>
          <w:bCs/>
          <w:color w:val="000000"/>
          <w:sz w:val="32"/>
          <w:szCs w:val="32"/>
          <w:highlight w:val="none"/>
        </w:rPr>
        <w:t>创新思路</w:t>
      </w:r>
      <w:r>
        <w:rPr>
          <w:rFonts w:hint="eastAsia" w:ascii="仿宋_GB2312" w:hAnsi="仿宋_GB2312" w:eastAsia="仿宋_GB2312" w:cs="仿宋_GB2312"/>
          <w:b/>
          <w:bCs/>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通过采取“三封信”的办法，发出“致全县人民的一封政策信</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“致异地定点医疗机构的一封协同信”</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“致外出务工人员的一封告知信”</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着力解决“不知晓”</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“优服务”</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“怎么办”</w:t>
      </w:r>
      <w:r>
        <w:rPr>
          <w:rFonts w:hint="eastAsia" w:ascii="仿宋_GB2312" w:hAnsi="仿宋_GB2312" w:eastAsia="仿宋_GB2312" w:cs="仿宋_GB2312"/>
          <w:b w:val="0"/>
          <w:bCs w:val="0"/>
          <w:color w:val="000000"/>
          <w:sz w:val="32"/>
          <w:szCs w:val="32"/>
          <w:highlight w:val="none"/>
          <w:lang w:val="en-US" w:eastAsia="zh-CN"/>
        </w:rPr>
        <w:t>问题，</w:t>
      </w:r>
      <w:r>
        <w:rPr>
          <w:rFonts w:hint="eastAsia" w:ascii="仿宋_GB2312" w:hAnsi="仿宋_GB2312" w:eastAsia="仿宋_GB2312" w:cs="仿宋_GB2312"/>
          <w:b w:val="0"/>
          <w:bCs w:val="0"/>
          <w:color w:val="000000"/>
          <w:sz w:val="32"/>
          <w:szCs w:val="32"/>
          <w:highlight w:val="none"/>
        </w:rPr>
        <w:t>化被动为主动，有效破解异地就医难题。相关经验材料已被国家、省、市医保部门采用并刊登。</w:t>
      </w:r>
      <w:r>
        <w:rPr>
          <w:rFonts w:hint="eastAsia" w:ascii="仿宋_GB2312" w:hAnsi="仿宋_GB2312" w:eastAsia="仿宋_GB2312" w:cs="仿宋_GB2312"/>
          <w:b/>
          <w:bCs/>
          <w:color w:val="000000"/>
          <w:sz w:val="32"/>
          <w:szCs w:val="32"/>
          <w:highlight w:val="none"/>
          <w:lang w:val="en-US" w:eastAsia="zh-CN"/>
        </w:rPr>
        <w:t>三是制作宣传视频。</w:t>
      </w:r>
      <w:r>
        <w:rPr>
          <w:rFonts w:hint="eastAsia" w:ascii="仿宋_GB2312" w:hAnsi="仿宋_GB2312" w:eastAsia="仿宋_GB2312" w:cs="仿宋_GB2312"/>
          <w:b w:val="0"/>
          <w:bCs w:val="0"/>
          <w:color w:val="000000"/>
          <w:sz w:val="32"/>
          <w:szCs w:val="32"/>
          <w:highlight w:val="none"/>
          <w:lang w:val="en-US" w:eastAsia="zh-CN"/>
        </w:rPr>
        <w:t>在官方视频号、抖音等平台发布原创作品《姚沅金、田平英医保夫妻 背篼村医》、《异地就医政策宣传情景剧—王姥姥探亲历险记》，获得全国“医保好声音”大赛一等奖。</w:t>
      </w:r>
    </w:p>
    <w:p w14:paraId="771C481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Cs/>
          <w:color w:val="000000"/>
          <w:sz w:val="32"/>
          <w:szCs w:val="32"/>
          <w:highlight w:val="none"/>
        </w:rPr>
      </w:pPr>
      <w:r>
        <w:rPr>
          <w:rFonts w:hint="eastAsia" w:ascii="仿宋_GB2312" w:hAnsi="仿宋_GB2312" w:eastAsia="仿宋_GB2312" w:cs="仿宋_GB2312"/>
          <w:b/>
          <w:bCs/>
          <w:color w:val="000000"/>
          <w:sz w:val="32"/>
          <w:szCs w:val="32"/>
          <w:highlight w:val="none"/>
          <w:lang w:val="en-US" w:eastAsia="zh-CN"/>
        </w:rPr>
        <w:t>2.跨省通办联动化。</w:t>
      </w:r>
      <w:r>
        <w:rPr>
          <w:rFonts w:hint="eastAsia" w:ascii="仿宋_GB2312" w:hAnsi="仿宋_GB2312" w:eastAsia="仿宋_GB2312" w:cs="仿宋_GB2312"/>
          <w:b w:val="0"/>
          <w:bCs w:val="0"/>
          <w:color w:val="000000"/>
          <w:sz w:val="32"/>
          <w:szCs w:val="32"/>
          <w:highlight w:val="none"/>
          <w:lang w:val="en-US" w:eastAsia="zh-CN"/>
        </w:rPr>
        <w:t>开启湘黔两省</w:t>
      </w:r>
      <w:r>
        <w:rPr>
          <w:rFonts w:hint="eastAsia" w:ascii="仿宋_GB2312" w:hAnsi="仿宋_GB2312" w:eastAsia="仿宋_GB2312" w:cs="仿宋_GB2312"/>
          <w:b w:val="0"/>
          <w:bCs w:val="0"/>
          <w:color w:val="000000"/>
          <w:sz w:val="32"/>
          <w:szCs w:val="32"/>
          <w:highlight w:val="none"/>
        </w:rPr>
        <w:t>区域协同联动新模式</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bCs/>
          <w:color w:val="000000"/>
          <w:sz w:val="32"/>
          <w:szCs w:val="32"/>
          <w:highlight w:val="none"/>
          <w:lang w:val="en-US" w:eastAsia="zh-CN"/>
        </w:rPr>
        <w:t>一是</w:t>
      </w:r>
      <w:r>
        <w:rPr>
          <w:rFonts w:hint="eastAsia" w:ascii="仿宋_GB2312" w:hAnsi="仿宋_GB2312" w:eastAsia="仿宋_GB2312" w:cs="仿宋_GB2312"/>
          <w:b/>
          <w:bCs/>
          <w:color w:val="000000"/>
          <w:sz w:val="32"/>
          <w:szCs w:val="32"/>
          <w:highlight w:val="none"/>
        </w:rPr>
        <w:t>破除医保跨省经办“藩篱”</w:t>
      </w:r>
      <w:r>
        <w:rPr>
          <w:rFonts w:hint="eastAsia" w:ascii="仿宋_GB2312" w:hAnsi="仿宋_GB2312" w:eastAsia="仿宋_GB2312" w:cs="仿宋_GB2312"/>
          <w:b/>
          <w:bCs/>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今年7月20日，湘黔两省八县(区)医保政策交流座谈会在新晃召开，来自湖南、贵州两省的新晃、天柱、岑巩、三穗、镇远、玉屏、万山区、大龙经济开发区八个县(区)就携手共创湘黔边界医疗保障区域合作示范区，签订《湘黔边界医疗保障合作协议》</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协议》主要内容涵盖医保经办服务协同、异地就医协同、基金监管协同等三个方面七项工作开展区域协作，推动“跨区域通办”提档升级，更好满足两省八县(区)200多万参保群众异地办需求，发挥医保基金更大社会效益。</w:t>
      </w:r>
      <w:r>
        <w:rPr>
          <w:rFonts w:hint="eastAsia" w:ascii="仿宋_GB2312" w:hAnsi="仿宋_GB2312" w:eastAsia="仿宋_GB2312" w:cs="仿宋_GB2312"/>
          <w:b/>
          <w:bCs/>
          <w:color w:val="000000"/>
          <w:sz w:val="32"/>
          <w:szCs w:val="32"/>
          <w:highlight w:val="none"/>
          <w:lang w:val="en-US" w:eastAsia="zh-CN"/>
        </w:rPr>
        <w:t>二是</w:t>
      </w:r>
      <w:r>
        <w:rPr>
          <w:rFonts w:hint="eastAsia" w:ascii="仿宋_GB2312" w:hAnsi="仿宋_GB2312" w:eastAsia="仿宋_GB2312" w:cs="仿宋_GB2312"/>
          <w:b/>
          <w:bCs/>
          <w:color w:val="000000"/>
          <w:sz w:val="32"/>
          <w:szCs w:val="32"/>
          <w:highlight w:val="none"/>
        </w:rPr>
        <w:t>筑牢医保基金安全“堤坝”</w:t>
      </w:r>
      <w:r>
        <w:rPr>
          <w:rFonts w:hint="eastAsia" w:ascii="仿宋_GB2312" w:hAnsi="仿宋_GB2312" w:eastAsia="仿宋_GB2312" w:cs="仿宋_GB2312"/>
          <w:b/>
          <w:bCs/>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严厉打击欺诈骗保行为</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全力构建湘黔两省基金监管</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三协同</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新模式，即异地就医直接结算稽核监管协同、异地交叉检查协同、信用评价体系建设协同</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加大对医疗机构、医养结合医疗机构、民办医疗机构检查力度，为异地就医直接结算这一重点民生工作保驾护航。</w:t>
      </w:r>
    </w:p>
    <w:p w14:paraId="5EFD810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color w:val="000000"/>
          <w:sz w:val="32"/>
          <w:szCs w:val="32"/>
          <w:highlight w:val="none"/>
        </w:rPr>
      </w:pPr>
      <w:r>
        <w:rPr>
          <w:rFonts w:hint="eastAsia" w:ascii="仿宋_GB2312" w:hAnsi="仿宋_GB2312" w:eastAsia="仿宋_GB2312" w:cs="仿宋_GB2312"/>
          <w:b/>
          <w:bCs/>
          <w:color w:val="000000"/>
          <w:sz w:val="32"/>
          <w:szCs w:val="32"/>
          <w:highlight w:val="none"/>
          <w:lang w:val="en-US" w:eastAsia="zh-CN"/>
        </w:rPr>
        <w:t>3.异地备案便捷化。</w:t>
      </w:r>
      <w:r>
        <w:rPr>
          <w:rFonts w:hint="eastAsia" w:ascii="仿宋_GB2312" w:hAnsi="仿宋_GB2312" w:eastAsia="仿宋_GB2312" w:cs="仿宋_GB2312"/>
          <w:b w:val="0"/>
          <w:bCs w:val="0"/>
          <w:color w:val="000000"/>
          <w:sz w:val="32"/>
          <w:szCs w:val="32"/>
          <w:highlight w:val="none"/>
          <w:lang w:eastAsia="zh-CN"/>
        </w:rPr>
        <w:t>实现外出务工人员</w:t>
      </w:r>
      <w:r>
        <w:rPr>
          <w:rFonts w:hint="eastAsia" w:ascii="仿宋_GB2312" w:hAnsi="仿宋_GB2312" w:eastAsia="仿宋_GB2312" w:cs="仿宋_GB2312"/>
          <w:b w:val="0"/>
          <w:bCs w:val="0"/>
          <w:color w:val="000000"/>
          <w:sz w:val="32"/>
          <w:szCs w:val="32"/>
          <w:highlight w:val="none"/>
        </w:rPr>
        <w:t>异地就医</w:t>
      </w:r>
      <w:r>
        <w:rPr>
          <w:rFonts w:hint="eastAsia" w:ascii="仿宋_GB2312" w:hAnsi="仿宋_GB2312" w:eastAsia="仿宋_GB2312" w:cs="仿宋_GB2312"/>
          <w:b w:val="0"/>
          <w:bCs w:val="0"/>
          <w:color w:val="000000"/>
          <w:sz w:val="32"/>
          <w:szCs w:val="32"/>
          <w:highlight w:val="none"/>
          <w:lang w:eastAsia="zh-CN"/>
        </w:rPr>
        <w:t>“免备案”</w:t>
      </w:r>
      <w:r>
        <w:rPr>
          <w:rFonts w:hint="eastAsia" w:ascii="仿宋_GB2312" w:hAnsi="仿宋_GB2312" w:eastAsia="仿宋_GB2312" w:cs="仿宋_GB2312"/>
          <w:b/>
          <w:bCs/>
          <w:color w:val="000000"/>
          <w:sz w:val="32"/>
          <w:szCs w:val="32"/>
          <w:highlight w:val="none"/>
          <w:lang w:eastAsia="zh-CN"/>
        </w:rPr>
        <w:t>。</w:t>
      </w:r>
    </w:p>
    <w:p w14:paraId="36E8E60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Cs/>
          <w:color w:val="000000"/>
          <w:sz w:val="32"/>
          <w:szCs w:val="32"/>
          <w:highlight w:val="none"/>
          <w:lang w:val="en-US" w:eastAsia="zh-CN"/>
        </w:rPr>
      </w:pPr>
      <w:r>
        <w:rPr>
          <w:rFonts w:hint="eastAsia" w:ascii="仿宋_GB2312" w:hAnsi="仿宋_GB2312" w:eastAsia="仿宋_GB2312" w:cs="仿宋_GB2312"/>
          <w:b/>
          <w:bCs/>
          <w:color w:val="000000"/>
          <w:sz w:val="32"/>
          <w:szCs w:val="32"/>
          <w:highlight w:val="none"/>
          <w:lang w:val="en-US" w:eastAsia="zh-CN"/>
        </w:rPr>
        <w:t>4.窗口建设优质化。全力推进医保服务标准化窗口示范点建设工作。</w:t>
      </w:r>
      <w:r>
        <w:rPr>
          <w:rFonts w:hint="eastAsia" w:ascii="仿宋_GB2312" w:hAnsi="仿宋_GB2312" w:eastAsia="仿宋_GB2312" w:cs="仿宋_GB2312"/>
          <w:b w:val="0"/>
          <w:bCs w:val="0"/>
          <w:color w:val="000000"/>
          <w:sz w:val="32"/>
          <w:szCs w:val="32"/>
          <w:highlight w:val="none"/>
          <w:lang w:val="en-US" w:eastAsia="zh-CN"/>
        </w:rPr>
        <w:t>今年9月份，积极申报省医疗保障服务标</w:t>
      </w:r>
      <w:r>
        <w:rPr>
          <w:rFonts w:hint="eastAsia" w:ascii="仿宋_GB2312" w:hAnsi="仿宋_GB2312" w:eastAsia="仿宋_GB2312" w:cs="仿宋_GB2312"/>
          <w:bCs/>
          <w:color w:val="000000"/>
          <w:sz w:val="32"/>
          <w:szCs w:val="32"/>
          <w:highlight w:val="none"/>
          <w:lang w:val="en-US" w:eastAsia="zh-CN"/>
        </w:rPr>
        <w:t>准化窗口示范点，目前市局已向省局推荐我县医保经办窗口作为示范点创建。根据怀医保函〔2023〕24号文件，</w:t>
      </w:r>
      <w:r>
        <w:rPr>
          <w:rFonts w:hint="eastAsia" w:ascii="仿宋_GB2312" w:hAnsi="仿宋_GB2312" w:eastAsia="仿宋_GB2312" w:cs="仿宋_GB2312"/>
          <w:b w:val="0"/>
          <w:bCs w:val="0"/>
          <w:color w:val="000000"/>
          <w:sz w:val="32"/>
          <w:szCs w:val="32"/>
          <w:highlight w:val="none"/>
          <w:lang w:val="en-US" w:eastAsia="zh-CN"/>
        </w:rPr>
        <w:t>我县</w:t>
      </w:r>
      <w:r>
        <w:rPr>
          <w:rFonts w:hint="eastAsia" w:ascii="仿宋_GB2312" w:hAnsi="仿宋_GB2312" w:eastAsia="仿宋_GB2312" w:cs="仿宋_GB2312"/>
          <w:b w:val="0"/>
          <w:bCs w:val="0"/>
          <w:color w:val="000000"/>
          <w:sz w:val="32"/>
          <w:szCs w:val="32"/>
          <w:highlight w:val="none"/>
        </w:rPr>
        <w:t>医保事务中心荣获怀化市</w:t>
      </w:r>
      <w:r>
        <w:rPr>
          <w:rFonts w:hint="eastAsia" w:ascii="仿宋_GB2312" w:hAnsi="仿宋_GB2312" w:eastAsia="仿宋_GB2312" w:cs="仿宋_GB2312"/>
          <w:b w:val="0"/>
          <w:bCs w:val="0"/>
          <w:color w:val="000000"/>
          <w:sz w:val="32"/>
          <w:szCs w:val="32"/>
          <w:highlight w:val="none"/>
          <w:lang w:val="en-US" w:eastAsia="zh-CN"/>
        </w:rPr>
        <w:t>2022年度</w:t>
      </w:r>
      <w:r>
        <w:rPr>
          <w:rFonts w:hint="eastAsia" w:ascii="仿宋_GB2312" w:hAnsi="仿宋_GB2312" w:eastAsia="仿宋_GB2312" w:cs="仿宋_GB2312"/>
          <w:b w:val="0"/>
          <w:bCs w:val="0"/>
          <w:color w:val="000000"/>
          <w:sz w:val="32"/>
          <w:szCs w:val="32"/>
          <w:highlight w:val="none"/>
        </w:rPr>
        <w:t>“清廉医保窗口”称号，被评为湖南省医保系统巾帼风采先进典型。</w:t>
      </w:r>
    </w:p>
    <w:p w14:paraId="7C1E5B8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bCs/>
          <w:color w:val="000000"/>
          <w:sz w:val="32"/>
          <w:szCs w:val="32"/>
          <w:highlight w:val="none"/>
          <w:lang w:val="en-US" w:eastAsia="zh-CN"/>
        </w:rPr>
        <w:t>5.经验推广显著化。</w:t>
      </w:r>
      <w:r>
        <w:rPr>
          <w:rFonts w:hint="eastAsia" w:ascii="仿宋_GB2312" w:hAnsi="仿宋_GB2312" w:eastAsia="仿宋_GB2312" w:cs="仿宋_GB2312"/>
          <w:b w:val="0"/>
          <w:bCs w:val="0"/>
          <w:color w:val="000000"/>
          <w:sz w:val="32"/>
          <w:szCs w:val="32"/>
          <w:highlight w:val="none"/>
        </w:rPr>
        <w:t>截至11月28日，新晃县医保宣传信息在媒体平台共计上稿123篇。</w:t>
      </w:r>
    </w:p>
    <w:p w14:paraId="02E30FA9">
      <w:pPr>
        <w:pStyle w:val="2"/>
        <w:keepNext w:val="0"/>
        <w:keepLines w:val="0"/>
        <w:pageBreakBefore w:val="0"/>
        <w:numPr>
          <w:ilvl w:val="0"/>
          <w:numId w:val="0"/>
        </w:numPr>
        <w:kinsoku/>
        <w:wordWrap/>
        <w:overflowPunct/>
        <w:topLinePunct w:val="0"/>
        <w:autoSpaceDE/>
        <w:autoSpaceDN/>
        <w:bidi w:val="0"/>
        <w:adjustRightInd/>
        <w:spacing w:line="560" w:lineRule="exact"/>
        <w:textAlignment w:val="auto"/>
        <w:rPr>
          <w:rFonts w:hint="eastAsia" w:ascii="仿宋_GB2312" w:hAnsi="仿宋_GB2312" w:eastAsia="仿宋_GB2312" w:cs="仿宋_GB2312"/>
          <w:b/>
          <w:bCs/>
          <w:color w:val="000000"/>
          <w:sz w:val="32"/>
          <w:szCs w:val="32"/>
          <w:lang w:val="en-US" w:eastAsia="zh-CN"/>
        </w:rPr>
      </w:pPr>
      <w:r>
        <w:rPr>
          <w:rFonts w:hint="eastAsia" w:ascii="仿宋_GB2312" w:hAnsi="仿宋_GB2312" w:eastAsia="仿宋_GB2312" w:cs="仿宋_GB2312"/>
          <w:b/>
          <w:bCs/>
          <w:color w:val="000000"/>
          <w:sz w:val="32"/>
          <w:szCs w:val="32"/>
          <w:lang w:val="en-US" w:eastAsia="zh-CN"/>
        </w:rPr>
        <w:t>（二）、2023年工作开展情况</w:t>
      </w:r>
    </w:p>
    <w:p w14:paraId="20DE08CE">
      <w:pPr>
        <w:keepNext w:val="0"/>
        <w:keepLines w:val="0"/>
        <w:pageBreakBefore w:val="0"/>
        <w:kinsoku/>
        <w:wordWrap/>
        <w:overflowPunct/>
        <w:topLinePunct w:val="0"/>
        <w:autoSpaceDE/>
        <w:autoSpaceDN/>
        <w:bidi w:val="0"/>
        <w:adjustRightInd/>
        <w:spacing w:line="560" w:lineRule="exact"/>
        <w:ind w:left="16" w:leftChars="8" w:firstLine="620" w:firstLineChars="193"/>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lang w:val="en-US" w:eastAsia="zh-CN"/>
        </w:rPr>
        <w:t>1、</w:t>
      </w:r>
      <w:r>
        <w:rPr>
          <w:rFonts w:hint="eastAsia" w:ascii="仿宋_GB2312" w:hAnsi="仿宋_GB2312" w:eastAsia="仿宋_GB2312" w:cs="仿宋_GB2312"/>
          <w:b/>
          <w:bCs/>
          <w:color w:val="000000"/>
          <w:sz w:val="32"/>
          <w:szCs w:val="32"/>
        </w:rPr>
        <w:t>强化引领，落实从严治党主体责任</w:t>
      </w:r>
    </w:p>
    <w:p w14:paraId="23DF7B66">
      <w:pPr>
        <w:keepNext w:val="0"/>
        <w:keepLines w:val="0"/>
        <w:pageBreakBefore w:val="0"/>
        <w:kinsoku/>
        <w:wordWrap/>
        <w:overflowPunct/>
        <w:topLinePunct w:val="0"/>
        <w:autoSpaceDE/>
        <w:autoSpaceDN/>
        <w:bidi w:val="0"/>
        <w:adjustRightInd/>
        <w:spacing w:line="560" w:lineRule="exact"/>
        <w:ind w:left="16" w:leftChars="8" w:firstLine="620" w:firstLineChars="193"/>
        <w:textAlignment w:val="auto"/>
        <w:rPr>
          <w:rFonts w:hint="eastAsia" w:ascii="仿宋_GB2312" w:hAnsi="仿宋_GB2312" w:eastAsia="仿宋_GB2312" w:cs="仿宋_GB2312"/>
          <w:color w:val="000000"/>
          <w:sz w:val="32"/>
          <w:szCs w:val="32"/>
        </w:rPr>
      </w:pPr>
      <w:r>
        <w:rPr>
          <w:rFonts w:hint="default" w:ascii="Calibri" w:hAnsi="Calibri" w:eastAsia="仿宋_GB2312" w:cs="Calibri"/>
          <w:b/>
          <w:bCs/>
          <w:color w:val="000000"/>
          <w:sz w:val="32"/>
          <w:szCs w:val="32"/>
        </w:rPr>
        <w:t>①</w:t>
      </w:r>
      <w:r>
        <w:rPr>
          <w:rFonts w:hint="eastAsia" w:ascii="仿宋_GB2312" w:hAnsi="仿宋_GB2312" w:eastAsia="仿宋_GB2312" w:cs="仿宋_GB2312"/>
          <w:b/>
          <w:bCs/>
          <w:color w:val="000000"/>
          <w:sz w:val="32"/>
          <w:szCs w:val="32"/>
        </w:rPr>
        <w:t>党的政治建设持续强化。一是</w:t>
      </w:r>
      <w:r>
        <w:rPr>
          <w:rFonts w:hint="eastAsia" w:ascii="仿宋_GB2312" w:hAnsi="仿宋_GB2312" w:eastAsia="仿宋_GB2312" w:cs="仿宋_GB2312"/>
          <w:color w:val="000000"/>
          <w:sz w:val="32"/>
          <w:szCs w:val="32"/>
        </w:rPr>
        <w:t>坚持把党的政治建设放在首位，抓实政治理论学习，扎实开展常态化党史学习教育活动，引导党员干部坚定不移做“两个确立”忠诚拥护者、“两个维护”示范引领者。</w:t>
      </w:r>
      <w:r>
        <w:rPr>
          <w:rFonts w:hint="eastAsia" w:ascii="仿宋_GB2312" w:hAnsi="仿宋_GB2312" w:eastAsia="仿宋_GB2312" w:cs="仿宋_GB2312"/>
          <w:b/>
          <w:bCs/>
          <w:color w:val="000000"/>
          <w:sz w:val="32"/>
          <w:szCs w:val="32"/>
        </w:rPr>
        <w:t>二是</w:t>
      </w:r>
      <w:r>
        <w:rPr>
          <w:rFonts w:hint="eastAsia" w:ascii="仿宋_GB2312" w:hAnsi="仿宋_GB2312" w:eastAsia="仿宋_GB2312" w:cs="仿宋_GB2312"/>
          <w:color w:val="000000"/>
          <w:sz w:val="32"/>
          <w:szCs w:val="32"/>
        </w:rPr>
        <w:t>严格落实全面从严治党要求，加强党风廉政建设和反腐败工作。深入开展“三整顿两提升”干部作风建设专项活动，强力推进“清廉医保单元、清廉医保机关、清廉医保系统”创建，构建风清气正的政治生态和干事创业的良好环境。</w:t>
      </w:r>
      <w:r>
        <w:rPr>
          <w:rFonts w:hint="eastAsia" w:ascii="仿宋_GB2312" w:hAnsi="仿宋_GB2312" w:eastAsia="仿宋_GB2312" w:cs="仿宋_GB2312"/>
          <w:b/>
          <w:bCs/>
          <w:color w:val="000000"/>
          <w:sz w:val="32"/>
          <w:szCs w:val="32"/>
        </w:rPr>
        <w:t>三是</w:t>
      </w:r>
      <w:r>
        <w:rPr>
          <w:rFonts w:hint="eastAsia" w:ascii="仿宋_GB2312" w:hAnsi="仿宋_GB2312" w:eastAsia="仿宋_GB2312" w:cs="仿宋_GB2312"/>
          <w:color w:val="000000"/>
          <w:sz w:val="32"/>
          <w:szCs w:val="32"/>
        </w:rPr>
        <w:t>全面接受“政治体检”，抓好社会保障“一法一条例”执法检查问题反馈意见整改。</w:t>
      </w:r>
      <w:r>
        <w:rPr>
          <w:rFonts w:hint="eastAsia" w:ascii="仿宋_GB2312" w:hAnsi="仿宋_GB2312" w:eastAsia="仿宋_GB2312" w:cs="仿宋_GB2312"/>
          <w:b/>
          <w:bCs/>
          <w:color w:val="000000"/>
          <w:sz w:val="32"/>
          <w:szCs w:val="32"/>
        </w:rPr>
        <w:t>四是</w:t>
      </w:r>
      <w:r>
        <w:rPr>
          <w:rFonts w:hint="eastAsia" w:ascii="仿宋_GB2312" w:hAnsi="仿宋_GB2312" w:eastAsia="仿宋_GB2312" w:cs="仿宋_GB2312"/>
          <w:color w:val="000000"/>
          <w:sz w:val="32"/>
          <w:szCs w:val="32"/>
        </w:rPr>
        <w:t>党建引领助推中心工作。扎实开展“我为群众办实事”实践活动，提高医保服务能力，解决群众看病就医的操心事、烦心事、揪心事。带领全系统党员干部投身全县疫情防控、乡村振兴等中心工作，以党建引领始终围绕中心服务全县发展大局。</w:t>
      </w:r>
    </w:p>
    <w:p w14:paraId="73ADC82C">
      <w:pPr>
        <w:pStyle w:val="8"/>
        <w:keepNext w:val="0"/>
        <w:keepLines w:val="0"/>
        <w:pageBreakBefore w:val="0"/>
        <w:kinsoku/>
        <w:wordWrap/>
        <w:overflowPunct/>
        <w:topLinePunct w:val="0"/>
        <w:autoSpaceDE/>
        <w:autoSpaceDN/>
        <w:bidi w:val="0"/>
        <w:adjustRightInd/>
        <w:spacing w:beforeAutospacing="0" w:afterAutospacing="0" w:line="560" w:lineRule="exact"/>
        <w:ind w:firstLine="643" w:firstLineChars="200"/>
        <w:jc w:val="both"/>
        <w:textAlignment w:val="auto"/>
        <w:rPr>
          <w:rFonts w:hint="eastAsia" w:ascii="仿宋_GB2312" w:hAnsi="仿宋_GB2312" w:eastAsia="仿宋_GB2312" w:cs="仿宋_GB2312"/>
          <w:color w:val="000000"/>
          <w:kern w:val="2"/>
          <w:sz w:val="32"/>
          <w:szCs w:val="32"/>
        </w:rPr>
      </w:pPr>
      <w:r>
        <w:rPr>
          <w:rFonts w:hint="default" w:ascii="Calibri" w:hAnsi="Calibri" w:eastAsia="仿宋_GB2312" w:cs="Calibri"/>
          <w:b/>
          <w:color w:val="000000"/>
          <w:kern w:val="2"/>
          <w:sz w:val="32"/>
          <w:szCs w:val="32"/>
          <w:lang w:val="en-US" w:eastAsia="zh-CN"/>
        </w:rPr>
        <w:t>②</w:t>
      </w:r>
      <w:r>
        <w:rPr>
          <w:rFonts w:hint="eastAsia" w:ascii="仿宋_GB2312" w:hAnsi="仿宋_GB2312" w:eastAsia="仿宋_GB2312" w:cs="仿宋_GB2312"/>
          <w:b/>
          <w:color w:val="000000"/>
          <w:kern w:val="2"/>
          <w:sz w:val="32"/>
          <w:szCs w:val="32"/>
        </w:rPr>
        <w:t>乡村振兴战略全面推进。</w:t>
      </w:r>
      <w:r>
        <w:rPr>
          <w:rFonts w:hint="eastAsia" w:ascii="仿宋_GB2312" w:hAnsi="仿宋_GB2312" w:eastAsia="仿宋_GB2312" w:cs="仿宋_GB2312"/>
          <w:color w:val="000000"/>
          <w:sz w:val="32"/>
          <w:szCs w:val="32"/>
        </w:rPr>
        <w:t>根据市医保局会同七部门下发《关于巩固拓展医疗保障脱贫攻坚成果有效衔接乡村振兴战略的实施方案》文件精神，优化调整医疗救助资助参保和医保待遇倾斜政策，治理过度保障政策，变“六重保障”为“三重保障”，建立防范化解因病返贫致贫长效机制。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年，共资助</w:t>
      </w:r>
      <w:r>
        <w:rPr>
          <w:rFonts w:hint="eastAsia" w:ascii="仿宋_GB2312" w:hAnsi="仿宋_GB2312" w:eastAsia="仿宋_GB2312" w:cs="仿宋_GB2312"/>
          <w:color w:val="000000"/>
          <w:sz w:val="32"/>
          <w:szCs w:val="32"/>
          <w:lang w:val="en-US" w:eastAsia="zh-CN"/>
        </w:rPr>
        <w:t>16216</w:t>
      </w:r>
      <w:r>
        <w:rPr>
          <w:rFonts w:hint="eastAsia" w:ascii="仿宋_GB2312" w:hAnsi="仿宋_GB2312" w:eastAsia="仿宋_GB2312" w:cs="仿宋_GB2312"/>
          <w:color w:val="000000"/>
          <w:sz w:val="32"/>
          <w:szCs w:val="32"/>
        </w:rPr>
        <w:t>人，资助参保资金</w:t>
      </w:r>
      <w:r>
        <w:rPr>
          <w:rFonts w:hint="eastAsia" w:ascii="仿宋_GB2312" w:hAnsi="仿宋_GB2312" w:eastAsia="仿宋_GB2312" w:cs="仿宋_GB2312"/>
          <w:color w:val="000000"/>
          <w:sz w:val="32"/>
          <w:szCs w:val="32"/>
          <w:lang w:val="en-US" w:eastAsia="zh-CN"/>
        </w:rPr>
        <w:t>389.375</w:t>
      </w:r>
      <w:r>
        <w:rPr>
          <w:rFonts w:hint="eastAsia" w:ascii="仿宋_GB2312" w:hAnsi="仿宋_GB2312" w:eastAsia="仿宋_GB2312" w:cs="仿宋_GB2312"/>
          <w:color w:val="000000"/>
          <w:sz w:val="32"/>
          <w:szCs w:val="32"/>
        </w:rPr>
        <w:t>万元，参保率达100%，实现贫困人口“应保尽保”。</w:t>
      </w:r>
    </w:p>
    <w:p w14:paraId="411167BB">
      <w:pPr>
        <w:keepNext w:val="0"/>
        <w:keepLines w:val="0"/>
        <w:pageBreakBefore w:val="0"/>
        <w:kinsoku/>
        <w:wordWrap/>
        <w:overflowPunct/>
        <w:topLinePunct w:val="0"/>
        <w:autoSpaceDE/>
        <w:autoSpaceDN/>
        <w:bidi w:val="0"/>
        <w:adjustRightInd/>
        <w:spacing w:line="560" w:lineRule="exact"/>
        <w:ind w:left="16" w:leftChars="8" w:firstLine="620" w:firstLineChars="193"/>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rPr>
        <w:t>主动作为，落实医保惠民政策</w:t>
      </w:r>
    </w:p>
    <w:p w14:paraId="466FC1E6">
      <w:pPr>
        <w:pStyle w:val="9"/>
        <w:keepNext w:val="0"/>
        <w:keepLines w:val="0"/>
        <w:pageBreakBefore w:val="0"/>
        <w:kinsoku/>
        <w:wordWrap/>
        <w:overflowPunct/>
        <w:topLinePunct w:val="0"/>
        <w:autoSpaceDE/>
        <w:autoSpaceDN/>
        <w:bidi w:val="0"/>
        <w:adjustRightInd/>
        <w:spacing w:before="0" w:beforeAutospacing="0" w:line="560" w:lineRule="exact"/>
        <w:ind w:left="0" w:leftChars="0" w:firstLine="643"/>
        <w:textAlignment w:val="auto"/>
        <w:rPr>
          <w:rFonts w:hint="eastAsia" w:ascii="仿宋_GB2312" w:hAnsi="仿宋_GB2312" w:eastAsia="仿宋_GB2312" w:cs="仿宋_GB2312"/>
          <w:b/>
          <w:bCs/>
          <w:color w:val="auto"/>
          <w:sz w:val="32"/>
          <w:szCs w:val="32"/>
        </w:rPr>
      </w:pPr>
      <w:r>
        <w:rPr>
          <w:rFonts w:hint="default" w:ascii="Calibri" w:hAnsi="Calibri" w:eastAsia="仿宋_GB2312" w:cs="Calibri"/>
          <w:b/>
          <w:bCs/>
          <w:color w:val="auto"/>
          <w:sz w:val="32"/>
          <w:szCs w:val="32"/>
        </w:rPr>
        <w:t>①</w:t>
      </w:r>
      <w:r>
        <w:rPr>
          <w:rFonts w:hint="eastAsia" w:ascii="仿宋_GB2312" w:hAnsi="仿宋_GB2312" w:eastAsia="仿宋_GB2312" w:cs="仿宋_GB2312"/>
          <w:b/>
          <w:bCs/>
          <w:color w:val="auto"/>
          <w:sz w:val="32"/>
          <w:szCs w:val="32"/>
        </w:rPr>
        <w:t>.切实抓好参保扩面。</w:t>
      </w:r>
      <w:r>
        <w:rPr>
          <w:rFonts w:hint="eastAsia" w:ascii="仿宋_GB2312" w:hAnsi="仿宋_GB2312" w:eastAsia="仿宋_GB2312" w:cs="仿宋_GB2312"/>
          <w:color w:val="auto"/>
          <w:sz w:val="32"/>
          <w:szCs w:val="32"/>
        </w:rPr>
        <w:t>全县常住人口基数为</w:t>
      </w:r>
      <w:r>
        <w:rPr>
          <w:rFonts w:hint="eastAsia" w:ascii="仿宋_GB2312" w:hAnsi="仿宋_GB2312" w:eastAsia="仿宋_GB2312" w:cs="仿宋_GB2312"/>
          <w:color w:val="auto"/>
          <w:sz w:val="32"/>
          <w:szCs w:val="32"/>
          <w:lang w:val="en-US" w:eastAsia="zh-CN"/>
        </w:rPr>
        <w:t>217900</w:t>
      </w:r>
      <w:r>
        <w:rPr>
          <w:rFonts w:hint="eastAsia" w:ascii="仿宋_GB2312" w:hAnsi="仿宋_GB2312" w:eastAsia="仿宋_GB2312" w:cs="仿宋_GB2312"/>
          <w:color w:val="auto"/>
          <w:sz w:val="32"/>
          <w:szCs w:val="32"/>
        </w:rPr>
        <w:t>人，参保总人数</w:t>
      </w:r>
      <w:r>
        <w:rPr>
          <w:rFonts w:hint="eastAsia" w:ascii="仿宋_GB2312" w:hAnsi="仿宋_GB2312" w:eastAsia="仿宋_GB2312" w:cs="仿宋_GB2312"/>
          <w:color w:val="auto"/>
          <w:sz w:val="32"/>
          <w:szCs w:val="32"/>
          <w:lang w:val="en-US" w:eastAsia="zh-CN"/>
        </w:rPr>
        <w:t>214510</w:t>
      </w:r>
      <w:r>
        <w:rPr>
          <w:rFonts w:hint="eastAsia" w:ascii="仿宋_GB2312" w:hAnsi="仿宋_GB2312" w:eastAsia="仿宋_GB2312" w:cs="仿宋_GB2312"/>
          <w:color w:val="auto"/>
          <w:sz w:val="32"/>
          <w:szCs w:val="32"/>
        </w:rPr>
        <w:t>人，其中城乡居民参保人数</w:t>
      </w:r>
      <w:r>
        <w:rPr>
          <w:rFonts w:hint="eastAsia" w:ascii="仿宋_GB2312" w:hAnsi="仿宋_GB2312" w:eastAsia="仿宋_GB2312" w:cs="仿宋_GB2312"/>
          <w:color w:val="auto"/>
          <w:sz w:val="32"/>
          <w:szCs w:val="32"/>
          <w:lang w:val="en-US" w:eastAsia="zh-CN"/>
        </w:rPr>
        <w:t>199498</w:t>
      </w:r>
      <w:r>
        <w:rPr>
          <w:rFonts w:hint="eastAsia" w:ascii="仿宋_GB2312" w:hAnsi="仿宋_GB2312" w:eastAsia="仿宋_GB2312" w:cs="仿宋_GB2312"/>
          <w:color w:val="auto"/>
          <w:sz w:val="32"/>
          <w:szCs w:val="32"/>
        </w:rPr>
        <w:t>人，职工医保参保人数</w:t>
      </w:r>
      <w:r>
        <w:rPr>
          <w:rFonts w:hint="eastAsia" w:ascii="仿宋_GB2312" w:hAnsi="仿宋_GB2312" w:eastAsia="仿宋_GB2312" w:cs="仿宋_GB2312"/>
          <w:color w:val="auto"/>
          <w:sz w:val="32"/>
          <w:szCs w:val="32"/>
          <w:lang w:val="en-US" w:eastAsia="zh-CN"/>
        </w:rPr>
        <w:t>15012</w:t>
      </w:r>
      <w:r>
        <w:rPr>
          <w:rFonts w:hint="eastAsia" w:ascii="仿宋_GB2312" w:hAnsi="仿宋_GB2312" w:eastAsia="仿宋_GB2312" w:cs="仿宋_GB2312"/>
          <w:color w:val="auto"/>
          <w:sz w:val="32"/>
          <w:szCs w:val="32"/>
        </w:rPr>
        <w:t>人，全民参保覆盖率为</w:t>
      </w:r>
      <w:r>
        <w:rPr>
          <w:rFonts w:hint="eastAsia" w:ascii="仿宋_GB2312" w:hAnsi="仿宋_GB2312" w:eastAsia="仿宋_GB2312" w:cs="仿宋_GB2312"/>
          <w:color w:val="auto"/>
          <w:sz w:val="32"/>
          <w:szCs w:val="32"/>
          <w:lang w:val="en-US" w:eastAsia="zh-CN"/>
        </w:rPr>
        <w:t>98.44</w:t>
      </w:r>
      <w:r>
        <w:rPr>
          <w:rFonts w:hint="eastAsia" w:ascii="仿宋_GB2312" w:hAnsi="仿宋_GB2312" w:eastAsia="仿宋_GB2312" w:cs="仿宋_GB2312"/>
          <w:color w:val="auto"/>
          <w:sz w:val="32"/>
          <w:szCs w:val="32"/>
        </w:rPr>
        <w:t>%。</w:t>
      </w:r>
    </w:p>
    <w:p w14:paraId="51AE56D4">
      <w:pPr>
        <w:pStyle w:val="9"/>
        <w:keepNext w:val="0"/>
        <w:keepLines w:val="0"/>
        <w:pageBreakBefore w:val="0"/>
        <w:kinsoku/>
        <w:wordWrap/>
        <w:overflowPunct/>
        <w:topLinePunct w:val="0"/>
        <w:autoSpaceDE/>
        <w:autoSpaceDN/>
        <w:bidi w:val="0"/>
        <w:adjustRightInd/>
        <w:spacing w:before="0" w:beforeAutospacing="0" w:line="560" w:lineRule="exact"/>
        <w:ind w:left="0" w:leftChars="0" w:firstLine="643"/>
        <w:textAlignment w:val="auto"/>
        <w:rPr>
          <w:rFonts w:hint="eastAsia" w:ascii="仿宋_GB2312" w:hAnsi="仿宋_GB2312" w:eastAsia="仿宋_GB2312" w:cs="仿宋_GB2312"/>
          <w:b/>
          <w:bCs/>
          <w:color w:val="auto"/>
          <w:sz w:val="32"/>
          <w:szCs w:val="32"/>
        </w:rPr>
      </w:pPr>
      <w:r>
        <w:rPr>
          <w:rFonts w:hint="default" w:ascii="Calibri" w:hAnsi="Calibri" w:eastAsia="仿宋_GB2312" w:cs="Calibri"/>
          <w:b/>
          <w:bCs/>
          <w:color w:val="auto"/>
          <w:sz w:val="32"/>
          <w:szCs w:val="32"/>
        </w:rPr>
        <w:t>②</w:t>
      </w:r>
      <w:r>
        <w:rPr>
          <w:rFonts w:hint="eastAsia" w:ascii="仿宋_GB2312" w:hAnsi="仿宋_GB2312" w:eastAsia="仿宋_GB2312" w:cs="仿宋_GB2312"/>
          <w:b/>
          <w:bCs/>
          <w:color w:val="auto"/>
          <w:sz w:val="32"/>
          <w:szCs w:val="32"/>
        </w:rPr>
        <w:t>.医保基金运行总体平稳。</w:t>
      </w:r>
    </w:p>
    <w:p w14:paraId="7A2A8B83">
      <w:pPr>
        <w:keepNext w:val="0"/>
        <w:keepLines w:val="0"/>
        <w:pageBreakBefore w:val="0"/>
        <w:widowControl/>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居民医保方面</w:t>
      </w:r>
      <w:r>
        <w:rPr>
          <w:rFonts w:hint="eastAsia" w:ascii="仿宋_GB2312" w:hAnsi="仿宋_GB2312" w:eastAsia="仿宋_GB2312" w:cs="仿宋_GB2312"/>
          <w:bCs/>
          <w:color w:val="auto"/>
          <w:sz w:val="32"/>
          <w:szCs w:val="32"/>
        </w:rPr>
        <w:t>：</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年城乡居民医保参保人数</w:t>
      </w:r>
      <w:r>
        <w:rPr>
          <w:rFonts w:hint="eastAsia" w:ascii="仿宋_GB2312" w:hAnsi="仿宋_GB2312" w:eastAsia="仿宋_GB2312" w:cs="仿宋_GB2312"/>
          <w:color w:val="auto"/>
          <w:sz w:val="32"/>
          <w:szCs w:val="32"/>
          <w:lang w:val="en-US" w:eastAsia="zh-CN"/>
        </w:rPr>
        <w:t>19.95</w:t>
      </w:r>
      <w:r>
        <w:rPr>
          <w:rFonts w:hint="eastAsia" w:ascii="仿宋_GB2312" w:hAnsi="仿宋_GB2312" w:eastAsia="仿宋_GB2312" w:cs="仿宋_GB2312"/>
          <w:color w:val="auto"/>
          <w:sz w:val="32"/>
          <w:szCs w:val="32"/>
        </w:rPr>
        <w:t>万人，基金总收入为</w:t>
      </w:r>
      <w:r>
        <w:rPr>
          <w:rFonts w:hint="eastAsia" w:ascii="仿宋_GB2312" w:hAnsi="仿宋_GB2312" w:eastAsia="仿宋_GB2312" w:cs="仿宋_GB2312"/>
          <w:color w:val="auto"/>
          <w:sz w:val="32"/>
          <w:szCs w:val="32"/>
          <w:lang w:val="en-US" w:eastAsia="zh-CN"/>
        </w:rPr>
        <w:t>14598.17</w:t>
      </w:r>
      <w:r>
        <w:rPr>
          <w:rFonts w:hint="eastAsia" w:ascii="仿宋_GB2312" w:hAnsi="仿宋_GB2312" w:eastAsia="仿宋_GB2312" w:cs="仿宋_GB2312"/>
          <w:color w:val="auto"/>
          <w:sz w:val="32"/>
          <w:szCs w:val="32"/>
        </w:rPr>
        <w:t>万元，截至到</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月医保基金支出</w:t>
      </w:r>
      <w:r>
        <w:rPr>
          <w:rFonts w:hint="eastAsia" w:ascii="仿宋_GB2312" w:hAnsi="仿宋_GB2312" w:eastAsia="仿宋_GB2312" w:cs="仿宋_GB2312"/>
          <w:color w:val="auto"/>
          <w:sz w:val="32"/>
          <w:szCs w:val="32"/>
          <w:lang w:val="en-US" w:eastAsia="zh-CN"/>
        </w:rPr>
        <w:t>8846.25</w:t>
      </w:r>
      <w:r>
        <w:rPr>
          <w:rFonts w:hint="eastAsia" w:ascii="仿宋_GB2312" w:hAnsi="仿宋_GB2312" w:eastAsia="仿宋_GB2312" w:cs="仿宋_GB2312"/>
          <w:color w:val="auto"/>
          <w:sz w:val="32"/>
          <w:szCs w:val="32"/>
        </w:rPr>
        <w:t>万元，其中住院支出</w:t>
      </w:r>
      <w:r>
        <w:rPr>
          <w:rFonts w:hint="eastAsia" w:ascii="仿宋_GB2312" w:hAnsi="仿宋_GB2312" w:eastAsia="仿宋_GB2312" w:cs="仿宋_GB2312"/>
          <w:color w:val="auto"/>
          <w:sz w:val="32"/>
          <w:szCs w:val="32"/>
          <w:lang w:val="en-US" w:eastAsia="zh-CN"/>
        </w:rPr>
        <w:t>5878.26</w:t>
      </w:r>
      <w:r>
        <w:rPr>
          <w:rFonts w:hint="eastAsia" w:ascii="仿宋_GB2312" w:hAnsi="仿宋_GB2312" w:eastAsia="仿宋_GB2312" w:cs="仿宋_GB2312"/>
          <w:color w:val="auto"/>
          <w:sz w:val="32"/>
          <w:szCs w:val="32"/>
        </w:rPr>
        <w:t>万元，门诊支出</w:t>
      </w:r>
      <w:r>
        <w:rPr>
          <w:rFonts w:hint="eastAsia" w:ascii="仿宋_GB2312" w:hAnsi="仿宋_GB2312" w:eastAsia="仿宋_GB2312" w:cs="仿宋_GB2312"/>
          <w:color w:val="auto"/>
          <w:sz w:val="32"/>
          <w:szCs w:val="32"/>
          <w:lang w:val="en-US" w:eastAsia="zh-CN"/>
        </w:rPr>
        <w:t>1209.46</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门诊慢特病支出566.70万元</w:t>
      </w:r>
      <w:r>
        <w:rPr>
          <w:rFonts w:hint="eastAsia" w:ascii="仿宋_GB2312" w:hAnsi="仿宋_GB2312" w:eastAsia="仿宋_GB2312" w:cs="仿宋_GB2312"/>
          <w:color w:val="auto"/>
          <w:sz w:val="32"/>
          <w:szCs w:val="32"/>
        </w:rPr>
        <w:t>，上解大病基金</w:t>
      </w:r>
      <w:r>
        <w:rPr>
          <w:rFonts w:hint="eastAsia" w:ascii="仿宋_GB2312" w:hAnsi="仿宋_GB2312" w:eastAsia="仿宋_GB2312" w:cs="仿宋_GB2312"/>
          <w:color w:val="auto"/>
          <w:sz w:val="32"/>
          <w:szCs w:val="32"/>
          <w:lang w:val="en-US" w:eastAsia="zh-CN"/>
        </w:rPr>
        <w:t>1147.28</w:t>
      </w:r>
      <w:r>
        <w:rPr>
          <w:rFonts w:hint="eastAsia" w:ascii="仿宋_GB2312" w:hAnsi="仿宋_GB2312" w:eastAsia="仿宋_GB2312" w:cs="仿宋_GB2312"/>
          <w:color w:val="auto"/>
          <w:sz w:val="32"/>
          <w:szCs w:val="32"/>
        </w:rPr>
        <w:t>万元（上解标准为</w:t>
      </w:r>
      <w:r>
        <w:rPr>
          <w:rFonts w:hint="eastAsia" w:ascii="仿宋_GB2312" w:hAnsi="仿宋_GB2312" w:eastAsia="仿宋_GB2312" w:cs="仿宋_GB2312"/>
          <w:color w:val="auto"/>
          <w:sz w:val="32"/>
          <w:szCs w:val="32"/>
          <w:lang w:val="en-US" w:eastAsia="zh-CN"/>
        </w:rPr>
        <w:t>75</w:t>
      </w:r>
      <w:r>
        <w:rPr>
          <w:rFonts w:hint="eastAsia" w:ascii="仿宋_GB2312" w:hAnsi="仿宋_GB2312" w:eastAsia="仿宋_GB2312" w:cs="仿宋_GB2312"/>
          <w:color w:val="auto"/>
          <w:sz w:val="32"/>
          <w:szCs w:val="32"/>
        </w:rPr>
        <w:t>元/人），新冠疫苗支出</w:t>
      </w:r>
      <w:r>
        <w:rPr>
          <w:rFonts w:hint="eastAsia" w:ascii="仿宋_GB2312" w:hAnsi="仿宋_GB2312" w:eastAsia="仿宋_GB2312" w:cs="仿宋_GB2312"/>
          <w:color w:val="auto"/>
          <w:sz w:val="32"/>
          <w:szCs w:val="32"/>
          <w:lang w:val="en-US" w:eastAsia="zh-CN"/>
        </w:rPr>
        <w:t>44.55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预计到年底基金略有结余，基金运行保持总体稳定。</w:t>
      </w:r>
    </w:p>
    <w:p w14:paraId="68E8970A">
      <w:pPr>
        <w:keepNext w:val="0"/>
        <w:keepLines w:val="0"/>
        <w:pageBreakBefore w:val="0"/>
        <w:widowControl/>
        <w:kinsoku/>
        <w:wordWrap/>
        <w:overflowPunct/>
        <w:topLinePunct w:val="0"/>
        <w:autoSpaceDE/>
        <w:autoSpaceDN/>
        <w:bidi w:val="0"/>
        <w:adjustRightInd/>
        <w:spacing w:line="560" w:lineRule="exact"/>
        <w:ind w:left="-134" w:leftChars="-67"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职工医保方面：</w:t>
      </w:r>
      <w:r>
        <w:rPr>
          <w:rFonts w:hint="eastAsia" w:ascii="仿宋_GB2312" w:hAnsi="仿宋_GB2312" w:eastAsia="仿宋_GB2312" w:cs="仿宋_GB2312"/>
          <w:color w:val="auto"/>
          <w:sz w:val="32"/>
          <w:szCs w:val="32"/>
        </w:rPr>
        <w:t>辖区内实际参保职工</w:t>
      </w:r>
      <w:r>
        <w:rPr>
          <w:rFonts w:hint="eastAsia" w:ascii="仿宋_GB2312" w:hAnsi="仿宋_GB2312" w:eastAsia="仿宋_GB2312" w:cs="仿宋_GB2312"/>
          <w:color w:val="auto"/>
          <w:sz w:val="32"/>
          <w:szCs w:val="32"/>
          <w:lang w:val="en-US" w:eastAsia="zh-CN"/>
        </w:rPr>
        <w:t>14999</w:t>
      </w:r>
      <w:r>
        <w:rPr>
          <w:rFonts w:hint="eastAsia" w:ascii="仿宋_GB2312" w:hAnsi="仿宋_GB2312" w:eastAsia="仿宋_GB2312" w:cs="仿宋_GB2312"/>
          <w:color w:val="auto"/>
          <w:sz w:val="32"/>
          <w:szCs w:val="32"/>
        </w:rPr>
        <w:t>人，截至到</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月征收基金</w:t>
      </w:r>
      <w:r>
        <w:rPr>
          <w:rFonts w:hint="eastAsia" w:ascii="仿宋_GB2312" w:hAnsi="仿宋_GB2312" w:eastAsia="仿宋_GB2312" w:cs="仿宋_GB2312"/>
          <w:color w:val="auto"/>
          <w:sz w:val="32"/>
          <w:szCs w:val="32"/>
          <w:lang w:val="en-US" w:eastAsia="zh-CN"/>
        </w:rPr>
        <w:t>5798</w:t>
      </w:r>
      <w:r>
        <w:rPr>
          <w:rFonts w:hint="eastAsia" w:ascii="仿宋_GB2312" w:hAnsi="仿宋_GB2312" w:eastAsia="仿宋_GB2312" w:cs="仿宋_GB2312"/>
          <w:color w:val="auto"/>
          <w:sz w:val="32"/>
          <w:szCs w:val="32"/>
        </w:rPr>
        <w:t>万元，支出</w:t>
      </w:r>
      <w:r>
        <w:rPr>
          <w:rFonts w:hint="eastAsia" w:ascii="仿宋_GB2312" w:hAnsi="仿宋_GB2312" w:eastAsia="仿宋_GB2312" w:cs="仿宋_GB2312"/>
          <w:color w:val="auto"/>
          <w:sz w:val="32"/>
          <w:szCs w:val="32"/>
          <w:lang w:val="en-US" w:eastAsia="zh-CN"/>
        </w:rPr>
        <w:t>3841</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其中，统筹基金收入</w:t>
      </w:r>
      <w:r>
        <w:rPr>
          <w:rFonts w:hint="eastAsia" w:ascii="仿宋_GB2312" w:hAnsi="仿宋_GB2312" w:eastAsia="仿宋_GB2312" w:cs="仿宋_GB2312"/>
          <w:color w:val="auto"/>
          <w:sz w:val="32"/>
          <w:szCs w:val="32"/>
          <w:lang w:val="en-US" w:eastAsia="zh-CN"/>
        </w:rPr>
        <w:t>4517</w:t>
      </w:r>
      <w:r>
        <w:rPr>
          <w:rFonts w:hint="eastAsia" w:ascii="仿宋_GB2312" w:hAnsi="仿宋_GB2312" w:eastAsia="仿宋_GB2312" w:cs="仿宋_GB2312"/>
          <w:color w:val="auto"/>
          <w:sz w:val="32"/>
          <w:szCs w:val="32"/>
        </w:rPr>
        <w:t>万元，支出</w:t>
      </w:r>
      <w:r>
        <w:rPr>
          <w:rFonts w:hint="eastAsia" w:ascii="仿宋_GB2312" w:hAnsi="仿宋_GB2312" w:eastAsia="仿宋_GB2312" w:cs="仿宋_GB2312"/>
          <w:color w:val="auto"/>
          <w:sz w:val="32"/>
          <w:szCs w:val="32"/>
          <w:lang w:val="en-US" w:eastAsia="zh-CN"/>
        </w:rPr>
        <w:t>1846</w:t>
      </w:r>
      <w:r>
        <w:rPr>
          <w:rFonts w:hint="eastAsia" w:ascii="仿宋_GB2312" w:hAnsi="仿宋_GB2312" w:eastAsia="仿宋_GB2312" w:cs="仿宋_GB2312"/>
          <w:color w:val="auto"/>
          <w:sz w:val="32"/>
          <w:szCs w:val="32"/>
        </w:rPr>
        <w:t>万元，个人账户收入</w:t>
      </w:r>
      <w:r>
        <w:rPr>
          <w:rFonts w:hint="eastAsia" w:ascii="仿宋_GB2312" w:hAnsi="仿宋_GB2312" w:eastAsia="仿宋_GB2312" w:cs="仿宋_GB2312"/>
          <w:color w:val="auto"/>
          <w:sz w:val="32"/>
          <w:szCs w:val="32"/>
          <w:lang w:val="en-US" w:eastAsia="zh-CN"/>
        </w:rPr>
        <w:t>1098</w:t>
      </w:r>
      <w:r>
        <w:rPr>
          <w:rFonts w:hint="eastAsia" w:ascii="仿宋_GB2312" w:hAnsi="仿宋_GB2312" w:eastAsia="仿宋_GB2312" w:cs="仿宋_GB2312"/>
          <w:color w:val="auto"/>
          <w:sz w:val="32"/>
          <w:szCs w:val="32"/>
        </w:rPr>
        <w:t>万元，支出</w:t>
      </w:r>
      <w:r>
        <w:rPr>
          <w:rFonts w:hint="eastAsia" w:ascii="仿宋_GB2312" w:hAnsi="仿宋_GB2312" w:eastAsia="仿宋_GB2312" w:cs="仿宋_GB2312"/>
          <w:color w:val="auto"/>
          <w:sz w:val="32"/>
          <w:szCs w:val="32"/>
          <w:lang w:val="en-US" w:eastAsia="zh-CN"/>
        </w:rPr>
        <w:t>1857</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个人账户收入1282万元，支出1995万元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征收大病医疗互助费</w:t>
      </w:r>
      <w:r>
        <w:rPr>
          <w:rFonts w:hint="eastAsia" w:ascii="仿宋_GB2312" w:hAnsi="仿宋_GB2312" w:eastAsia="仿宋_GB2312" w:cs="仿宋_GB2312"/>
          <w:color w:val="auto"/>
          <w:sz w:val="32"/>
          <w:szCs w:val="32"/>
          <w:lang w:val="en-US" w:eastAsia="zh-CN"/>
        </w:rPr>
        <w:t>229</w:t>
      </w:r>
      <w:r>
        <w:rPr>
          <w:rFonts w:hint="eastAsia" w:ascii="仿宋_GB2312" w:hAnsi="仿宋_GB2312" w:eastAsia="仿宋_GB2312" w:cs="仿宋_GB2312"/>
          <w:color w:val="auto"/>
          <w:sz w:val="32"/>
          <w:szCs w:val="32"/>
        </w:rPr>
        <w:t>万元，支出</w:t>
      </w:r>
      <w:r>
        <w:rPr>
          <w:rFonts w:hint="eastAsia" w:ascii="仿宋_GB2312" w:hAnsi="仿宋_GB2312" w:eastAsia="仿宋_GB2312" w:cs="仿宋_GB2312"/>
          <w:color w:val="auto"/>
          <w:sz w:val="32"/>
          <w:szCs w:val="32"/>
          <w:lang w:val="en-US" w:eastAsia="zh-CN"/>
        </w:rPr>
        <w:t>113</w:t>
      </w:r>
      <w:r>
        <w:rPr>
          <w:rFonts w:hint="eastAsia" w:ascii="仿宋_GB2312" w:hAnsi="仿宋_GB2312" w:eastAsia="仿宋_GB2312" w:cs="仿宋_GB2312"/>
          <w:color w:val="auto"/>
          <w:sz w:val="32"/>
          <w:szCs w:val="32"/>
        </w:rPr>
        <w:t>万元。特殊人群医保（离休及伤残军人）：财政补助特殊人群医疗费</w:t>
      </w: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万元，1-</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月支出</w:t>
      </w: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万元。</w:t>
      </w:r>
    </w:p>
    <w:p w14:paraId="74EBFA4A">
      <w:pPr>
        <w:keepNext w:val="0"/>
        <w:keepLines w:val="0"/>
        <w:pageBreakBefore w:val="0"/>
        <w:kinsoku/>
        <w:wordWrap/>
        <w:overflowPunct/>
        <w:topLinePunct w:val="0"/>
        <w:autoSpaceDE/>
        <w:autoSpaceDN/>
        <w:bidi w:val="0"/>
        <w:adjustRightInd/>
        <w:spacing w:line="560" w:lineRule="exact"/>
        <w:ind w:firstLine="643" w:firstLineChars="200"/>
        <w:jc w:val="left"/>
        <w:textAlignment w:val="auto"/>
        <w:rPr>
          <w:rFonts w:hint="eastAsia" w:ascii="仿宋_GB2312" w:hAnsi="仿宋_GB2312" w:eastAsia="仿宋_GB2312" w:cs="仿宋_GB2312"/>
          <w:color w:val="auto"/>
          <w:sz w:val="32"/>
          <w:szCs w:val="32"/>
        </w:rPr>
      </w:pPr>
      <w:r>
        <w:rPr>
          <w:rFonts w:hint="default" w:ascii="Calibri" w:hAnsi="Calibri" w:eastAsia="仿宋_GB2312" w:cs="Calibri"/>
          <w:b/>
          <w:bCs/>
          <w:color w:val="auto"/>
          <w:sz w:val="32"/>
          <w:szCs w:val="32"/>
        </w:rPr>
        <w:t>③</w:t>
      </w:r>
      <w:r>
        <w:rPr>
          <w:rFonts w:hint="eastAsia" w:ascii="仿宋_GB2312" w:hAnsi="仿宋_GB2312" w:eastAsia="仿宋_GB2312" w:cs="仿宋_GB2312"/>
          <w:b/>
          <w:bCs/>
          <w:color w:val="auto"/>
          <w:sz w:val="32"/>
          <w:szCs w:val="32"/>
        </w:rPr>
        <w:t>. 落实“两病”门诊用药保障。</w:t>
      </w:r>
      <w:r>
        <w:rPr>
          <w:rFonts w:hint="eastAsia" w:ascii="仿宋_GB2312" w:hAnsi="仿宋_GB2312" w:eastAsia="仿宋_GB2312" w:cs="仿宋_GB2312"/>
          <w:color w:val="auto"/>
          <w:sz w:val="32"/>
          <w:szCs w:val="32"/>
          <w:lang w:val="en-US" w:eastAsia="zh-CN"/>
        </w:rPr>
        <w:t>2023</w:t>
      </w:r>
      <w:r>
        <w:rPr>
          <w:rFonts w:hint="eastAsia" w:ascii="仿宋_GB2312" w:hAnsi="仿宋_GB2312" w:eastAsia="仿宋_GB2312" w:cs="仿宋_GB2312"/>
          <w:color w:val="auto"/>
          <w:sz w:val="32"/>
          <w:szCs w:val="32"/>
        </w:rPr>
        <w:t>年进一步推进城乡居民“两病”门诊用药保障工作，将“两病”人群全部纳入基本医疗保障范围，对参保人员同时使用降血压、降血糖药品的，可同时享受高血压、糖尿病门诊用药专项保障待遇。截至</w:t>
      </w:r>
      <w:r>
        <w:rPr>
          <w:rFonts w:hint="eastAsia" w:ascii="仿宋_GB2312" w:hAnsi="仿宋_GB2312" w:eastAsia="仿宋_GB2312" w:cs="仿宋_GB2312"/>
          <w:color w:val="auto"/>
          <w:sz w:val="32"/>
          <w:szCs w:val="32"/>
          <w:lang w:val="en-US" w:eastAsia="zh-CN"/>
        </w:rPr>
        <w:t>目前</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我</w:t>
      </w:r>
      <w:r>
        <w:rPr>
          <w:rFonts w:hint="eastAsia" w:ascii="仿宋_GB2312" w:hAnsi="仿宋_GB2312" w:eastAsia="仿宋_GB2312" w:cs="仿宋_GB2312"/>
          <w:color w:val="auto"/>
          <w:sz w:val="32"/>
          <w:szCs w:val="32"/>
          <w:lang w:val="en-US" w:eastAsia="zh-CN"/>
        </w:rPr>
        <w:t>县</w:t>
      </w:r>
      <w:r>
        <w:rPr>
          <w:rFonts w:hint="eastAsia" w:ascii="仿宋_GB2312" w:hAnsi="仿宋_GB2312" w:eastAsia="仿宋_GB2312" w:cs="仿宋_GB2312"/>
          <w:color w:val="auto"/>
          <w:sz w:val="32"/>
          <w:szCs w:val="32"/>
        </w:rPr>
        <w:t>居民“两病”门诊用药保障政策待遇享受人数已达19442人，任务完成率161.81%；“两病”药品基金支出106.84万元，报销比例高达69.23%。率先完成“两病”门诊用药保障任务。</w:t>
      </w:r>
    </w:p>
    <w:p w14:paraId="0E788F2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lang w:val="en-US" w:eastAsia="zh-CN"/>
        </w:rPr>
        <w:t>3、创新方式，</w:t>
      </w:r>
      <w:r>
        <w:rPr>
          <w:rFonts w:hint="eastAsia" w:ascii="仿宋_GB2312" w:hAnsi="仿宋_GB2312" w:eastAsia="仿宋_GB2312" w:cs="仿宋_GB2312"/>
          <w:b/>
          <w:bCs/>
          <w:color w:val="auto"/>
          <w:sz w:val="32"/>
          <w:szCs w:val="32"/>
        </w:rPr>
        <w:t>持续优化医保领域便民服务</w:t>
      </w:r>
    </w:p>
    <w:p w14:paraId="3A019274">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000000"/>
          <w:sz w:val="32"/>
          <w:szCs w:val="32"/>
          <w:highlight w:val="none"/>
          <w:lang w:val="en-US" w:eastAsia="zh-CN"/>
        </w:rPr>
      </w:pPr>
      <w:r>
        <w:rPr>
          <w:rFonts w:hint="default" w:ascii="Calibri" w:hAnsi="Calibri" w:eastAsia="仿宋_GB2312" w:cs="Calibri"/>
          <w:b/>
          <w:bCs/>
          <w:color w:val="auto"/>
          <w:sz w:val="32"/>
          <w:szCs w:val="32"/>
          <w:highlight w:val="none"/>
          <w:lang w:val="en-US" w:eastAsia="zh-CN"/>
        </w:rPr>
        <w:t>①</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bCs/>
          <w:color w:val="auto"/>
          <w:sz w:val="32"/>
          <w:szCs w:val="32"/>
          <w:highlight w:val="none"/>
        </w:rPr>
        <w:t>进一步优化跨省通办服务。</w:t>
      </w:r>
      <w:r>
        <w:rPr>
          <w:rFonts w:hint="eastAsia" w:ascii="仿宋_GB2312" w:hAnsi="仿宋_GB2312" w:eastAsia="仿宋_GB2312" w:cs="仿宋_GB2312"/>
          <w:b w:val="0"/>
          <w:bCs w:val="0"/>
          <w:color w:val="auto"/>
          <w:sz w:val="32"/>
          <w:szCs w:val="32"/>
          <w:highlight w:val="none"/>
        </w:rPr>
        <w:t>破解异地就医直接结算难题，全力推行“六办”服务，建立了“县医保经办业务处理群”，推广运用湘税社保APP、国家医保平台，编制异地备案和转诊小程序指导帮助群众“手机办”。利用微信、支付宝等平台帮助参保群众激活、使用“电子医保凭证”，普及智慧医保，实现无卡医保“码上办”。与贵州省铜仁、黔东南州等7个县市区建立网络沟通机制，县人民医院、县中医医院异地医保业务实现本地办、“跨</w:t>
      </w:r>
      <w:r>
        <w:rPr>
          <w:rFonts w:hint="eastAsia" w:ascii="仿宋_GB2312" w:hAnsi="仿宋_GB2312" w:eastAsia="仿宋_GB2312" w:cs="仿宋_GB2312"/>
          <w:b w:val="0"/>
          <w:bCs w:val="0"/>
          <w:color w:val="000000"/>
          <w:sz w:val="32"/>
          <w:szCs w:val="32"/>
          <w:highlight w:val="none"/>
        </w:rPr>
        <w:t>省办”，打通医保跨省经办的“藩篱”。严格按照文件规定对三类人群进行备案，实行一日一审核，</w:t>
      </w:r>
      <w:r>
        <w:rPr>
          <w:rFonts w:hint="eastAsia" w:ascii="仿宋_GB2312" w:hAnsi="仿宋_GB2312" w:eastAsia="仿宋_GB2312" w:cs="仿宋_GB2312"/>
          <w:b w:val="0"/>
          <w:bCs w:val="0"/>
          <w:color w:val="000000"/>
          <w:sz w:val="32"/>
          <w:szCs w:val="32"/>
          <w:highlight w:val="none"/>
          <w:lang w:val="en-US" w:eastAsia="zh-CN"/>
        </w:rPr>
        <w:t>截至目前</w:t>
      </w:r>
      <w:r>
        <w:rPr>
          <w:rFonts w:hint="eastAsia" w:ascii="仿宋_GB2312" w:hAnsi="仿宋_GB2312" w:eastAsia="仿宋_GB2312" w:cs="仿宋_GB2312"/>
          <w:b w:val="0"/>
          <w:bCs w:val="0"/>
          <w:color w:val="000000"/>
          <w:sz w:val="32"/>
          <w:szCs w:val="32"/>
          <w:highlight w:val="none"/>
        </w:rPr>
        <w:t>共备案12217人次。</w:t>
      </w:r>
      <w:r>
        <w:rPr>
          <w:rFonts w:hint="eastAsia" w:ascii="仿宋_GB2312" w:hAnsi="仿宋_GB2312" w:eastAsia="仿宋_GB2312" w:cs="仿宋_GB2312"/>
          <w:b w:val="0"/>
          <w:bCs w:val="0"/>
          <w:color w:val="000000"/>
          <w:sz w:val="32"/>
          <w:szCs w:val="32"/>
          <w:highlight w:val="none"/>
          <w:lang w:val="en-US" w:eastAsia="zh-CN"/>
        </w:rPr>
        <w:t>作为就医地，我县</w:t>
      </w:r>
      <w:r>
        <w:rPr>
          <w:rFonts w:hint="eastAsia" w:ascii="仿宋_GB2312" w:hAnsi="仿宋_GB2312" w:eastAsia="仿宋_GB2312" w:cs="仿宋_GB2312"/>
          <w:b w:val="0"/>
          <w:bCs w:val="0"/>
          <w:color w:val="000000"/>
          <w:sz w:val="32"/>
          <w:szCs w:val="32"/>
          <w:highlight w:val="none"/>
        </w:rPr>
        <w:t>二级定点医疗机构住院及门诊业务异地直接结算联通率100%，门慢特异地直接结算区县覆盖率100%。</w:t>
      </w:r>
      <w:r>
        <w:rPr>
          <w:rFonts w:hint="eastAsia" w:ascii="仿宋_GB2312" w:hAnsi="仿宋_GB2312" w:eastAsia="仿宋_GB2312" w:cs="仿宋_GB2312"/>
          <w:b w:val="0"/>
          <w:bCs w:val="0"/>
          <w:color w:val="000000"/>
          <w:sz w:val="32"/>
          <w:szCs w:val="32"/>
          <w:highlight w:val="none"/>
          <w:lang w:val="en-US" w:eastAsia="zh-CN"/>
        </w:rPr>
        <w:t>作为参保地，11月份，我县跨省住院直接结算率100%，省内住院直接结算率100%，省内普门直接结算率98.91%，省内特门直接结算率97.78%。</w:t>
      </w:r>
    </w:p>
    <w:p w14:paraId="5B5F009F">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000000"/>
          <w:sz w:val="32"/>
          <w:szCs w:val="32"/>
          <w:highlight w:val="none"/>
        </w:rPr>
      </w:pPr>
      <w:r>
        <w:rPr>
          <w:rFonts w:hint="default" w:ascii="Calibri" w:hAnsi="Calibri" w:eastAsia="仿宋_GB2312" w:cs="Calibri"/>
          <w:b/>
          <w:bCs/>
          <w:color w:val="000000"/>
          <w:sz w:val="32"/>
          <w:szCs w:val="32"/>
          <w:highlight w:val="none"/>
          <w:lang w:val="en-US" w:eastAsia="zh-CN"/>
        </w:rPr>
        <w:t>②</w:t>
      </w:r>
      <w:r>
        <w:rPr>
          <w:rFonts w:hint="eastAsia" w:ascii="仿宋_GB2312" w:hAnsi="仿宋_GB2312" w:eastAsia="仿宋_GB2312" w:cs="仿宋_GB2312"/>
          <w:b/>
          <w:bCs/>
          <w:color w:val="000000"/>
          <w:sz w:val="32"/>
          <w:szCs w:val="32"/>
          <w:highlight w:val="none"/>
          <w:lang w:val="en-US" w:eastAsia="zh-CN"/>
        </w:rPr>
        <w:t>.全面提升“数字化”经办水平。一是</w:t>
      </w:r>
      <w:r>
        <w:rPr>
          <w:rFonts w:hint="eastAsia" w:ascii="仿宋_GB2312" w:hAnsi="仿宋_GB2312" w:eastAsia="仿宋_GB2312" w:cs="仿宋_GB2312"/>
          <w:b w:val="0"/>
          <w:bCs w:val="0"/>
          <w:color w:val="000000"/>
          <w:sz w:val="32"/>
          <w:szCs w:val="32"/>
          <w:highlight w:val="none"/>
          <w:lang w:val="en-US" w:eastAsia="zh-CN"/>
        </w:rPr>
        <w:t>积极推进单位网厅应用，提高注册登录率，根据上级反馈，我县有387个参保单位，截至目前，单位有效注册387个，注册率100%，全市排名第一。</w:t>
      </w:r>
      <w:r>
        <w:rPr>
          <w:rFonts w:hint="eastAsia" w:ascii="仿宋_GB2312" w:hAnsi="仿宋_GB2312" w:eastAsia="仿宋_GB2312" w:cs="仿宋_GB2312"/>
          <w:b/>
          <w:bCs/>
          <w:color w:val="000000"/>
          <w:sz w:val="32"/>
          <w:szCs w:val="32"/>
          <w:highlight w:val="none"/>
          <w:lang w:val="en-US" w:eastAsia="zh-CN"/>
        </w:rPr>
        <w:t>二是</w:t>
      </w:r>
      <w:r>
        <w:rPr>
          <w:rFonts w:hint="eastAsia" w:ascii="仿宋_GB2312" w:hAnsi="仿宋_GB2312" w:eastAsia="仿宋_GB2312" w:cs="仿宋_GB2312"/>
          <w:b w:val="0"/>
          <w:bCs w:val="0"/>
          <w:color w:val="000000"/>
          <w:spacing w:val="11"/>
          <w:sz w:val="32"/>
          <w:szCs w:val="32"/>
          <w:highlight w:val="none"/>
        </w:rPr>
        <w:t>依托医保服务平台“湘医保（个人网厅</w:t>
      </w:r>
      <w:r>
        <w:rPr>
          <w:rFonts w:hint="eastAsia" w:ascii="仿宋_GB2312" w:hAnsi="仿宋_GB2312" w:eastAsia="仿宋_GB2312" w:cs="仿宋_GB2312"/>
          <w:b w:val="0"/>
          <w:bCs w:val="0"/>
          <w:color w:val="000000"/>
          <w:spacing w:val="11"/>
          <w:sz w:val="32"/>
          <w:szCs w:val="32"/>
          <w:highlight w:val="none"/>
          <w:lang w:eastAsia="zh-CN"/>
        </w:rPr>
        <w:t>）”“</w:t>
      </w:r>
      <w:r>
        <w:rPr>
          <w:rFonts w:hint="eastAsia" w:ascii="仿宋_GB2312" w:hAnsi="仿宋_GB2312" w:eastAsia="仿宋_GB2312" w:cs="仿宋_GB2312"/>
          <w:b w:val="0"/>
          <w:bCs w:val="0"/>
          <w:color w:val="000000"/>
          <w:spacing w:val="8"/>
          <w:sz w:val="32"/>
          <w:szCs w:val="32"/>
          <w:highlight w:val="none"/>
        </w:rPr>
        <w:t>单位网</w:t>
      </w:r>
      <w:r>
        <w:rPr>
          <w:rFonts w:hint="eastAsia" w:ascii="仿宋_GB2312" w:hAnsi="仿宋_GB2312" w:eastAsia="仿宋_GB2312" w:cs="仿宋_GB2312"/>
          <w:b w:val="0"/>
          <w:bCs w:val="0"/>
          <w:color w:val="000000"/>
          <w:spacing w:val="-8"/>
          <w:sz w:val="32"/>
          <w:szCs w:val="32"/>
          <w:highlight w:val="none"/>
        </w:rPr>
        <w:t>厅”、基层服务平台办理参保登记、参保信息变更、转移接续等医保领域高频服务事项，</w:t>
      </w:r>
      <w:r>
        <w:rPr>
          <w:rFonts w:hint="eastAsia" w:ascii="仿宋_GB2312" w:hAnsi="仿宋_GB2312" w:eastAsia="仿宋_GB2312" w:cs="仿宋_GB2312"/>
          <w:b w:val="0"/>
          <w:bCs w:val="0"/>
          <w:color w:val="000000"/>
          <w:spacing w:val="-8"/>
          <w:sz w:val="32"/>
          <w:szCs w:val="32"/>
          <w:highlight w:val="none"/>
          <w:lang w:val="en-US" w:eastAsia="zh-CN"/>
        </w:rPr>
        <w:t>持续推进网办率。</w:t>
      </w:r>
    </w:p>
    <w:p w14:paraId="103E2F7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lang w:val="en-US" w:eastAsia="zh-CN"/>
        </w:rPr>
        <w:t>4、多措并举，</w:t>
      </w:r>
      <w:r>
        <w:rPr>
          <w:rFonts w:hint="eastAsia" w:ascii="仿宋_GB2312" w:hAnsi="仿宋_GB2312" w:eastAsia="仿宋_GB2312" w:cs="仿宋_GB2312"/>
          <w:b/>
          <w:bCs/>
          <w:color w:val="000000"/>
          <w:sz w:val="32"/>
          <w:szCs w:val="32"/>
        </w:rPr>
        <w:t>推进医保经办管理服务体系建设</w:t>
      </w:r>
    </w:p>
    <w:p w14:paraId="40FE7C0D">
      <w:pPr>
        <w:pStyle w:val="8"/>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_GB2312" w:hAnsi="仿宋_GB2312" w:eastAsia="仿宋_GB2312" w:cs="仿宋_GB2312"/>
          <w:b w:val="0"/>
          <w:bCs w:val="0"/>
          <w:color w:val="000000"/>
          <w:sz w:val="32"/>
          <w:szCs w:val="32"/>
          <w:highlight w:val="none"/>
        </w:rPr>
      </w:pPr>
      <w:r>
        <w:rPr>
          <w:rFonts w:hint="default" w:ascii="Calibri" w:hAnsi="Calibri" w:eastAsia="仿宋_GB2312" w:cs="Calibri"/>
          <w:b/>
          <w:bCs/>
          <w:color w:val="000000"/>
          <w:sz w:val="32"/>
          <w:szCs w:val="32"/>
          <w:highlight w:val="none"/>
          <w:lang w:val="en-US" w:eastAsia="zh-CN"/>
        </w:rPr>
        <w:t>①</w:t>
      </w:r>
      <w:r>
        <w:rPr>
          <w:rFonts w:hint="eastAsia" w:ascii="仿宋_GB2312" w:hAnsi="仿宋_GB2312" w:eastAsia="仿宋_GB2312" w:cs="仿宋_GB2312"/>
          <w:b/>
          <w:bCs/>
          <w:color w:val="000000"/>
          <w:sz w:val="32"/>
          <w:szCs w:val="32"/>
          <w:highlight w:val="none"/>
          <w:lang w:val="en-US" w:eastAsia="zh-CN"/>
        </w:rPr>
        <w:t>.强化</w:t>
      </w:r>
      <w:r>
        <w:rPr>
          <w:rFonts w:hint="eastAsia" w:ascii="仿宋_GB2312" w:hAnsi="仿宋_GB2312" w:eastAsia="仿宋_GB2312" w:cs="仿宋_GB2312"/>
          <w:b/>
          <w:bCs/>
          <w:color w:val="000000"/>
          <w:sz w:val="32"/>
          <w:szCs w:val="32"/>
          <w:highlight w:val="none"/>
        </w:rPr>
        <w:t>医保经办服务体系建设</w:t>
      </w:r>
      <w:r>
        <w:rPr>
          <w:rFonts w:hint="eastAsia" w:ascii="仿宋_GB2312" w:hAnsi="仿宋_GB2312" w:eastAsia="仿宋_GB2312" w:cs="仿宋_GB2312"/>
          <w:b/>
          <w:bCs/>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构建县乡村三级经办服务体系，全面完成县级医保经办中心、乡镇医保经办服务站、村级医保经办服务点“三级网点”和医院、村卫生室医保经办“窗口”规范化建设，实现平台建设“一体化”， 打造医保经办“15分钟服务圈”。截至</w:t>
      </w:r>
      <w:r>
        <w:rPr>
          <w:rFonts w:hint="eastAsia" w:ascii="仿宋_GB2312" w:hAnsi="仿宋_GB2312" w:eastAsia="仿宋_GB2312" w:cs="仿宋_GB2312"/>
          <w:b w:val="0"/>
          <w:bCs w:val="0"/>
          <w:color w:val="000000"/>
          <w:sz w:val="32"/>
          <w:szCs w:val="32"/>
          <w:highlight w:val="none"/>
          <w:lang w:val="en-US" w:eastAsia="zh-CN"/>
        </w:rPr>
        <w:t>目前，</w:t>
      </w:r>
      <w:r>
        <w:rPr>
          <w:rFonts w:hint="eastAsia" w:ascii="仿宋_GB2312" w:hAnsi="仿宋_GB2312" w:eastAsia="仿宋_GB2312" w:cs="仿宋_GB2312"/>
          <w:b w:val="0"/>
          <w:bCs w:val="0"/>
          <w:color w:val="000000"/>
          <w:sz w:val="32"/>
          <w:szCs w:val="32"/>
          <w:highlight w:val="none"/>
        </w:rPr>
        <w:t>已建成1个高标准县级医保经办服务大厅，11个乡镇医保经办服务站，151个村（社区）医保经办服务点，27个定点医疗机构医保经办服务窗口，实现了县乡村三级医保经办网络全覆盖。明确乡镇、村（社区）的医保经办具体服务事项，在县、乡、村经办事务中推进“三级帮办代办”，下放乡镇（街道）20项、村（社区）15项医保经办、代办服务事项，确保“放得下、办得了”，全县137家村卫生室已全部开通医保结算，实现经办服务“便民化”，打通医保工作服务群众“最后一公里”。</w:t>
      </w:r>
    </w:p>
    <w:p w14:paraId="7F6799F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000000"/>
          <w:sz w:val="32"/>
          <w:szCs w:val="32"/>
          <w:highlight w:val="none"/>
          <w:lang w:val="en-US" w:eastAsia="zh-CN"/>
        </w:rPr>
      </w:pPr>
      <w:r>
        <w:rPr>
          <w:rFonts w:hint="default" w:ascii="Calibri" w:hAnsi="Calibri" w:eastAsia="仿宋_GB2312" w:cs="Calibri"/>
          <w:b/>
          <w:bCs/>
          <w:color w:val="000000"/>
          <w:sz w:val="32"/>
          <w:szCs w:val="32"/>
          <w:highlight w:val="none"/>
          <w:lang w:val="en-US" w:eastAsia="zh-CN"/>
        </w:rPr>
        <w:t>②</w:t>
      </w:r>
      <w:r>
        <w:rPr>
          <w:rFonts w:hint="eastAsia" w:ascii="仿宋_GB2312" w:hAnsi="仿宋_GB2312" w:eastAsia="仿宋_GB2312" w:cs="仿宋_GB2312"/>
          <w:b/>
          <w:bCs/>
          <w:color w:val="000000"/>
          <w:sz w:val="32"/>
          <w:szCs w:val="32"/>
          <w:highlight w:val="none"/>
          <w:lang w:val="en-US" w:eastAsia="zh-CN"/>
        </w:rPr>
        <w:t>.持续推进医保经办窗口建设。一是</w:t>
      </w:r>
      <w:r>
        <w:rPr>
          <w:rFonts w:hint="eastAsia" w:ascii="仿宋_GB2312" w:hAnsi="仿宋_GB2312" w:eastAsia="仿宋_GB2312" w:cs="仿宋_GB2312"/>
          <w:b w:val="0"/>
          <w:bCs w:val="0"/>
          <w:color w:val="000000"/>
          <w:sz w:val="32"/>
          <w:szCs w:val="32"/>
          <w:highlight w:val="none"/>
          <w:lang w:val="en-US" w:eastAsia="zh-CN"/>
        </w:rPr>
        <w:t>建立综合柜员制机制，全面</w:t>
      </w:r>
      <w:r>
        <w:rPr>
          <w:rFonts w:hint="eastAsia" w:ascii="仿宋_GB2312" w:hAnsi="仿宋_GB2312" w:eastAsia="仿宋_GB2312" w:cs="仿宋_GB2312"/>
          <w:b w:val="0"/>
          <w:bCs w:val="0"/>
          <w:color w:val="000000"/>
          <w:sz w:val="32"/>
          <w:szCs w:val="32"/>
          <w:highlight w:val="none"/>
        </w:rPr>
        <w:t>落实启动医疗保障综合柜员制窗口，实现医保经办业务一窗通办。</w:t>
      </w:r>
      <w:r>
        <w:rPr>
          <w:rFonts w:hint="eastAsia" w:ascii="仿宋_GB2312" w:hAnsi="仿宋_GB2312" w:eastAsia="仿宋_GB2312" w:cs="仿宋_GB2312"/>
          <w:b/>
          <w:bCs/>
          <w:color w:val="000000"/>
          <w:sz w:val="32"/>
          <w:szCs w:val="32"/>
          <w:highlight w:val="none"/>
          <w:lang w:val="en-US" w:eastAsia="zh-CN"/>
        </w:rPr>
        <w:t>二是</w:t>
      </w:r>
      <w:r>
        <w:rPr>
          <w:rFonts w:hint="eastAsia" w:ascii="仿宋_GB2312" w:hAnsi="仿宋_GB2312" w:eastAsia="仿宋_GB2312" w:cs="仿宋_GB2312"/>
          <w:b w:val="0"/>
          <w:bCs w:val="0"/>
          <w:color w:val="000000"/>
          <w:sz w:val="32"/>
          <w:szCs w:val="32"/>
          <w:highlight w:val="none"/>
        </w:rPr>
        <w:t>落实政务服务事项标准，调整并细化业务经办流程，</w:t>
      </w:r>
      <w:r>
        <w:rPr>
          <w:rFonts w:hint="eastAsia" w:ascii="仿宋_GB2312" w:hAnsi="仿宋_GB2312" w:eastAsia="仿宋_GB2312" w:cs="仿宋_GB2312"/>
          <w:b w:val="0"/>
          <w:bCs w:val="0"/>
          <w:color w:val="000000"/>
          <w:sz w:val="32"/>
          <w:szCs w:val="32"/>
          <w:highlight w:val="none"/>
          <w:lang w:val="en-US" w:eastAsia="zh-CN"/>
        </w:rPr>
        <w:t>合理设置岗位，</w:t>
      </w:r>
      <w:r>
        <w:rPr>
          <w:rFonts w:hint="eastAsia" w:ascii="仿宋_GB2312" w:hAnsi="仿宋_GB2312" w:eastAsia="仿宋_GB2312" w:cs="仿宋_GB2312"/>
          <w:b w:val="0"/>
          <w:bCs w:val="0"/>
          <w:color w:val="000000"/>
          <w:sz w:val="32"/>
          <w:szCs w:val="32"/>
          <w:highlight w:val="none"/>
        </w:rPr>
        <w:t>前台设置统一的受理岗（前台综合窗口）</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各部室后室设置经办岗（业务处理含复审），并进行动态调整，实现医保业务经办规范统一。</w:t>
      </w:r>
      <w:r>
        <w:rPr>
          <w:rFonts w:hint="eastAsia" w:ascii="仿宋_GB2312" w:hAnsi="仿宋_GB2312" w:eastAsia="仿宋_GB2312" w:cs="仿宋_GB2312"/>
          <w:b/>
          <w:bCs/>
          <w:color w:val="000000"/>
          <w:sz w:val="32"/>
          <w:szCs w:val="32"/>
          <w:highlight w:val="none"/>
          <w:lang w:val="en-US" w:eastAsia="zh-CN"/>
        </w:rPr>
        <w:t>三是</w:t>
      </w:r>
      <w:r>
        <w:rPr>
          <w:rFonts w:hint="eastAsia" w:ascii="仿宋_GB2312" w:hAnsi="仿宋_GB2312" w:eastAsia="仿宋_GB2312" w:cs="仿宋_GB2312"/>
          <w:b w:val="0"/>
          <w:bCs w:val="0"/>
          <w:color w:val="000000"/>
          <w:sz w:val="32"/>
          <w:szCs w:val="32"/>
          <w:highlight w:val="none"/>
        </w:rPr>
        <w:t>重新划分服务大厅窗口布局，统筹调配人员力量</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设置咨询引导、受理、等候和自助服务4个区域，重新设置咨询引导台1个（2人）、综合受理窗口3个、自助服务窗口1个。</w:t>
      </w:r>
      <w:r>
        <w:rPr>
          <w:rFonts w:hint="eastAsia" w:ascii="仿宋_GB2312" w:hAnsi="仿宋_GB2312" w:eastAsia="仿宋_GB2312" w:cs="仿宋_GB2312"/>
          <w:b w:val="0"/>
          <w:bCs w:val="0"/>
          <w:color w:val="000000"/>
          <w:sz w:val="32"/>
          <w:szCs w:val="32"/>
          <w:highlight w:val="none"/>
          <w:lang w:val="en-US" w:eastAsia="zh-CN"/>
        </w:rPr>
        <w:t>同时，加强对所有</w:t>
      </w:r>
      <w:r>
        <w:rPr>
          <w:rFonts w:hint="eastAsia" w:ascii="仿宋_GB2312" w:hAnsi="仿宋_GB2312" w:eastAsia="仿宋_GB2312" w:cs="仿宋_GB2312"/>
          <w:b w:val="0"/>
          <w:bCs w:val="0"/>
          <w:color w:val="000000"/>
          <w:sz w:val="32"/>
          <w:szCs w:val="32"/>
          <w:highlight w:val="none"/>
        </w:rPr>
        <w:t>窗口人员政策和业务操作培训。</w:t>
      </w:r>
      <w:r>
        <w:rPr>
          <w:rFonts w:hint="eastAsia" w:ascii="仿宋_GB2312" w:hAnsi="仿宋_GB2312" w:eastAsia="仿宋_GB2312" w:cs="仿宋_GB2312"/>
          <w:b/>
          <w:bCs/>
          <w:color w:val="000000"/>
          <w:sz w:val="32"/>
          <w:szCs w:val="32"/>
          <w:highlight w:val="none"/>
          <w:lang w:val="en-US" w:eastAsia="zh-CN"/>
        </w:rPr>
        <w:t>四是</w:t>
      </w:r>
      <w:r>
        <w:rPr>
          <w:rFonts w:hint="eastAsia" w:ascii="仿宋_GB2312" w:hAnsi="仿宋_GB2312" w:eastAsia="仿宋_GB2312" w:cs="仿宋_GB2312"/>
          <w:color w:val="000000"/>
          <w:sz w:val="32"/>
          <w:szCs w:val="32"/>
          <w:highlight w:val="none"/>
        </w:rPr>
        <w:t>实施“好差评”制度，自觉接受社会各界监督、畅通各种监管渠道，通过设置意见箱、网络监控、公布监管电话等方式，方便群众监督。</w:t>
      </w:r>
    </w:p>
    <w:p w14:paraId="25CB093A">
      <w:pPr>
        <w:pStyle w:val="8"/>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_GB2312" w:hAnsi="仿宋_GB2312" w:eastAsia="仿宋_GB2312" w:cs="仿宋_GB2312"/>
          <w:b w:val="0"/>
          <w:bCs w:val="0"/>
          <w:color w:val="000000"/>
          <w:sz w:val="32"/>
          <w:szCs w:val="32"/>
          <w:highlight w:val="none"/>
        </w:rPr>
      </w:pPr>
      <w:r>
        <w:rPr>
          <w:rFonts w:hint="default" w:ascii="Calibri" w:hAnsi="Calibri" w:eastAsia="仿宋_GB2312" w:cs="Calibri"/>
          <w:b/>
          <w:bCs/>
          <w:color w:val="000000"/>
          <w:sz w:val="32"/>
          <w:szCs w:val="32"/>
          <w:highlight w:val="none"/>
          <w:lang w:val="en-US" w:eastAsia="zh-CN"/>
        </w:rPr>
        <w:t>③</w:t>
      </w:r>
      <w:r>
        <w:rPr>
          <w:rFonts w:hint="eastAsia" w:ascii="仿宋_GB2312" w:hAnsi="仿宋_GB2312" w:eastAsia="仿宋_GB2312" w:cs="仿宋_GB2312"/>
          <w:b/>
          <w:bCs/>
          <w:color w:val="000000"/>
          <w:sz w:val="32"/>
          <w:szCs w:val="32"/>
          <w:highlight w:val="none"/>
          <w:lang w:val="en-US" w:eastAsia="zh-CN"/>
        </w:rPr>
        <w:t>.</w:t>
      </w:r>
      <w:r>
        <w:rPr>
          <w:rFonts w:hint="eastAsia" w:ascii="仿宋_GB2312" w:hAnsi="仿宋_GB2312" w:eastAsia="仿宋_GB2312" w:cs="仿宋_GB2312"/>
          <w:b/>
          <w:bCs/>
          <w:color w:val="000000"/>
          <w:sz w:val="32"/>
          <w:szCs w:val="32"/>
          <w:highlight w:val="none"/>
        </w:rPr>
        <w:t>强化医保服务管理。</w:t>
      </w:r>
      <w:r>
        <w:rPr>
          <w:rFonts w:hint="eastAsia" w:ascii="仿宋_GB2312" w:hAnsi="仿宋_GB2312" w:eastAsia="仿宋_GB2312" w:cs="仿宋_GB2312"/>
          <w:b w:val="0"/>
          <w:bCs w:val="0"/>
          <w:color w:val="000000"/>
          <w:sz w:val="32"/>
          <w:szCs w:val="32"/>
          <w:highlight w:val="none"/>
        </w:rPr>
        <w:t>聚焦“两定机构”等监管对象，推进监督执法体系、信用评价和社会监督制度建设。强化协议管理，加强定点医药服务机构管理，开展年度考评，不定期开展突击检查，严格查处违法违规行为。强化结算管理，开展政风行风建设专项评价，实行负面清单管理。推行集中带量采购药品耗材医保基金预付、公立医院采购医药货款在线结算、医保基金直接结算、实时结余留用奖励等系列举措，确保医保资金拨付到位，减轻医疗机构资金垫付压力。</w:t>
      </w:r>
    </w:p>
    <w:p w14:paraId="366C783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lang w:val="en-US" w:eastAsia="zh-CN"/>
        </w:rPr>
        <w:t>5、统筹兼顾，</w:t>
      </w:r>
      <w:r>
        <w:rPr>
          <w:rFonts w:hint="eastAsia" w:ascii="仿宋_GB2312" w:hAnsi="仿宋_GB2312" w:eastAsia="仿宋_GB2312" w:cs="仿宋_GB2312"/>
          <w:b/>
          <w:bCs/>
          <w:color w:val="000000"/>
          <w:sz w:val="32"/>
          <w:szCs w:val="32"/>
        </w:rPr>
        <w:t>全面提升医保规范化管理水平</w:t>
      </w:r>
    </w:p>
    <w:p w14:paraId="41BD7933">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color w:val="000000"/>
          <w:sz w:val="32"/>
          <w:szCs w:val="32"/>
          <w:highlight w:val="none"/>
          <w:lang w:val="en-US" w:eastAsia="zh-CN"/>
        </w:rPr>
      </w:pPr>
      <w:r>
        <w:rPr>
          <w:rFonts w:hint="default" w:ascii="Calibri" w:hAnsi="Calibri" w:eastAsia="仿宋_GB2312" w:cs="Calibri"/>
          <w:b/>
          <w:bCs/>
          <w:color w:val="000000"/>
          <w:sz w:val="32"/>
          <w:szCs w:val="32"/>
          <w:highlight w:val="none"/>
          <w:lang w:val="en-US" w:eastAsia="zh-CN"/>
        </w:rPr>
        <w:t>①</w:t>
      </w:r>
      <w:r>
        <w:rPr>
          <w:rFonts w:hint="eastAsia" w:ascii="仿宋_GB2312" w:hAnsi="仿宋_GB2312" w:eastAsia="仿宋_GB2312" w:cs="仿宋_GB2312"/>
          <w:b/>
          <w:bCs/>
          <w:color w:val="000000"/>
          <w:sz w:val="32"/>
          <w:szCs w:val="32"/>
          <w:highlight w:val="none"/>
          <w:lang w:val="en-US" w:eastAsia="zh-CN"/>
        </w:rPr>
        <w:t>.全面落实医保待遇政策制度。一是</w:t>
      </w:r>
      <w:r>
        <w:rPr>
          <w:rFonts w:hint="eastAsia" w:ascii="仿宋_GB2312" w:hAnsi="仿宋_GB2312" w:eastAsia="仿宋_GB2312" w:cs="仿宋_GB2312"/>
          <w:b w:val="0"/>
          <w:bCs w:val="0"/>
          <w:color w:val="000000"/>
          <w:sz w:val="32"/>
          <w:szCs w:val="32"/>
          <w:highlight w:val="none"/>
          <w:lang w:val="en-US" w:eastAsia="zh-CN"/>
        </w:rPr>
        <w:t>强化医保政策宣传，</w:t>
      </w:r>
      <w:r>
        <w:rPr>
          <w:rFonts w:hint="eastAsia" w:ascii="仿宋_GB2312" w:hAnsi="仿宋_GB2312" w:eastAsia="仿宋_GB2312" w:cs="仿宋_GB2312"/>
          <w:b w:val="0"/>
          <w:bCs w:val="0"/>
          <w:color w:val="000000"/>
          <w:sz w:val="32"/>
          <w:szCs w:val="32"/>
          <w:highlight w:val="none"/>
        </w:rPr>
        <w:t>全力做好城乡居民医疗保险参保缴费工作</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lang w:val="en-US" w:eastAsia="zh-CN"/>
        </w:rPr>
        <w:t>通过开展“两会一课·医保政策进校园”、“医保政策进万家”</w:t>
      </w:r>
      <w:r>
        <w:rPr>
          <w:rFonts w:hint="eastAsia" w:ascii="仿宋_GB2312" w:hAnsi="仿宋_GB2312" w:eastAsia="仿宋_GB2312" w:cs="仿宋_GB2312"/>
          <w:b w:val="0"/>
          <w:bCs w:val="0"/>
          <w:i w:val="0"/>
          <w:iCs w:val="0"/>
          <w:caps w:val="0"/>
          <w:color w:val="000000"/>
          <w:spacing w:val="0"/>
          <w:sz w:val="32"/>
          <w:szCs w:val="32"/>
          <w:highlight w:val="none"/>
          <w:lang w:val="en-US" w:eastAsia="zh-CN"/>
        </w:rPr>
        <w:t>县乡两级医保参保扩面集中宣传等活动，</w:t>
      </w:r>
      <w:r>
        <w:rPr>
          <w:rFonts w:hint="eastAsia" w:ascii="仿宋_GB2312" w:hAnsi="仿宋_GB2312" w:eastAsia="仿宋_GB2312" w:cs="仿宋_GB2312"/>
          <w:b w:val="0"/>
          <w:bCs w:val="0"/>
          <w:i w:val="0"/>
          <w:iCs w:val="0"/>
          <w:caps w:val="0"/>
          <w:color w:val="000000"/>
          <w:spacing w:val="0"/>
          <w:sz w:val="32"/>
          <w:szCs w:val="32"/>
          <w:highlight w:val="none"/>
          <w:shd w:val="clear" w:color="auto" w:fill="FFFFFF"/>
        </w:rPr>
        <w:t>向广大</w:t>
      </w:r>
      <w:r>
        <w:rPr>
          <w:rFonts w:hint="eastAsia" w:ascii="仿宋_GB2312" w:hAnsi="仿宋_GB2312" w:eastAsia="仿宋_GB2312" w:cs="仿宋_GB2312"/>
          <w:b w:val="0"/>
          <w:bCs w:val="0"/>
          <w:i w:val="0"/>
          <w:iCs w:val="0"/>
          <w:caps w:val="0"/>
          <w:color w:val="000000"/>
          <w:spacing w:val="0"/>
          <w:sz w:val="32"/>
          <w:szCs w:val="32"/>
          <w:highlight w:val="none"/>
          <w:shd w:val="clear" w:color="auto" w:fill="FFFFFF"/>
          <w:lang w:val="en-US" w:eastAsia="zh-CN"/>
        </w:rPr>
        <w:t>群众</w:t>
      </w:r>
      <w:r>
        <w:rPr>
          <w:rFonts w:hint="eastAsia" w:ascii="仿宋_GB2312" w:hAnsi="仿宋_GB2312" w:eastAsia="仿宋_GB2312" w:cs="仿宋_GB2312"/>
          <w:b w:val="0"/>
          <w:bCs w:val="0"/>
          <w:i w:val="0"/>
          <w:iCs w:val="0"/>
          <w:caps w:val="0"/>
          <w:color w:val="000000"/>
          <w:spacing w:val="0"/>
          <w:sz w:val="32"/>
          <w:szCs w:val="32"/>
          <w:highlight w:val="none"/>
          <w:shd w:val="clear" w:color="auto" w:fill="FFFFFF"/>
        </w:rPr>
        <w:t>宣传医保政策</w:t>
      </w:r>
      <w:r>
        <w:rPr>
          <w:rFonts w:hint="eastAsia" w:ascii="仿宋_GB2312" w:hAnsi="仿宋_GB2312" w:eastAsia="仿宋_GB2312" w:cs="仿宋_GB2312"/>
          <w:b w:val="0"/>
          <w:bCs w:val="0"/>
          <w:i w:val="0"/>
          <w:iCs w:val="0"/>
          <w:caps w:val="0"/>
          <w:color w:val="000000"/>
          <w:spacing w:val="0"/>
          <w:sz w:val="32"/>
          <w:szCs w:val="32"/>
          <w:highlight w:val="none"/>
          <w:shd w:val="clear" w:color="auto" w:fill="FFFFFF"/>
          <w:lang w:eastAsia="zh-CN"/>
        </w:rPr>
        <w:t>。</w:t>
      </w:r>
      <w:r>
        <w:rPr>
          <w:rFonts w:hint="eastAsia" w:ascii="仿宋_GB2312" w:hAnsi="仿宋_GB2312" w:eastAsia="仿宋_GB2312" w:cs="仿宋_GB2312"/>
          <w:b w:val="0"/>
          <w:bCs w:val="0"/>
          <w:color w:val="000000"/>
          <w:sz w:val="32"/>
          <w:szCs w:val="32"/>
          <w:highlight w:val="none"/>
        </w:rPr>
        <w:t>我县2023年度城乡居民参保率为95.44%，</w:t>
      </w:r>
      <w:r>
        <w:rPr>
          <w:rFonts w:hint="eastAsia" w:ascii="仿宋_GB2312" w:hAnsi="仿宋_GB2312" w:eastAsia="仿宋_GB2312" w:cs="仿宋_GB2312"/>
          <w:b w:val="0"/>
          <w:bCs w:val="0"/>
          <w:color w:val="000000"/>
          <w:sz w:val="32"/>
          <w:szCs w:val="32"/>
          <w:highlight w:val="none"/>
          <w:lang w:val="en-US" w:eastAsia="zh-CN"/>
        </w:rPr>
        <w:t>目前正</w:t>
      </w:r>
      <w:r>
        <w:rPr>
          <w:rFonts w:hint="eastAsia" w:ascii="仿宋_GB2312" w:hAnsi="仿宋_GB2312" w:eastAsia="仿宋_GB2312" w:cs="仿宋_GB2312"/>
          <w:b w:val="0"/>
          <w:bCs w:val="0"/>
          <w:color w:val="000000"/>
          <w:sz w:val="32"/>
          <w:szCs w:val="32"/>
          <w:highlight w:val="none"/>
        </w:rPr>
        <w:t>全力做好2024年</w:t>
      </w:r>
      <w:r>
        <w:rPr>
          <w:rFonts w:hint="eastAsia" w:ascii="仿宋_GB2312" w:hAnsi="仿宋_GB2312" w:eastAsia="仿宋_GB2312" w:cs="仿宋_GB2312"/>
          <w:b w:val="0"/>
          <w:bCs w:val="0"/>
          <w:color w:val="000000"/>
          <w:sz w:val="32"/>
          <w:szCs w:val="32"/>
          <w:highlight w:val="none"/>
          <w:lang w:val="en-US" w:eastAsia="zh-CN"/>
        </w:rPr>
        <w:t>度</w:t>
      </w:r>
      <w:r>
        <w:rPr>
          <w:rFonts w:hint="eastAsia" w:ascii="仿宋_GB2312" w:hAnsi="仿宋_GB2312" w:eastAsia="仿宋_GB2312" w:cs="仿宋_GB2312"/>
          <w:b w:val="0"/>
          <w:bCs w:val="0"/>
          <w:color w:val="000000"/>
          <w:sz w:val="32"/>
          <w:szCs w:val="32"/>
          <w:highlight w:val="none"/>
        </w:rPr>
        <w:t>城乡居民医疗保险参保缴费工作</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bCs/>
          <w:i w:val="0"/>
          <w:iCs w:val="0"/>
          <w:caps w:val="0"/>
          <w:color w:val="000000"/>
          <w:spacing w:val="0"/>
          <w:sz w:val="32"/>
          <w:szCs w:val="32"/>
          <w:highlight w:val="none"/>
          <w:shd w:val="clear" w:color="auto" w:fill="FFFFFF"/>
          <w:lang w:val="en-US" w:eastAsia="zh-CN"/>
        </w:rPr>
        <w:t>二</w:t>
      </w:r>
      <w:r>
        <w:rPr>
          <w:rFonts w:hint="eastAsia" w:ascii="仿宋_GB2312" w:hAnsi="仿宋_GB2312" w:eastAsia="仿宋_GB2312" w:cs="仿宋_GB2312"/>
          <w:b/>
          <w:bCs/>
          <w:color w:val="000000"/>
          <w:sz w:val="32"/>
          <w:szCs w:val="32"/>
          <w:highlight w:val="none"/>
          <w:lang w:val="en-US" w:eastAsia="zh-CN"/>
        </w:rPr>
        <w:t>是</w:t>
      </w:r>
      <w:r>
        <w:rPr>
          <w:rFonts w:hint="eastAsia" w:ascii="仿宋_GB2312" w:hAnsi="仿宋_GB2312" w:eastAsia="仿宋_GB2312" w:cs="仿宋_GB2312"/>
          <w:b w:val="0"/>
          <w:bCs w:val="0"/>
          <w:color w:val="000000"/>
          <w:sz w:val="32"/>
          <w:szCs w:val="32"/>
          <w:highlight w:val="none"/>
          <w:lang w:eastAsia="zh-CN"/>
        </w:rPr>
        <w:t>严格执行《湖南省医疗保障待遇清单制度》</w:t>
      </w:r>
      <w:r>
        <w:rPr>
          <w:rFonts w:hint="eastAsia" w:ascii="仿宋_GB2312" w:hAnsi="仿宋_GB2312" w:eastAsia="仿宋_GB2312" w:cs="仿宋_GB2312"/>
          <w:b w:val="0"/>
          <w:bCs w:val="0"/>
          <w:color w:val="000000"/>
          <w:sz w:val="32"/>
          <w:szCs w:val="32"/>
          <w:highlight w:val="none"/>
          <w:lang w:val="en-US" w:eastAsia="zh-CN"/>
        </w:rPr>
        <w:t>及</w:t>
      </w:r>
      <w:r>
        <w:rPr>
          <w:rFonts w:hint="eastAsia" w:ascii="仿宋_GB2312" w:hAnsi="仿宋_GB2312" w:eastAsia="仿宋_GB2312" w:cs="仿宋_GB2312"/>
          <w:b w:val="0"/>
          <w:bCs w:val="0"/>
          <w:color w:val="000000"/>
          <w:sz w:val="32"/>
          <w:szCs w:val="32"/>
          <w:highlight w:val="none"/>
          <w:lang w:eastAsia="zh-CN"/>
        </w:rPr>
        <w:t>按照省政策落实职工、居民基本医保办法</w:t>
      </w:r>
      <w:r>
        <w:rPr>
          <w:rFonts w:hint="eastAsia" w:ascii="仿宋_GB2312" w:hAnsi="仿宋_GB2312" w:eastAsia="仿宋_GB2312" w:cs="仿宋_GB2312"/>
          <w:b w:val="0"/>
          <w:bCs w:val="0"/>
          <w:color w:val="000000"/>
          <w:sz w:val="32"/>
          <w:szCs w:val="32"/>
          <w:highlight w:val="none"/>
          <w:lang w:val="en-US" w:eastAsia="zh-CN"/>
        </w:rPr>
        <w:t>及</w:t>
      </w:r>
      <w:r>
        <w:rPr>
          <w:rFonts w:hint="eastAsia" w:ascii="仿宋_GB2312" w:hAnsi="仿宋_GB2312" w:eastAsia="仿宋_GB2312" w:cs="仿宋_GB2312"/>
          <w:b w:val="0"/>
          <w:bCs w:val="0"/>
          <w:color w:val="000000"/>
          <w:sz w:val="32"/>
          <w:szCs w:val="32"/>
          <w:highlight w:val="none"/>
          <w:lang w:eastAsia="zh-CN"/>
        </w:rPr>
        <w:t>职工门诊慢特病管理办法。</w:t>
      </w:r>
      <w:r>
        <w:rPr>
          <w:rFonts w:hint="eastAsia" w:ascii="仿宋_GB2312" w:hAnsi="仿宋_GB2312" w:eastAsia="仿宋_GB2312" w:cs="仿宋_GB2312"/>
          <w:b/>
          <w:bCs/>
          <w:color w:val="000000"/>
          <w:sz w:val="32"/>
          <w:szCs w:val="32"/>
          <w:highlight w:val="none"/>
          <w:lang w:val="en-US" w:eastAsia="zh-CN"/>
        </w:rPr>
        <w:t>三是</w:t>
      </w:r>
      <w:r>
        <w:rPr>
          <w:rFonts w:hint="eastAsia" w:ascii="仿宋_GB2312" w:hAnsi="仿宋_GB2312" w:eastAsia="仿宋_GB2312" w:cs="仿宋_GB2312"/>
          <w:b w:val="0"/>
          <w:bCs w:val="0"/>
          <w:color w:val="000000"/>
          <w:sz w:val="32"/>
          <w:szCs w:val="32"/>
          <w:highlight w:val="none"/>
          <w:lang w:eastAsia="zh-CN"/>
        </w:rPr>
        <w:t>定点住院医疗机构和城区社区（街道）卫生服务中心共36家，目前开通职工门诊统筹25家，开通率为69.44%。</w:t>
      </w:r>
      <w:r>
        <w:rPr>
          <w:rFonts w:hint="eastAsia" w:ascii="仿宋_GB2312" w:hAnsi="仿宋_GB2312" w:eastAsia="仿宋_GB2312" w:cs="仿宋_GB2312"/>
          <w:b/>
          <w:bCs/>
          <w:color w:val="000000"/>
          <w:sz w:val="32"/>
          <w:szCs w:val="32"/>
          <w:highlight w:val="none"/>
          <w:lang w:val="en-US" w:eastAsia="zh-CN"/>
        </w:rPr>
        <w:t>四是</w:t>
      </w:r>
      <w:r>
        <w:rPr>
          <w:rFonts w:hint="eastAsia" w:ascii="仿宋_GB2312" w:hAnsi="仿宋_GB2312" w:eastAsia="仿宋_GB2312" w:cs="仿宋_GB2312"/>
          <w:b w:val="0"/>
          <w:bCs w:val="0"/>
          <w:color w:val="000000"/>
          <w:sz w:val="32"/>
          <w:szCs w:val="32"/>
          <w:highlight w:val="none"/>
          <w:lang w:val="en-US" w:eastAsia="zh-CN"/>
        </w:rPr>
        <w:t>按要求规范开展城乡居民大病保险考核工作，且考核结果与承办费和承办份额挂钩。</w:t>
      </w:r>
      <w:r>
        <w:rPr>
          <w:rFonts w:hint="eastAsia" w:ascii="仿宋_GB2312" w:hAnsi="仿宋_GB2312" w:eastAsia="仿宋_GB2312" w:cs="仿宋_GB2312"/>
          <w:b/>
          <w:bCs/>
          <w:color w:val="000000"/>
          <w:sz w:val="32"/>
          <w:szCs w:val="32"/>
          <w:highlight w:val="none"/>
          <w:lang w:val="en-US" w:eastAsia="zh-CN"/>
        </w:rPr>
        <w:t>五是</w:t>
      </w:r>
      <w:r>
        <w:rPr>
          <w:rFonts w:hint="eastAsia" w:ascii="仿宋_GB2312" w:hAnsi="仿宋_GB2312" w:eastAsia="仿宋_GB2312" w:cs="仿宋_GB2312"/>
          <w:b w:val="0"/>
          <w:bCs w:val="0"/>
          <w:color w:val="000000"/>
          <w:sz w:val="32"/>
          <w:szCs w:val="32"/>
          <w:highlight w:val="none"/>
          <w:lang w:val="en-US" w:eastAsia="zh-CN"/>
        </w:rPr>
        <w:t>已开通医疗救助基金专户，落实医保扶贫资金归并平移，地方财政资金已到位，</w:t>
      </w:r>
      <w:r>
        <w:rPr>
          <w:rFonts w:hint="eastAsia" w:ascii="仿宋_GB2312" w:hAnsi="仿宋_GB2312" w:eastAsia="仿宋_GB2312" w:cs="仿宋_GB2312"/>
          <w:b w:val="0"/>
          <w:bCs w:val="0"/>
          <w:color w:val="000000"/>
          <w:sz w:val="32"/>
          <w:szCs w:val="32"/>
          <w:highlight w:val="none"/>
          <w:lang w:eastAsia="zh-CN"/>
        </w:rPr>
        <w:t>程序规范，截至</w:t>
      </w:r>
      <w:r>
        <w:rPr>
          <w:rFonts w:hint="eastAsia" w:ascii="仿宋_GB2312" w:hAnsi="仿宋_GB2312" w:eastAsia="仿宋_GB2312" w:cs="仿宋_GB2312"/>
          <w:b w:val="0"/>
          <w:bCs w:val="0"/>
          <w:color w:val="000000"/>
          <w:sz w:val="32"/>
          <w:szCs w:val="32"/>
          <w:highlight w:val="none"/>
          <w:lang w:val="en-US" w:eastAsia="zh-CN"/>
        </w:rPr>
        <w:t>目前</w:t>
      </w:r>
      <w:r>
        <w:rPr>
          <w:rFonts w:hint="eastAsia" w:ascii="仿宋_GB2312" w:hAnsi="仿宋_GB2312" w:eastAsia="仿宋_GB2312" w:cs="仿宋_GB2312"/>
          <w:b w:val="0"/>
          <w:bCs w:val="0"/>
          <w:color w:val="000000"/>
          <w:sz w:val="32"/>
          <w:szCs w:val="32"/>
          <w:highlight w:val="none"/>
          <w:lang w:eastAsia="zh-CN"/>
        </w:rPr>
        <w:t>，资助参保16323人，资助参保金额357.824万元。</w:t>
      </w:r>
      <w:r>
        <w:rPr>
          <w:rFonts w:hint="eastAsia" w:ascii="仿宋_GB2312" w:hAnsi="仿宋_GB2312" w:eastAsia="仿宋_GB2312" w:cs="仿宋_GB2312"/>
          <w:b/>
          <w:bCs/>
          <w:color w:val="000000"/>
          <w:sz w:val="32"/>
          <w:szCs w:val="32"/>
          <w:highlight w:val="none"/>
          <w:lang w:val="en-US" w:eastAsia="zh-CN"/>
        </w:rPr>
        <w:t>六是</w:t>
      </w:r>
      <w:r>
        <w:rPr>
          <w:rFonts w:hint="eastAsia" w:ascii="仿宋_GB2312" w:hAnsi="仿宋_GB2312" w:eastAsia="仿宋_GB2312" w:cs="仿宋_GB2312"/>
          <w:b w:val="0"/>
          <w:bCs w:val="0"/>
          <w:color w:val="000000"/>
          <w:sz w:val="32"/>
          <w:szCs w:val="32"/>
          <w:highlight w:val="none"/>
          <w:lang w:val="en-US" w:eastAsia="zh-CN"/>
        </w:rPr>
        <w:t>推进“两病”用药保障，纳入卫健部门规范化管理且参加居民医保的两病患者无需办理申请，即可按政策享受待遇</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bCs/>
          <w:color w:val="000000"/>
          <w:sz w:val="32"/>
          <w:szCs w:val="32"/>
          <w:highlight w:val="none"/>
          <w:lang w:val="en-US" w:eastAsia="zh-CN"/>
        </w:rPr>
        <w:t>七是</w:t>
      </w:r>
      <w:r>
        <w:rPr>
          <w:rFonts w:hint="eastAsia" w:ascii="仿宋_GB2312" w:hAnsi="仿宋_GB2312" w:eastAsia="仿宋_GB2312" w:cs="仿宋_GB2312"/>
          <w:b w:val="0"/>
          <w:bCs w:val="0"/>
          <w:color w:val="000000"/>
          <w:sz w:val="32"/>
          <w:szCs w:val="32"/>
          <w:highlight w:val="none"/>
          <w:lang w:val="en-US" w:eastAsia="zh-CN"/>
        </w:rPr>
        <w:t>行政村卫生室“两病”业务开通率达100%。</w:t>
      </w:r>
    </w:p>
    <w:p w14:paraId="33B0A7FC">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000000"/>
          <w:sz w:val="32"/>
          <w:szCs w:val="32"/>
          <w:highlight w:val="none"/>
          <w:lang w:val="en-US" w:eastAsia="zh-CN"/>
        </w:rPr>
      </w:pPr>
      <w:r>
        <w:rPr>
          <w:rFonts w:hint="default" w:ascii="Calibri" w:hAnsi="Calibri" w:eastAsia="仿宋_GB2312" w:cs="Calibri"/>
          <w:b/>
          <w:bCs/>
          <w:color w:val="000000"/>
          <w:sz w:val="32"/>
          <w:szCs w:val="32"/>
          <w:highlight w:val="none"/>
          <w:lang w:val="en-US" w:eastAsia="zh-CN"/>
        </w:rPr>
        <w:t>②</w:t>
      </w:r>
      <w:r>
        <w:rPr>
          <w:rFonts w:hint="eastAsia" w:ascii="仿宋_GB2312" w:hAnsi="仿宋_GB2312" w:eastAsia="仿宋_GB2312" w:cs="仿宋_GB2312"/>
          <w:b/>
          <w:bCs/>
          <w:color w:val="000000"/>
          <w:sz w:val="32"/>
          <w:szCs w:val="32"/>
          <w:highlight w:val="none"/>
          <w:lang w:val="en-US" w:eastAsia="zh-CN"/>
        </w:rPr>
        <w:t>.</w:t>
      </w:r>
      <w:r>
        <w:rPr>
          <w:rFonts w:hint="eastAsia" w:ascii="仿宋_GB2312" w:hAnsi="仿宋_GB2312" w:eastAsia="仿宋_GB2312" w:cs="仿宋_GB2312"/>
          <w:b/>
          <w:bCs/>
          <w:color w:val="000000"/>
          <w:sz w:val="32"/>
          <w:szCs w:val="32"/>
          <w:highlight w:val="none"/>
        </w:rPr>
        <w:t>推进医保支付方式改革。</w:t>
      </w:r>
      <w:r>
        <w:rPr>
          <w:rFonts w:hint="eastAsia" w:ascii="仿宋_GB2312" w:hAnsi="仿宋_GB2312" w:eastAsia="仿宋_GB2312" w:cs="仿宋_GB2312"/>
          <w:b/>
          <w:bCs/>
          <w:color w:val="000000"/>
          <w:sz w:val="32"/>
          <w:szCs w:val="32"/>
          <w:highlight w:val="none"/>
          <w:lang w:val="en-US" w:eastAsia="zh-CN"/>
        </w:rPr>
        <w:t>一是</w:t>
      </w:r>
      <w:r>
        <w:rPr>
          <w:rFonts w:hint="eastAsia" w:ascii="仿宋_GB2312" w:hAnsi="仿宋_GB2312" w:eastAsia="仿宋_GB2312" w:cs="仿宋_GB2312"/>
          <w:b w:val="0"/>
          <w:bCs w:val="0"/>
          <w:color w:val="000000"/>
          <w:sz w:val="32"/>
          <w:szCs w:val="32"/>
          <w:highlight w:val="none"/>
          <w:lang w:eastAsia="zh-CN"/>
        </w:rPr>
        <w:t>从2023年1月1日起，将符合条件的县人民医院、县中医院2家医疗机构正式纳入DIP支付，付费覆盖率达100%；自实际付费时间起算，完成付费医疗机构病种覆盖率达80%以上，DIP付费医保基金占住院医保基金支出比例的50%以上。</w:t>
      </w:r>
      <w:r>
        <w:rPr>
          <w:rFonts w:hint="eastAsia" w:ascii="仿宋_GB2312" w:hAnsi="仿宋_GB2312" w:eastAsia="仿宋_GB2312" w:cs="仿宋_GB2312"/>
          <w:b/>
          <w:bCs/>
          <w:color w:val="000000"/>
          <w:sz w:val="32"/>
          <w:szCs w:val="32"/>
          <w:highlight w:val="none"/>
          <w:lang w:val="en-US" w:eastAsia="zh-CN"/>
        </w:rPr>
        <w:t>二是</w:t>
      </w:r>
      <w:r>
        <w:rPr>
          <w:rFonts w:hint="eastAsia" w:ascii="仿宋_GB2312" w:hAnsi="仿宋_GB2312" w:eastAsia="仿宋_GB2312" w:cs="仿宋_GB2312"/>
          <w:b w:val="0"/>
          <w:bCs w:val="0"/>
          <w:color w:val="000000"/>
          <w:sz w:val="32"/>
          <w:szCs w:val="32"/>
          <w:highlight w:val="none"/>
          <w:lang w:eastAsia="zh-CN"/>
        </w:rPr>
        <w:t>完成县中医医院中医优势病种按病种付费管理试点病种，新增特需中医医疗服务试点项目价格测算备案审核工作，从2022年12月1日已正式实施。精神疾病在精神病医院已实施了按人头付费、按项目付费、按床日付费相结合的复合支付方式。</w:t>
      </w:r>
      <w:r>
        <w:rPr>
          <w:rFonts w:hint="eastAsia" w:ascii="仿宋_GB2312" w:hAnsi="仿宋_GB2312" w:eastAsia="仿宋_GB2312" w:cs="仿宋_GB2312"/>
          <w:b/>
          <w:bCs/>
          <w:color w:val="000000"/>
          <w:sz w:val="32"/>
          <w:szCs w:val="32"/>
          <w:highlight w:val="none"/>
          <w:lang w:val="en-US" w:eastAsia="zh-CN"/>
        </w:rPr>
        <w:t>三是</w:t>
      </w:r>
      <w:r>
        <w:rPr>
          <w:rFonts w:hint="eastAsia" w:ascii="仿宋_GB2312" w:hAnsi="仿宋_GB2312" w:eastAsia="仿宋_GB2312" w:cs="仿宋_GB2312"/>
          <w:b w:val="0"/>
          <w:bCs w:val="0"/>
          <w:color w:val="000000"/>
          <w:sz w:val="32"/>
          <w:szCs w:val="32"/>
          <w:highlight w:val="none"/>
          <w:lang w:eastAsia="zh-CN"/>
        </w:rPr>
        <w:t>加快推进我局医保支付方式付费改革步伐，制订了《2023年新晃县医保基金综合预算管理及分配方案》，在实施按人头付费、按项目付费的同时，明确了县域内各定点医疗机构的预算总额。</w:t>
      </w:r>
    </w:p>
    <w:p w14:paraId="15FE03E9">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val="0"/>
          <w:bCs w:val="0"/>
          <w:color w:val="000000"/>
          <w:sz w:val="32"/>
          <w:szCs w:val="32"/>
          <w:highlight w:val="none"/>
          <w:lang w:eastAsia="zh-CN"/>
        </w:rPr>
      </w:pPr>
      <w:r>
        <w:rPr>
          <w:rFonts w:hint="default" w:ascii="Calibri" w:hAnsi="Calibri" w:eastAsia="仿宋_GB2312" w:cs="Calibri"/>
          <w:b/>
          <w:bCs/>
          <w:color w:val="000000"/>
          <w:sz w:val="32"/>
          <w:szCs w:val="32"/>
          <w:highlight w:val="none"/>
          <w:lang w:val="en-US" w:eastAsia="zh-CN"/>
        </w:rPr>
        <w:t>③</w:t>
      </w:r>
      <w:r>
        <w:rPr>
          <w:rFonts w:hint="eastAsia" w:ascii="仿宋_GB2312" w:hAnsi="仿宋_GB2312" w:eastAsia="仿宋_GB2312" w:cs="仿宋_GB2312"/>
          <w:b/>
          <w:bCs/>
          <w:color w:val="000000"/>
          <w:sz w:val="32"/>
          <w:szCs w:val="32"/>
          <w:highlight w:val="none"/>
          <w:lang w:val="en-US" w:eastAsia="zh-CN"/>
        </w:rPr>
        <w:t>.</w:t>
      </w:r>
      <w:r>
        <w:rPr>
          <w:rFonts w:hint="eastAsia" w:ascii="仿宋_GB2312" w:hAnsi="仿宋_GB2312" w:eastAsia="仿宋_GB2312" w:cs="仿宋_GB2312"/>
          <w:b/>
          <w:bCs/>
          <w:color w:val="000000"/>
          <w:sz w:val="32"/>
          <w:szCs w:val="32"/>
          <w:highlight w:val="none"/>
        </w:rPr>
        <w:t>全面</w:t>
      </w:r>
      <w:r>
        <w:rPr>
          <w:rFonts w:hint="eastAsia" w:ascii="仿宋_GB2312" w:hAnsi="仿宋_GB2312" w:eastAsia="仿宋_GB2312" w:cs="仿宋_GB2312"/>
          <w:b/>
          <w:bCs/>
          <w:color w:val="000000"/>
          <w:sz w:val="32"/>
          <w:szCs w:val="32"/>
          <w:highlight w:val="none"/>
          <w:lang w:val="en-US" w:eastAsia="zh-CN"/>
        </w:rPr>
        <w:t>落实医药集采和价格政策</w:t>
      </w:r>
      <w:r>
        <w:rPr>
          <w:rFonts w:hint="eastAsia" w:ascii="仿宋_GB2312" w:hAnsi="仿宋_GB2312" w:eastAsia="仿宋_GB2312" w:cs="仿宋_GB2312"/>
          <w:b/>
          <w:bCs/>
          <w:color w:val="000000"/>
          <w:sz w:val="32"/>
          <w:szCs w:val="32"/>
          <w:highlight w:val="none"/>
        </w:rPr>
        <w:t>。</w:t>
      </w:r>
      <w:r>
        <w:rPr>
          <w:rFonts w:hint="eastAsia" w:ascii="仿宋_GB2312" w:hAnsi="仿宋_GB2312" w:eastAsia="仿宋_GB2312" w:cs="仿宋_GB2312"/>
          <w:b/>
          <w:bCs/>
          <w:color w:val="000000"/>
          <w:sz w:val="32"/>
          <w:szCs w:val="32"/>
          <w:highlight w:val="none"/>
          <w:lang w:val="en-US" w:eastAsia="zh-CN"/>
        </w:rPr>
        <w:t>一是</w:t>
      </w:r>
      <w:r>
        <w:rPr>
          <w:rFonts w:hint="eastAsia" w:ascii="仿宋_GB2312" w:hAnsi="仿宋_GB2312" w:eastAsia="仿宋_GB2312" w:cs="仿宋_GB2312"/>
          <w:b w:val="0"/>
          <w:bCs w:val="0"/>
          <w:color w:val="000000"/>
          <w:sz w:val="32"/>
          <w:szCs w:val="32"/>
          <w:highlight w:val="none"/>
        </w:rPr>
        <w:t>根据国家药品集采相关文件，</w:t>
      </w:r>
      <w:r>
        <w:rPr>
          <w:rFonts w:hint="eastAsia" w:ascii="仿宋_GB2312" w:hAnsi="仿宋_GB2312" w:eastAsia="仿宋_GB2312" w:cs="仿宋_GB2312"/>
          <w:b w:val="0"/>
          <w:bCs w:val="0"/>
          <w:color w:val="000000"/>
          <w:sz w:val="32"/>
          <w:szCs w:val="32"/>
          <w:highlight w:val="none"/>
          <w:lang w:val="en-US" w:eastAsia="zh-CN"/>
        </w:rPr>
        <w:t>我县</w:t>
      </w:r>
      <w:r>
        <w:rPr>
          <w:rFonts w:hint="eastAsia" w:ascii="仿宋_GB2312" w:hAnsi="仿宋_GB2312" w:eastAsia="仿宋_GB2312" w:cs="仿宋_GB2312"/>
          <w:b w:val="0"/>
          <w:bCs w:val="0"/>
          <w:color w:val="000000"/>
          <w:sz w:val="32"/>
          <w:szCs w:val="32"/>
          <w:highlight w:val="none"/>
        </w:rPr>
        <w:t>统筹区内医疗机构按时完成对各批次药品耗材集中带量采购的报量及约定采购量的采购工作</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完成率均超100%。</w:t>
      </w:r>
      <w:r>
        <w:rPr>
          <w:rFonts w:hint="eastAsia" w:ascii="仿宋_GB2312" w:hAnsi="仿宋_GB2312" w:eastAsia="仿宋_GB2312" w:cs="仿宋_GB2312"/>
          <w:b/>
          <w:bCs/>
          <w:color w:val="000000"/>
          <w:sz w:val="32"/>
          <w:szCs w:val="32"/>
          <w:highlight w:val="none"/>
          <w:lang w:val="en-US" w:eastAsia="zh-CN"/>
        </w:rPr>
        <w:t>二是</w:t>
      </w:r>
      <w:r>
        <w:rPr>
          <w:rFonts w:hint="eastAsia" w:ascii="仿宋_GB2312" w:hAnsi="仿宋_GB2312" w:eastAsia="仿宋_GB2312" w:cs="仿宋_GB2312"/>
          <w:b w:val="0"/>
          <w:bCs w:val="0"/>
          <w:color w:val="000000"/>
          <w:sz w:val="32"/>
          <w:szCs w:val="32"/>
          <w:highlight w:val="none"/>
        </w:rPr>
        <w:t>各批次医药集采品种一经采购，在交货验收合格后次月底前全部已完成货款在线结算。根据湘医保发〔2023〕36号文件精神，统筹区全面实现医保基金直接结算带量采购医药货款工作</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rPr>
        <w:t>从10月1日起实施。</w:t>
      </w:r>
      <w:r>
        <w:rPr>
          <w:rFonts w:hint="eastAsia" w:ascii="仿宋_GB2312" w:hAnsi="仿宋_GB2312" w:eastAsia="仿宋_GB2312" w:cs="仿宋_GB2312"/>
          <w:b/>
          <w:bCs/>
          <w:color w:val="000000"/>
          <w:sz w:val="32"/>
          <w:szCs w:val="32"/>
          <w:highlight w:val="none"/>
          <w:lang w:val="en-US" w:eastAsia="zh-CN"/>
        </w:rPr>
        <w:t>三是</w:t>
      </w:r>
      <w:r>
        <w:rPr>
          <w:rFonts w:hint="eastAsia" w:ascii="仿宋_GB2312" w:hAnsi="仿宋_GB2312" w:eastAsia="仿宋_GB2312" w:cs="仿宋_GB2312"/>
          <w:b w:val="0"/>
          <w:bCs w:val="0"/>
          <w:color w:val="000000"/>
          <w:sz w:val="32"/>
          <w:szCs w:val="32"/>
          <w:highlight w:val="none"/>
        </w:rPr>
        <w:t>落实医疗服务价格重要事项报告制度、医疗服务价格动态调整监测评估制度，全面落实价格调整工作任务</w:t>
      </w:r>
      <w:r>
        <w:rPr>
          <w:rFonts w:hint="eastAsia" w:ascii="仿宋_GB2312" w:hAnsi="仿宋_GB2312" w:eastAsia="仿宋_GB2312" w:cs="仿宋_GB2312"/>
          <w:b w:val="0"/>
          <w:bCs w:val="0"/>
          <w:color w:val="000000"/>
          <w:sz w:val="32"/>
          <w:szCs w:val="32"/>
          <w:highlight w:val="none"/>
          <w:lang w:eastAsia="zh-CN"/>
        </w:rPr>
        <w:t>，</w:t>
      </w:r>
      <w:r>
        <w:rPr>
          <w:rFonts w:hint="eastAsia" w:ascii="仿宋_GB2312" w:hAnsi="仿宋_GB2312" w:eastAsia="仿宋_GB2312" w:cs="仿宋_GB2312"/>
          <w:b w:val="0"/>
          <w:bCs w:val="0"/>
          <w:color w:val="000000"/>
          <w:sz w:val="32"/>
          <w:szCs w:val="32"/>
          <w:highlight w:val="none"/>
          <w:lang w:val="en-US" w:eastAsia="zh-CN"/>
        </w:rPr>
        <w:t>完成</w:t>
      </w:r>
      <w:r>
        <w:rPr>
          <w:rFonts w:hint="eastAsia" w:ascii="仿宋_GB2312" w:hAnsi="仿宋_GB2312" w:eastAsia="仿宋_GB2312" w:cs="仿宋_GB2312"/>
          <w:b w:val="0"/>
          <w:bCs w:val="0"/>
          <w:color w:val="000000"/>
          <w:sz w:val="32"/>
          <w:szCs w:val="32"/>
          <w:highlight w:val="none"/>
          <w:lang w:eastAsia="zh-CN"/>
        </w:rPr>
        <w:t>2022年度25家公立医院相关资料上报工作。</w:t>
      </w:r>
    </w:p>
    <w:p w14:paraId="256512ED">
      <w:pPr>
        <w:pStyle w:val="6"/>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_GB2312" w:hAnsi="仿宋_GB2312" w:eastAsia="仿宋_GB2312" w:cs="仿宋_GB2312"/>
          <w:b w:val="0"/>
          <w:bCs w:val="0"/>
          <w:color w:val="000000"/>
          <w:kern w:val="2"/>
          <w:sz w:val="32"/>
          <w:szCs w:val="32"/>
          <w:highlight w:val="none"/>
          <w:lang w:val="en-US" w:eastAsia="zh-CN" w:bidi="ar-SA"/>
        </w:rPr>
      </w:pPr>
      <w:r>
        <w:rPr>
          <w:rStyle w:val="13"/>
          <w:rFonts w:hint="eastAsia"/>
          <w:lang w:val="en-US" w:eastAsia="zh-CN"/>
        </w:rPr>
        <w:fldChar w:fldCharType="begin"/>
      </w:r>
      <w:r>
        <w:rPr>
          <w:rStyle w:val="13"/>
          <w:rFonts w:hint="eastAsia"/>
          <w:lang w:val="en-US" w:eastAsia="zh-CN"/>
        </w:rPr>
        <w:instrText xml:space="preserve"> = 4 \* GB3 \* MERGEFORMAT </w:instrText>
      </w:r>
      <w:r>
        <w:rPr>
          <w:rStyle w:val="13"/>
          <w:rFonts w:hint="eastAsia"/>
          <w:lang w:val="en-US" w:eastAsia="zh-CN"/>
        </w:rPr>
        <w:fldChar w:fldCharType="separate"/>
      </w:r>
      <w:r>
        <w:rPr>
          <w:rStyle w:val="13"/>
        </w:rPr>
        <w:t>④</w:t>
      </w:r>
      <w:r>
        <w:rPr>
          <w:rStyle w:val="13"/>
          <w:rFonts w:hint="eastAsia"/>
          <w:lang w:val="en-US" w:eastAsia="zh-CN"/>
        </w:rPr>
        <w:fldChar w:fldCharType="end"/>
      </w:r>
      <w:r>
        <w:rPr>
          <w:rFonts w:hint="eastAsia" w:ascii="仿宋_GB2312" w:hAnsi="仿宋_GB2312" w:eastAsia="仿宋_GB2312" w:cs="仿宋_GB2312"/>
          <w:b/>
          <w:bCs/>
          <w:color w:val="000000"/>
          <w:sz w:val="32"/>
          <w:szCs w:val="32"/>
          <w:highlight w:val="none"/>
          <w:lang w:val="en-US" w:eastAsia="zh-CN"/>
        </w:rPr>
        <w:t>.</w:t>
      </w:r>
      <w:r>
        <w:rPr>
          <w:rFonts w:hint="eastAsia" w:ascii="仿宋_GB2312" w:hAnsi="仿宋_GB2312" w:eastAsia="仿宋_GB2312" w:cs="仿宋_GB2312"/>
          <w:b/>
          <w:bCs/>
          <w:color w:val="000000"/>
          <w:sz w:val="32"/>
          <w:szCs w:val="32"/>
          <w:highlight w:val="none"/>
        </w:rPr>
        <w:t>强化基金监管。</w:t>
      </w:r>
      <w:r>
        <w:rPr>
          <w:rFonts w:hint="eastAsia" w:ascii="仿宋_GB2312" w:hAnsi="仿宋_GB2312" w:eastAsia="仿宋_GB2312" w:cs="仿宋_GB2312"/>
          <w:b/>
          <w:bCs/>
          <w:color w:val="000000"/>
          <w:sz w:val="32"/>
          <w:szCs w:val="32"/>
          <w:highlight w:val="none"/>
          <w:lang w:val="en-US" w:eastAsia="zh-CN"/>
        </w:rPr>
        <w:t>一是</w:t>
      </w:r>
      <w:r>
        <w:rPr>
          <w:rFonts w:hint="eastAsia" w:ascii="仿宋_GB2312" w:hAnsi="仿宋_GB2312" w:eastAsia="仿宋_GB2312" w:cs="仿宋_GB2312"/>
          <w:b w:val="0"/>
          <w:bCs w:val="0"/>
          <w:color w:val="000000"/>
          <w:kern w:val="2"/>
          <w:sz w:val="32"/>
          <w:szCs w:val="32"/>
          <w:highlight w:val="none"/>
          <w:lang w:val="en-US" w:eastAsia="zh-CN" w:bidi="ar-SA"/>
        </w:rPr>
        <w:t>事前从严预防，织牢基金监管“防护网”。围绕基金预决算和总额管理，科学合理细化分解定点医药机构全年预算总额，同时针对全市医保基金收支情况、筹集情况和使用情况，通过数据分析查找风险点，对基金运行存在风险的县市区，及时组织约谈。</w:t>
      </w:r>
      <w:r>
        <w:rPr>
          <w:rFonts w:hint="eastAsia" w:ascii="仿宋_GB2312" w:hAnsi="仿宋_GB2312" w:eastAsia="仿宋_GB2312" w:cs="仿宋_GB2312"/>
          <w:b/>
          <w:bCs/>
          <w:color w:val="000000"/>
          <w:sz w:val="32"/>
          <w:szCs w:val="32"/>
          <w:highlight w:val="none"/>
          <w:lang w:val="en-US" w:eastAsia="zh-CN"/>
        </w:rPr>
        <w:t>二是</w:t>
      </w:r>
      <w:r>
        <w:rPr>
          <w:rFonts w:hint="eastAsia" w:ascii="仿宋_GB2312" w:hAnsi="仿宋_GB2312" w:eastAsia="仿宋_GB2312" w:cs="仿宋_GB2312"/>
          <w:b w:val="0"/>
          <w:bCs w:val="0"/>
          <w:color w:val="000000"/>
          <w:kern w:val="2"/>
          <w:sz w:val="32"/>
          <w:szCs w:val="32"/>
          <w:highlight w:val="none"/>
          <w:lang w:val="en-US" w:eastAsia="zh-CN" w:bidi="ar-SA"/>
        </w:rPr>
        <w:t>事中从严监管，搭好基金监管“高压线”。建立健全经办机构与医疗机构间的谈判协商、激励和风险共担机制，严格执行费用总额控制办法和管理指标控制，对医保经办机构、定点协议机构进行日常监督；在大型公立医院、基层卫生院和零售药店展开智能监控应用范围和场景试点，逐步实现智能监控统筹地区全覆盖；联合纪检监察、公安、卫健、市场监管等有关部门，协同作战，开展打击专项整治行动，形成强大震慑。</w:t>
      </w:r>
      <w:r>
        <w:rPr>
          <w:rFonts w:hint="eastAsia" w:ascii="仿宋_GB2312" w:hAnsi="仿宋_GB2312" w:eastAsia="仿宋_GB2312" w:cs="仿宋_GB2312"/>
          <w:b/>
          <w:bCs/>
          <w:color w:val="000000"/>
          <w:sz w:val="32"/>
          <w:szCs w:val="32"/>
          <w:highlight w:val="none"/>
          <w:lang w:val="en-US" w:eastAsia="zh-CN"/>
        </w:rPr>
        <w:t>三是</w:t>
      </w:r>
      <w:r>
        <w:rPr>
          <w:rFonts w:hint="eastAsia" w:ascii="仿宋_GB2312" w:hAnsi="仿宋_GB2312" w:eastAsia="仿宋_GB2312" w:cs="仿宋_GB2312"/>
          <w:b w:val="0"/>
          <w:bCs w:val="0"/>
          <w:color w:val="000000"/>
          <w:kern w:val="2"/>
          <w:sz w:val="32"/>
          <w:szCs w:val="32"/>
          <w:highlight w:val="none"/>
          <w:lang w:val="en-US" w:eastAsia="zh-CN" w:bidi="ar-SA"/>
        </w:rPr>
        <w:t>事后从严整改，增强基金监管“免疫力”。全面落实总额控制、内部控制、岗位轮换制度。聘请17名社会监督员，建立完善了信用体系、举报奖励、问题线索移送、风险警示教育等一系列长效机制，“一案多查、联合惩处”体制不断优化；明确了医药机构、参保人员信用评价标准，严格实施受处罚单位信用信息公示和修复制度。</w:t>
      </w:r>
    </w:p>
    <w:p w14:paraId="2357F4F1">
      <w:pPr>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（二）资金投入和使用情况</w:t>
      </w:r>
    </w:p>
    <w:p w14:paraId="7F6529DD">
      <w:pPr>
        <w:spacing w:line="560" w:lineRule="exact"/>
        <w:ind w:firstLine="640" w:firstLineChars="200"/>
        <w:jc w:val="left"/>
        <w:rPr>
          <w:rFonts w:hint="default" w:ascii="Times New Roman" w:hAnsi="Times New Roman" w:eastAsia="仿宋_GB2312" w:cs="Times New Roman"/>
          <w:sz w:val="32"/>
          <w:szCs w:val="32"/>
          <w:lang w:val="en-US" w:eastAsia="zh-CN"/>
        </w:rPr>
      </w:pPr>
      <w:r>
        <w:rPr>
          <w:rFonts w:hint="eastAsia" w:ascii="仿宋_GB2312" w:eastAsia="仿宋_GB2312"/>
          <w:kern w:val="0"/>
          <w:sz w:val="32"/>
          <w:szCs w:val="32"/>
        </w:rPr>
        <w:t>202</w:t>
      </w:r>
      <w:r>
        <w:rPr>
          <w:rFonts w:hint="eastAsia" w:ascii="仿宋_GB2312" w:eastAsia="仿宋_GB2312"/>
          <w:kern w:val="0"/>
          <w:sz w:val="32"/>
          <w:szCs w:val="32"/>
          <w:lang w:val="en-US" w:eastAsia="zh-CN"/>
        </w:rPr>
        <w:t>3</w:t>
      </w:r>
      <w:r>
        <w:rPr>
          <w:rFonts w:hint="eastAsia" w:ascii="仿宋_GB2312" w:eastAsia="仿宋_GB2312"/>
          <w:kern w:val="0"/>
          <w:sz w:val="32"/>
          <w:szCs w:val="32"/>
        </w:rPr>
        <w:t>年我局</w:t>
      </w:r>
      <w:r>
        <w:rPr>
          <w:rFonts w:hint="eastAsia" w:ascii="仿宋_GB2312" w:eastAsia="仿宋_GB2312"/>
          <w:kern w:val="0"/>
          <w:sz w:val="32"/>
          <w:szCs w:val="32"/>
          <w:lang w:eastAsia="zh-CN"/>
        </w:rPr>
        <w:t>年初预算</w:t>
      </w:r>
      <w:r>
        <w:rPr>
          <w:rFonts w:hint="eastAsia" w:ascii="仿宋_GB2312" w:eastAsia="仿宋_GB2312"/>
          <w:kern w:val="0"/>
          <w:sz w:val="32"/>
          <w:szCs w:val="32"/>
          <w:lang w:val="en-US" w:eastAsia="zh-CN"/>
        </w:rPr>
        <w:t>14664.11万元，其中</w:t>
      </w:r>
      <w:r>
        <w:rPr>
          <w:rFonts w:hint="eastAsia" w:ascii="Times New Roman" w:hAnsi="Times New Roman" w:eastAsia="仿宋_GB2312" w:cs="Times New Roman"/>
          <w:sz w:val="32"/>
          <w:szCs w:val="32"/>
          <w:lang w:val="en-US" w:eastAsia="zh-CN"/>
        </w:rPr>
        <w:t>1、城乡居民医疗保险县级配套</w:t>
      </w:r>
      <w:r>
        <w:rPr>
          <w:rFonts w:hint="eastAsia" w:ascii="仿宋_GB2312" w:eastAsia="仿宋_GB2312"/>
          <w:kern w:val="0"/>
          <w:sz w:val="32"/>
          <w:szCs w:val="32"/>
          <w:lang w:val="en-US" w:eastAsia="zh-CN"/>
        </w:rPr>
        <w:t>508.76</w:t>
      </w:r>
      <w:r>
        <w:rPr>
          <w:rFonts w:hint="eastAsia" w:ascii="Times New Roman" w:hAnsi="Times New Roman" w:eastAsia="仿宋_GB2312" w:cs="Times New Roman"/>
          <w:sz w:val="32"/>
          <w:szCs w:val="32"/>
          <w:lang w:val="en-US" w:eastAsia="zh-CN"/>
        </w:rPr>
        <w:t>万元，城乡居民医疗保险</w:t>
      </w:r>
      <w:r>
        <w:rPr>
          <w:rFonts w:hint="eastAsia" w:eastAsia="仿宋_GB2312" w:cs="Times New Roman"/>
          <w:sz w:val="32"/>
          <w:szCs w:val="32"/>
          <w:lang w:val="en-US" w:eastAsia="zh-CN"/>
        </w:rPr>
        <w:t>中央、省</w:t>
      </w:r>
      <w:r>
        <w:rPr>
          <w:rFonts w:hint="eastAsia" w:ascii="Times New Roman" w:hAnsi="Times New Roman" w:eastAsia="仿宋_GB2312" w:cs="Times New Roman"/>
          <w:sz w:val="32"/>
          <w:szCs w:val="32"/>
          <w:lang w:val="en-US" w:eastAsia="zh-CN"/>
        </w:rPr>
        <w:t>级配套</w:t>
      </w:r>
      <w:r>
        <w:rPr>
          <w:rFonts w:hint="eastAsia" w:ascii="仿宋_GB2312" w:eastAsia="仿宋_GB2312"/>
          <w:kern w:val="0"/>
          <w:sz w:val="32"/>
          <w:szCs w:val="32"/>
          <w:lang w:val="en-US" w:eastAsia="zh-CN"/>
        </w:rPr>
        <w:t>12136.2</w:t>
      </w:r>
      <w:r>
        <w:rPr>
          <w:rFonts w:hint="eastAsia" w:ascii="Times New Roman" w:hAnsi="Times New Roman" w:eastAsia="仿宋_GB2312" w:cs="Times New Roman"/>
          <w:sz w:val="32"/>
          <w:szCs w:val="32"/>
          <w:lang w:val="en-US" w:eastAsia="zh-CN"/>
        </w:rPr>
        <w:t>万元，</w:t>
      </w:r>
      <w:r>
        <w:rPr>
          <w:rFonts w:hint="eastAsia" w:eastAsia="仿宋_GB2312" w:cs="Times New Roman"/>
          <w:sz w:val="32"/>
          <w:szCs w:val="32"/>
          <w:lang w:val="en-US" w:eastAsia="zh-CN"/>
        </w:rPr>
        <w:t>年中</w:t>
      </w:r>
      <w:r>
        <w:rPr>
          <w:rFonts w:hint="eastAsia" w:ascii="仿宋_GB2312" w:hAnsi="Times New Roman" w:eastAsia="仿宋_GB2312" w:cs="Times New Roman"/>
          <w:sz w:val="32"/>
          <w:szCs w:val="32"/>
          <w:lang w:eastAsia="zh-CN"/>
        </w:rPr>
        <w:t>按</w:t>
      </w:r>
      <w:r>
        <w:rPr>
          <w:rFonts w:hint="eastAsia" w:ascii="仿宋_GB2312" w:hAnsi="Times New Roman" w:eastAsia="仿宋_GB2312" w:cs="Times New Roman"/>
          <w:sz w:val="32"/>
          <w:szCs w:val="32"/>
          <w:lang w:val="en-US" w:eastAsia="zh-CN"/>
        </w:rPr>
        <w:t>202</w:t>
      </w:r>
      <w:r>
        <w:rPr>
          <w:rFonts w:hint="eastAsia" w:ascii="仿宋_GB2312" w:eastAsia="仿宋_GB2312" w:cs="Times New Roman"/>
          <w:sz w:val="32"/>
          <w:szCs w:val="32"/>
          <w:lang w:val="en-US" w:eastAsia="zh-CN"/>
        </w:rPr>
        <w:t>3</w:t>
      </w:r>
      <w:r>
        <w:rPr>
          <w:rFonts w:hint="eastAsia" w:ascii="仿宋_GB2312" w:hAnsi="Times New Roman" w:eastAsia="仿宋_GB2312" w:cs="Times New Roman"/>
          <w:sz w:val="32"/>
          <w:szCs w:val="32"/>
          <w:lang w:val="en-US" w:eastAsia="zh-CN"/>
        </w:rPr>
        <w:t>年6月底实际参保总人数计算</w:t>
      </w:r>
      <w:r>
        <w:rPr>
          <w:rFonts w:hint="eastAsia" w:ascii="仿宋_GB2312" w:eastAsia="仿宋_GB2312" w:cs="Times New Roman"/>
          <w:sz w:val="32"/>
          <w:szCs w:val="32"/>
          <w:lang w:val="en-US" w:eastAsia="zh-CN"/>
        </w:rPr>
        <w:t>调整年初预算，</w:t>
      </w:r>
      <w:r>
        <w:rPr>
          <w:rFonts w:hint="eastAsia" w:ascii="Times New Roman" w:hAnsi="Times New Roman" w:eastAsia="仿宋_GB2312" w:cs="Times New Roman"/>
          <w:sz w:val="32"/>
          <w:szCs w:val="32"/>
          <w:lang w:val="en-US" w:eastAsia="zh-CN"/>
        </w:rPr>
        <w:t>县级配套调整为510.72万元，中央、省级配套调整为12122.98万元</w:t>
      </w:r>
      <w:r>
        <w:rPr>
          <w:rFonts w:hint="eastAsia" w:eastAsia="仿宋_GB2312" w:cs="Times New Roman"/>
          <w:sz w:val="32"/>
          <w:szCs w:val="32"/>
          <w:lang w:val="en-US" w:eastAsia="zh-CN"/>
        </w:rPr>
        <w:t>,已足额拨入城乡居民医疗保险</w:t>
      </w:r>
      <w:r>
        <w:rPr>
          <w:rFonts w:hint="eastAsia" w:ascii="Times New Roman" w:hAnsi="Times New Roman" w:eastAsia="仿宋_GB2312" w:cs="Times New Roman"/>
          <w:sz w:val="32"/>
          <w:szCs w:val="32"/>
          <w:lang w:val="en-US" w:eastAsia="zh-CN"/>
        </w:rPr>
        <w:t>基金账户，由</w:t>
      </w:r>
      <w:r>
        <w:rPr>
          <w:rFonts w:hint="eastAsia" w:eastAsia="仿宋_GB2312" w:cs="Times New Roman"/>
          <w:sz w:val="32"/>
          <w:szCs w:val="32"/>
          <w:lang w:val="en-US" w:eastAsia="zh-CN"/>
        </w:rPr>
        <w:t>城乡居民</w:t>
      </w:r>
      <w:r>
        <w:rPr>
          <w:rFonts w:hint="eastAsia" w:ascii="Times New Roman" w:hAnsi="Times New Roman" w:eastAsia="仿宋_GB2312" w:cs="Times New Roman"/>
          <w:sz w:val="32"/>
          <w:szCs w:val="32"/>
          <w:lang w:val="en-US" w:eastAsia="zh-CN"/>
        </w:rPr>
        <w:t>基金做收支决算，未在部门决算中体现。</w:t>
      </w:r>
      <w:r>
        <w:rPr>
          <w:rFonts w:hint="eastAsia" w:eastAsia="仿宋_GB2312" w:cs="Times New Roman"/>
          <w:sz w:val="32"/>
          <w:szCs w:val="32"/>
          <w:lang w:val="en-US" w:eastAsia="zh-CN"/>
        </w:rPr>
        <w:t>2、城乡医疗救助中央、省级补助资金年初预算数1370.95元，年中根据中央、省实际下达指标进行预算调整，调整数为897.63万元，已足额拨入医疗救助</w:t>
      </w:r>
      <w:r>
        <w:rPr>
          <w:rFonts w:hint="eastAsia" w:ascii="Times New Roman" w:hAnsi="Times New Roman" w:eastAsia="仿宋_GB2312" w:cs="Times New Roman"/>
          <w:sz w:val="32"/>
          <w:szCs w:val="32"/>
          <w:lang w:val="en-US" w:eastAsia="zh-CN"/>
        </w:rPr>
        <w:t>基金账户，由</w:t>
      </w:r>
      <w:r>
        <w:rPr>
          <w:rFonts w:hint="eastAsia" w:eastAsia="仿宋_GB2312" w:cs="Times New Roman"/>
          <w:sz w:val="32"/>
          <w:szCs w:val="32"/>
          <w:lang w:val="en-US" w:eastAsia="zh-CN"/>
        </w:rPr>
        <w:t>医疗救助</w:t>
      </w:r>
      <w:r>
        <w:rPr>
          <w:rFonts w:hint="eastAsia" w:ascii="Times New Roman" w:hAnsi="Times New Roman" w:eastAsia="仿宋_GB2312" w:cs="Times New Roman"/>
          <w:sz w:val="32"/>
          <w:szCs w:val="32"/>
          <w:lang w:val="en-US" w:eastAsia="zh-CN"/>
        </w:rPr>
        <w:t>基金做收支决算，未在部门决算中体现。</w:t>
      </w:r>
      <w:r>
        <w:rPr>
          <w:rFonts w:hint="eastAsia" w:eastAsia="仿宋_GB2312" w:cs="Times New Roman"/>
          <w:sz w:val="32"/>
          <w:szCs w:val="32"/>
          <w:lang w:val="en-US" w:eastAsia="zh-CN"/>
        </w:rPr>
        <w:t>3、用于城乡医疗救助的彩票公益金年初预算56.62万元，</w:t>
      </w:r>
      <w:r>
        <w:rPr>
          <w:rFonts w:hint="eastAsia" w:ascii="Times New Roman" w:hAnsi="Times New Roman" w:eastAsia="仿宋" w:cs="Times New Roman"/>
          <w:b w:val="0"/>
          <w:i w:val="0"/>
          <w:caps w:val="0"/>
          <w:snapToGrid/>
          <w:color w:val="auto"/>
          <w:spacing w:val="0"/>
          <w:w w:val="100"/>
          <w:kern w:val="0"/>
          <w:sz w:val="32"/>
          <w:szCs w:val="32"/>
          <w:highlight w:val="none"/>
          <w:lang w:val="en-US" w:eastAsia="zh-CN" w:bidi="ar-SA"/>
        </w:rPr>
        <w:t>该项目今年上级已明确取消，因此年中预算调整为0万元。4、优抚对象医疗补助年初预算数12万元，</w:t>
      </w:r>
      <w:r>
        <w:rPr>
          <w:rFonts w:hint="eastAsia" w:eastAsia="仿宋_GB2312" w:cs="Times New Roman"/>
          <w:sz w:val="32"/>
          <w:szCs w:val="32"/>
          <w:lang w:val="en-US" w:eastAsia="zh-CN"/>
        </w:rPr>
        <w:t>已足额拨入特殊人群</w:t>
      </w:r>
      <w:r>
        <w:rPr>
          <w:rFonts w:hint="eastAsia" w:ascii="Times New Roman" w:hAnsi="Times New Roman" w:eastAsia="仿宋_GB2312" w:cs="Times New Roman"/>
          <w:sz w:val="32"/>
          <w:szCs w:val="32"/>
          <w:lang w:val="en-US" w:eastAsia="zh-CN"/>
        </w:rPr>
        <w:t>基金账户，由基金做收支决算，未在部门决算中体现。5、能力提升补助资金年初预算54万元，年中根据中央实际下达指标进行预算调整，调整数为32万元，已全部完成支付。</w:t>
      </w:r>
    </w:p>
    <w:p w14:paraId="4EF33362">
      <w:pPr>
        <w:spacing w:line="560" w:lineRule="exact"/>
        <w:ind w:firstLine="640" w:firstLineChars="200"/>
        <w:jc w:val="left"/>
        <w:rPr>
          <w:rFonts w:hint="default" w:ascii="仿宋" w:hAnsi="仿宋" w:eastAsia="仿宋" w:cs="仿宋"/>
          <w:color w:val="333333"/>
          <w:sz w:val="32"/>
          <w:szCs w:val="32"/>
          <w:shd w:val="clear" w:color="auto" w:fill="FFFFFF"/>
          <w:lang w:val="en-US" w:eastAsia="zh-CN"/>
        </w:rPr>
      </w:pPr>
      <w:r>
        <w:rPr>
          <w:rFonts w:hint="eastAsia" w:ascii="仿宋" w:hAnsi="仿宋" w:eastAsia="仿宋" w:cs="仿宋"/>
          <w:sz w:val="32"/>
          <w:szCs w:val="32"/>
          <w:lang w:val="en-US" w:eastAsia="zh-CN"/>
        </w:rPr>
        <w:t>2023年部门</w:t>
      </w:r>
      <w:r>
        <w:rPr>
          <w:rFonts w:hint="eastAsia" w:ascii="仿宋" w:hAnsi="仿宋" w:eastAsia="仿宋" w:cs="仿宋"/>
          <w:kern w:val="0"/>
          <w:sz w:val="32"/>
          <w:szCs w:val="32"/>
        </w:rPr>
        <w:t>决算收入</w:t>
      </w:r>
      <w:r>
        <w:rPr>
          <w:rFonts w:hint="eastAsia" w:ascii="仿宋" w:hAnsi="仿宋" w:eastAsia="仿宋" w:cs="仿宋"/>
          <w:kern w:val="0"/>
          <w:sz w:val="32"/>
          <w:szCs w:val="32"/>
          <w:lang w:val="en-US" w:eastAsia="zh-CN"/>
        </w:rPr>
        <w:t>709.8</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其中</w:t>
      </w:r>
      <w:r>
        <w:rPr>
          <w:rFonts w:hint="eastAsia" w:ascii="仿宋" w:hAnsi="仿宋" w:eastAsia="仿宋" w:cs="仿宋"/>
          <w:kern w:val="0"/>
          <w:sz w:val="32"/>
          <w:szCs w:val="32"/>
        </w:rPr>
        <w:t>一般公共预算财政拨款收入</w:t>
      </w:r>
      <w:r>
        <w:rPr>
          <w:rFonts w:hint="eastAsia" w:ascii="仿宋" w:hAnsi="仿宋" w:eastAsia="仿宋" w:cs="仿宋"/>
          <w:kern w:val="0"/>
          <w:sz w:val="32"/>
          <w:szCs w:val="32"/>
          <w:lang w:val="en-US" w:eastAsia="zh-CN"/>
        </w:rPr>
        <w:t>706.3</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其他收入</w:t>
      </w:r>
      <w:r>
        <w:rPr>
          <w:rFonts w:hint="eastAsia" w:ascii="仿宋" w:hAnsi="仿宋" w:eastAsia="仿宋" w:cs="仿宋"/>
          <w:kern w:val="0"/>
          <w:sz w:val="32"/>
          <w:szCs w:val="32"/>
          <w:lang w:val="en-US" w:eastAsia="zh-CN"/>
        </w:rPr>
        <w:t>3.5万元。</w:t>
      </w:r>
      <w:r>
        <w:rPr>
          <w:rFonts w:hint="eastAsia" w:ascii="仿宋" w:hAnsi="仿宋" w:eastAsia="仿宋" w:cs="仿宋"/>
          <w:kern w:val="0"/>
          <w:sz w:val="32"/>
          <w:szCs w:val="32"/>
        </w:rPr>
        <w:t>支出</w:t>
      </w:r>
      <w:r>
        <w:rPr>
          <w:rFonts w:hint="eastAsia" w:ascii="仿宋" w:hAnsi="仿宋" w:eastAsia="仿宋" w:cs="仿宋"/>
          <w:kern w:val="0"/>
          <w:sz w:val="32"/>
          <w:szCs w:val="32"/>
          <w:lang w:val="en-US" w:eastAsia="zh-CN"/>
        </w:rPr>
        <w:t>709.8</w:t>
      </w:r>
      <w:r>
        <w:rPr>
          <w:rFonts w:hint="eastAsia" w:ascii="仿宋" w:hAnsi="仿宋" w:eastAsia="仿宋" w:cs="仿宋"/>
          <w:kern w:val="0"/>
          <w:sz w:val="32"/>
          <w:szCs w:val="32"/>
        </w:rPr>
        <w:t>万元，</w:t>
      </w:r>
      <w:r>
        <w:rPr>
          <w:rFonts w:hint="eastAsia" w:ascii="仿宋" w:hAnsi="仿宋" w:eastAsia="仿宋" w:cs="仿宋"/>
          <w:kern w:val="0"/>
          <w:sz w:val="32"/>
          <w:szCs w:val="32"/>
          <w:lang w:eastAsia="zh-CN"/>
        </w:rPr>
        <w:t>其中</w:t>
      </w:r>
      <w:r>
        <w:rPr>
          <w:rFonts w:hint="eastAsia" w:ascii="仿宋" w:hAnsi="仿宋" w:eastAsia="仿宋" w:cs="仿宋"/>
          <w:kern w:val="0"/>
          <w:sz w:val="32"/>
          <w:szCs w:val="32"/>
        </w:rPr>
        <w:t>基本支出</w:t>
      </w:r>
      <w:r>
        <w:rPr>
          <w:rFonts w:hint="eastAsia" w:ascii="仿宋" w:hAnsi="仿宋" w:eastAsia="仿宋" w:cs="仿宋"/>
          <w:kern w:val="0"/>
          <w:sz w:val="32"/>
          <w:szCs w:val="32"/>
          <w:lang w:val="en-US" w:eastAsia="zh-CN"/>
        </w:rPr>
        <w:t>689.8</w:t>
      </w:r>
      <w:r>
        <w:rPr>
          <w:rFonts w:hint="eastAsia" w:ascii="仿宋" w:hAnsi="仿宋" w:eastAsia="仿宋" w:cs="仿宋"/>
          <w:kern w:val="0"/>
          <w:sz w:val="32"/>
          <w:szCs w:val="32"/>
        </w:rPr>
        <w:t>万元，</w:t>
      </w:r>
      <w:r>
        <w:rPr>
          <w:rFonts w:hint="eastAsia" w:ascii="仿宋" w:hAnsi="仿宋" w:eastAsia="仿宋" w:cs="仿宋"/>
          <w:color w:val="333333"/>
          <w:sz w:val="32"/>
          <w:szCs w:val="32"/>
          <w:shd w:val="clear" w:color="auto" w:fill="FFFFFF"/>
        </w:rPr>
        <w:t>其中人员经费</w:t>
      </w:r>
      <w:r>
        <w:rPr>
          <w:rFonts w:hint="eastAsia" w:ascii="仿宋" w:hAnsi="仿宋" w:eastAsia="仿宋" w:cs="仿宋"/>
          <w:color w:val="333333"/>
          <w:sz w:val="32"/>
          <w:szCs w:val="32"/>
          <w:shd w:val="clear" w:color="auto" w:fill="FFFFFF"/>
          <w:lang w:val="en-US" w:eastAsia="zh-CN"/>
        </w:rPr>
        <w:t>489.25</w:t>
      </w:r>
      <w:r>
        <w:rPr>
          <w:rFonts w:hint="eastAsia" w:ascii="仿宋" w:hAnsi="仿宋" w:eastAsia="仿宋" w:cs="仿宋"/>
          <w:color w:val="333333"/>
          <w:sz w:val="32"/>
          <w:szCs w:val="32"/>
          <w:shd w:val="clear" w:color="auto" w:fill="FFFFFF"/>
        </w:rPr>
        <w:t>万元，日常公用经费</w:t>
      </w:r>
      <w:r>
        <w:rPr>
          <w:rFonts w:hint="eastAsia" w:ascii="仿宋" w:hAnsi="仿宋" w:eastAsia="仿宋" w:cs="仿宋"/>
          <w:color w:val="333333"/>
          <w:sz w:val="32"/>
          <w:szCs w:val="32"/>
          <w:shd w:val="clear" w:color="auto" w:fill="FFFFFF"/>
          <w:lang w:val="en-US" w:eastAsia="zh-CN"/>
        </w:rPr>
        <w:t>197.05</w:t>
      </w:r>
      <w:r>
        <w:rPr>
          <w:rFonts w:hint="eastAsia" w:ascii="仿宋" w:hAnsi="仿宋" w:eastAsia="仿宋" w:cs="仿宋"/>
          <w:color w:val="333333"/>
          <w:sz w:val="32"/>
          <w:szCs w:val="32"/>
          <w:shd w:val="clear" w:color="auto" w:fill="FFFFFF"/>
        </w:rPr>
        <w:t>万元。“三公经费”</w:t>
      </w:r>
      <w:r>
        <w:rPr>
          <w:rFonts w:hint="eastAsia" w:ascii="仿宋" w:hAnsi="仿宋" w:eastAsia="仿宋" w:cs="仿宋"/>
          <w:color w:val="333333"/>
          <w:sz w:val="32"/>
          <w:szCs w:val="32"/>
          <w:shd w:val="clear" w:color="auto" w:fill="FFFFFF"/>
          <w:lang w:val="en-US" w:eastAsia="zh-CN"/>
        </w:rPr>
        <w:t>1.96</w:t>
      </w:r>
      <w:r>
        <w:rPr>
          <w:rFonts w:hint="eastAsia" w:ascii="仿宋" w:hAnsi="仿宋" w:eastAsia="仿宋" w:cs="仿宋"/>
          <w:color w:val="333333"/>
          <w:sz w:val="32"/>
          <w:szCs w:val="32"/>
          <w:shd w:val="clear" w:color="auto" w:fill="FFFFFF"/>
        </w:rPr>
        <w:t>万元</w:t>
      </w:r>
      <w:r>
        <w:rPr>
          <w:rFonts w:hint="eastAsia" w:ascii="仿宋" w:hAnsi="仿宋" w:eastAsia="仿宋" w:cs="仿宋"/>
          <w:color w:val="333333"/>
          <w:sz w:val="32"/>
          <w:szCs w:val="32"/>
          <w:shd w:val="clear" w:color="auto" w:fill="FFFFFF"/>
          <w:lang w:eastAsia="zh-CN"/>
        </w:rPr>
        <w:t>（</w:t>
      </w:r>
      <w:r>
        <w:rPr>
          <w:rFonts w:hint="eastAsia" w:ascii="仿宋" w:hAnsi="仿宋" w:eastAsia="仿宋" w:cs="仿宋"/>
          <w:color w:val="333333"/>
          <w:sz w:val="32"/>
          <w:szCs w:val="32"/>
          <w:shd w:val="clear" w:color="auto" w:fill="FFFFFF"/>
        </w:rPr>
        <w:t>公务接待费支出</w:t>
      </w:r>
      <w:r>
        <w:rPr>
          <w:rFonts w:hint="eastAsia" w:ascii="仿宋" w:hAnsi="仿宋" w:eastAsia="仿宋" w:cs="仿宋"/>
          <w:color w:val="333333"/>
          <w:sz w:val="32"/>
          <w:szCs w:val="32"/>
          <w:shd w:val="clear" w:color="auto" w:fill="FFFFFF"/>
          <w:lang w:val="en-US" w:eastAsia="zh-CN"/>
        </w:rPr>
        <w:t>1.96</w:t>
      </w:r>
      <w:r>
        <w:rPr>
          <w:rFonts w:hint="eastAsia" w:ascii="仿宋" w:hAnsi="仿宋" w:eastAsia="仿宋" w:cs="仿宋"/>
          <w:color w:val="333333"/>
          <w:sz w:val="32"/>
          <w:szCs w:val="32"/>
          <w:shd w:val="clear" w:color="auto" w:fill="FFFFFF"/>
        </w:rPr>
        <w:t>万元，公务用车运行维护费0万元，全年无因公出国(境)费用</w:t>
      </w:r>
      <w:r>
        <w:rPr>
          <w:rFonts w:hint="eastAsia" w:ascii="仿宋" w:hAnsi="仿宋" w:eastAsia="仿宋" w:cs="仿宋"/>
          <w:color w:val="333333"/>
          <w:sz w:val="32"/>
          <w:szCs w:val="32"/>
          <w:shd w:val="clear" w:color="auto" w:fill="FFFFFF"/>
          <w:lang w:eastAsia="zh-CN"/>
        </w:rPr>
        <w:t>）</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项目支出</w:t>
      </w:r>
      <w:r>
        <w:rPr>
          <w:rFonts w:hint="eastAsia" w:ascii="仿宋" w:hAnsi="仿宋" w:eastAsia="仿宋" w:cs="仿宋"/>
          <w:kern w:val="0"/>
          <w:sz w:val="32"/>
          <w:szCs w:val="32"/>
          <w:lang w:val="en-US" w:eastAsia="zh-CN"/>
        </w:rPr>
        <w:t>20万元。</w:t>
      </w:r>
    </w:p>
    <w:p w14:paraId="2880A3E4">
      <w:pPr>
        <w:ind w:firstLine="640" w:firstLineChars="200"/>
        <w:rPr>
          <w:rFonts w:hint="eastAsia"/>
          <w:lang w:eastAsia="zh-CN"/>
        </w:rPr>
      </w:pPr>
      <w:r>
        <w:rPr>
          <w:rFonts w:hint="eastAsia" w:ascii="仿宋_GB2312" w:eastAsia="仿宋_GB2312"/>
          <w:color w:val="000000"/>
          <w:sz w:val="32"/>
          <w:szCs w:val="32"/>
        </w:rPr>
        <w:t>从整体上看，</w:t>
      </w:r>
      <w:r>
        <w:rPr>
          <w:rFonts w:hint="eastAsia" w:ascii="仿宋_GB2312" w:eastAsia="仿宋_GB2312"/>
          <w:color w:val="000000"/>
          <w:sz w:val="32"/>
          <w:szCs w:val="32"/>
          <w:shd w:val="clear" w:color="auto" w:fill="FFFFFF"/>
        </w:rPr>
        <w:t>202</w:t>
      </w:r>
      <w:r>
        <w:rPr>
          <w:rFonts w:hint="eastAsia" w:ascii="仿宋_GB2312" w:eastAsia="仿宋_GB2312"/>
          <w:color w:val="000000"/>
          <w:sz w:val="32"/>
          <w:szCs w:val="32"/>
          <w:shd w:val="clear" w:color="auto" w:fill="FFFFFF"/>
          <w:lang w:val="en-US" w:eastAsia="zh-CN"/>
        </w:rPr>
        <w:t>3</w:t>
      </w:r>
      <w:r>
        <w:rPr>
          <w:rFonts w:hint="eastAsia" w:ascii="仿宋_GB2312" w:eastAsia="仿宋_GB2312"/>
          <w:color w:val="000000"/>
          <w:sz w:val="32"/>
          <w:szCs w:val="32"/>
          <w:shd w:val="clear" w:color="auto" w:fill="FFFFFF"/>
        </w:rPr>
        <w:t>年我局资金运行维护决策正确，资金管理规范，政策执行有力，有效发挥了财政资金的使用效率。人员经费支出、公共支出严格执行政府的各项制度；在保证各项任务顺利完成的同时，严格落实厉行节约的原则；三公经费的使用严格控制在预算申报的范围内。</w:t>
      </w:r>
    </w:p>
    <w:p w14:paraId="0E078C0C">
      <w:pPr>
        <w:pStyle w:val="12"/>
        <w:keepNext w:val="0"/>
        <w:keepLines w:val="0"/>
        <w:pageBreakBefore w:val="0"/>
        <w:widowControl w:val="0"/>
        <w:kinsoku/>
        <w:wordWrap/>
        <w:overflowPunct/>
        <w:topLinePunct w:val="0"/>
        <w:bidi w:val="0"/>
        <w:snapToGrid/>
        <w:spacing w:line="600" w:lineRule="exact"/>
        <w:ind w:firstLine="602" w:firstLineChars="200"/>
        <w:jc w:val="left"/>
        <w:textAlignment w:val="auto"/>
        <w:rPr>
          <w:rFonts w:hint="eastAsia" w:ascii="楷体" w:hAnsi="楷体" w:eastAsia="楷体" w:cs="楷体"/>
          <w:b/>
          <w:bCs/>
          <w:sz w:val="30"/>
          <w:szCs w:val="30"/>
        </w:rPr>
      </w:pPr>
      <w:r>
        <w:rPr>
          <w:rFonts w:hint="eastAsia" w:ascii="楷体" w:hAnsi="楷体" w:eastAsia="楷体" w:cs="楷体"/>
          <w:b/>
          <w:bCs/>
          <w:sz w:val="30"/>
          <w:szCs w:val="30"/>
          <w:lang w:eastAsia="zh-CN"/>
        </w:rPr>
        <w:t>（二）</w:t>
      </w:r>
      <w:r>
        <w:rPr>
          <w:rFonts w:hint="eastAsia" w:ascii="楷体" w:hAnsi="楷体" w:eastAsia="楷体" w:cs="楷体"/>
          <w:b/>
          <w:bCs/>
          <w:sz w:val="30"/>
          <w:szCs w:val="30"/>
        </w:rPr>
        <w:t>存在的问题及原因分析</w:t>
      </w:r>
    </w:p>
    <w:p w14:paraId="5D16ECAA">
      <w:pPr>
        <w:widowControl/>
        <w:shd w:val="clear" w:color="auto" w:fill="FFFFFF"/>
        <w:spacing w:line="600" w:lineRule="atLeast"/>
        <w:ind w:firstLine="640"/>
        <w:jc w:val="left"/>
        <w:rPr>
          <w:rFonts w:hint="eastAsia" w:ascii="仿宋" w:hAnsi="仿宋" w:eastAsia="仿宋" w:cs="仿宋"/>
          <w:kern w:val="0"/>
          <w:sz w:val="32"/>
          <w:szCs w:val="32"/>
          <w:lang w:eastAsia="zh-CN"/>
        </w:rPr>
      </w:pPr>
      <w:r>
        <w:rPr>
          <w:rFonts w:hint="eastAsia" w:ascii="仿宋" w:hAnsi="仿宋" w:eastAsia="仿宋" w:cs="仿宋"/>
          <w:b w:val="0"/>
          <w:bCs w:val="0"/>
          <w:kern w:val="0"/>
          <w:sz w:val="32"/>
          <w:szCs w:val="32"/>
        </w:rPr>
        <w:t>预算编制前根据年度内单位可见的工作任务，</w:t>
      </w:r>
      <w:r>
        <w:rPr>
          <w:rFonts w:hint="eastAsia" w:ascii="仿宋" w:hAnsi="仿宋" w:eastAsia="仿宋" w:cs="仿宋"/>
          <w:kern w:val="0"/>
          <w:sz w:val="32"/>
          <w:szCs w:val="32"/>
        </w:rPr>
        <w:t>确定了单位年度预算目标，细化了预算指标，但是在实际</w:t>
      </w:r>
      <w:r>
        <w:rPr>
          <w:rFonts w:hint="eastAsia" w:ascii="仿宋" w:hAnsi="仿宋" w:eastAsia="仿宋" w:cs="仿宋"/>
          <w:kern w:val="0"/>
          <w:sz w:val="32"/>
          <w:szCs w:val="32"/>
          <w:lang w:eastAsia="zh-CN"/>
        </w:rPr>
        <w:t>执行</w:t>
      </w:r>
      <w:r>
        <w:rPr>
          <w:rFonts w:hint="eastAsia" w:ascii="仿宋" w:hAnsi="仿宋" w:eastAsia="仿宋" w:cs="仿宋"/>
          <w:kern w:val="0"/>
          <w:sz w:val="32"/>
          <w:szCs w:val="32"/>
        </w:rPr>
        <w:t>过程中，</w:t>
      </w:r>
      <w:r>
        <w:rPr>
          <w:rFonts w:hint="eastAsia" w:ascii="仿宋" w:hAnsi="仿宋" w:eastAsia="仿宋" w:cs="仿宋"/>
          <w:kern w:val="0"/>
          <w:sz w:val="32"/>
          <w:szCs w:val="32"/>
          <w:lang w:eastAsia="zh-CN"/>
        </w:rPr>
        <w:t>城乡居民医疗补助各级财政补助部分、中央下达能力建设提升补助资金</w:t>
      </w:r>
      <w:r>
        <w:rPr>
          <w:rFonts w:hint="eastAsia" w:ascii="仿宋" w:hAnsi="仿宋" w:eastAsia="仿宋" w:cs="仿宋"/>
          <w:kern w:val="0"/>
          <w:sz w:val="32"/>
          <w:szCs w:val="32"/>
        </w:rPr>
        <w:t>及部分工作需要跨年度开展</w:t>
      </w:r>
      <w:r>
        <w:rPr>
          <w:rFonts w:hint="eastAsia" w:ascii="仿宋" w:hAnsi="仿宋" w:eastAsia="仿宋" w:cs="仿宋"/>
          <w:kern w:val="0"/>
          <w:sz w:val="32"/>
          <w:szCs w:val="32"/>
          <w:lang w:eastAsia="zh-CN"/>
        </w:rPr>
        <w:t>结算</w:t>
      </w:r>
      <w:r>
        <w:rPr>
          <w:rFonts w:hint="eastAsia" w:ascii="仿宋" w:hAnsi="仿宋" w:eastAsia="仿宋" w:cs="仿宋"/>
          <w:kern w:val="0"/>
          <w:sz w:val="32"/>
          <w:szCs w:val="32"/>
        </w:rPr>
        <w:t>等情况，部分资金未严格按照预算指标执行</w:t>
      </w:r>
      <w:r>
        <w:rPr>
          <w:rFonts w:hint="eastAsia" w:ascii="仿宋" w:hAnsi="仿宋" w:eastAsia="仿宋" w:cs="仿宋"/>
          <w:kern w:val="0"/>
          <w:sz w:val="32"/>
          <w:szCs w:val="32"/>
          <w:lang w:eastAsia="zh-CN"/>
        </w:rPr>
        <w:t>，有结算上年度支出，本年部分支出尚未支付、预算调减、调增情况</w:t>
      </w:r>
      <w:r>
        <w:rPr>
          <w:rFonts w:hint="eastAsia" w:ascii="仿宋" w:hAnsi="仿宋" w:eastAsia="仿宋" w:cs="仿宋"/>
          <w:kern w:val="0"/>
          <w:sz w:val="32"/>
          <w:szCs w:val="32"/>
        </w:rPr>
        <w:t>。</w:t>
      </w:r>
    </w:p>
    <w:p w14:paraId="5A2DCE1A">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3NDA3MjU1ODY3YmYxNjM4OGE2NDUxZjlmNGZlOGMifQ=="/>
  </w:docVars>
  <w:rsids>
    <w:rsidRoot w:val="00000000"/>
    <w:rsid w:val="02562B4D"/>
    <w:rsid w:val="0F712489"/>
    <w:rsid w:val="19AE089D"/>
    <w:rsid w:val="20F20E3D"/>
    <w:rsid w:val="34AF7E88"/>
    <w:rsid w:val="5E334127"/>
    <w:rsid w:val="6ED243F9"/>
    <w:rsid w:val="727342FE"/>
    <w:rsid w:val="792F2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paragraph" w:styleId="4">
    <w:name w:val="heading 4"/>
    <w:basedOn w:val="1"/>
    <w:next w:val="1"/>
    <w:link w:val="13"/>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footer"/>
    <w:basedOn w:val="1"/>
    <w:next w:val="3"/>
    <w:uiPriority w:val="0"/>
    <w:pPr>
      <w:tabs>
        <w:tab w:val="center" w:pos="4153"/>
        <w:tab w:val="right" w:pos="8306"/>
      </w:tabs>
      <w:snapToGrid w:val="0"/>
      <w:spacing w:line="240" w:lineRule="atLeast"/>
      <w:jc w:val="left"/>
    </w:pPr>
    <w:rPr>
      <w:sz w:val="18"/>
      <w:szCs w:val="18"/>
    </w:rPr>
  </w:style>
  <w:style w:type="paragraph" w:styleId="3">
    <w:name w:val="index 5"/>
    <w:basedOn w:val="1"/>
    <w:next w:val="1"/>
    <w:qFormat/>
    <w:uiPriority w:val="0"/>
    <w:pPr>
      <w:ind w:left="1680"/>
    </w:pPr>
  </w:style>
  <w:style w:type="paragraph" w:styleId="5">
    <w:name w:val="Normal Indent"/>
    <w:basedOn w:val="1"/>
    <w:unhideWhenUsed/>
    <w:qFormat/>
    <w:uiPriority w:val="99"/>
    <w:pPr>
      <w:ind w:firstLine="420" w:firstLineChars="200"/>
    </w:pPr>
  </w:style>
  <w:style w:type="paragraph" w:styleId="6">
    <w:name w:val="Body Text"/>
    <w:basedOn w:val="1"/>
    <w:qFormat/>
    <w:uiPriority w:val="0"/>
  </w:style>
  <w:style w:type="paragraph" w:styleId="7">
    <w:name w:val="Body Text Indent"/>
    <w:basedOn w:val="1"/>
    <w:qFormat/>
    <w:uiPriority w:val="0"/>
    <w:pPr>
      <w:spacing w:after="120"/>
      <w:ind w:left="200" w:leftChars="200"/>
    </w:pPr>
    <w:rPr>
      <w:rFonts w:ascii="Times New Roman" w:hAnsi="Times New Roman"/>
    </w:rPr>
  </w:style>
  <w:style w:type="paragraph" w:styleId="8">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9">
    <w:name w:val="Body Text First Indent 2"/>
    <w:basedOn w:val="7"/>
    <w:qFormat/>
    <w:uiPriority w:val="0"/>
    <w:pPr>
      <w:spacing w:before="100" w:beforeAutospacing="1" w:after="0"/>
      <w:ind w:firstLine="200" w:firstLineChars="200"/>
    </w:pPr>
    <w:rPr>
      <w:rFonts w:ascii="Calibri" w:hAnsi="Calibri"/>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character" w:customStyle="1" w:styleId="13">
    <w:name w:val="标题 4 Char"/>
    <w:link w:val="4"/>
    <w:qFormat/>
    <w:uiPriority w:val="0"/>
    <w:rPr>
      <w:rFonts w:ascii="Arial" w:hAnsi="Arial" w:eastAsia="黑体"/>
      <w:b/>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5911</Words>
  <Characters>6325</Characters>
  <Lines>0</Lines>
  <Paragraphs>0</Paragraphs>
  <TotalTime>20</TotalTime>
  <ScaleCrop>false</ScaleCrop>
  <LinksUpToDate>false</LinksUpToDate>
  <CharactersWithSpaces>6328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春暖花开</cp:lastModifiedBy>
  <dcterms:modified xsi:type="dcterms:W3CDTF">2024-09-19T03:50:49Z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12A71744045445B687D66BD13FB312DC_12</vt:lpwstr>
  </property>
</Properties>
</file>