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新晃县医疗保障局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pPr>
        <w:widowControl/>
        <w:spacing w:line="600" w:lineRule="exact"/>
        <w:ind w:firstLine="800" w:firstLineChars="250"/>
        <w:rPr>
          <w:rFonts w:hint="eastAsia" w:ascii="仿宋" w:hAnsi="仿宋" w:eastAsia="仿宋"/>
          <w:sz w:val="32"/>
          <w:szCs w:val="32"/>
          <w:shd w:val="clear" w:color="auto" w:fill="FFFFFF"/>
        </w:rPr>
      </w:pPr>
      <w:r>
        <w:rPr>
          <w:rFonts w:hint="eastAsia" w:ascii="仿宋" w:hAnsi="仿宋" w:eastAsia="仿宋" w:cs="Times New Roman"/>
          <w:sz w:val="32"/>
          <w:szCs w:val="32"/>
          <w:lang w:eastAsia="zh-CN"/>
        </w:rPr>
        <w:t>2022</w:t>
      </w:r>
      <w:r>
        <w:rPr>
          <w:rFonts w:hint="eastAsia" w:ascii="仿宋" w:hAnsi="仿宋" w:eastAsia="仿宋" w:cs="Times New Roman"/>
          <w:sz w:val="32"/>
          <w:szCs w:val="32"/>
        </w:rPr>
        <w:t>年，我局加强管理，各方面工作稳步推进，</w:t>
      </w:r>
      <w:r>
        <w:rPr>
          <w:rFonts w:hint="eastAsia" w:ascii="仿宋" w:hAnsi="仿宋" w:eastAsia="仿宋" w:cs="Times New Roman"/>
          <w:sz w:val="32"/>
          <w:szCs w:val="32"/>
          <w:lang w:eastAsia="zh-CN"/>
        </w:rPr>
        <w:t>社会公众和服务人群满意度均超过</w:t>
      </w:r>
      <w:r>
        <w:rPr>
          <w:rFonts w:hint="eastAsia" w:ascii="仿宋" w:hAnsi="仿宋" w:eastAsia="仿宋" w:cs="Times New Roman"/>
          <w:sz w:val="32"/>
          <w:szCs w:val="32"/>
          <w:lang w:val="en-US" w:eastAsia="zh-CN"/>
        </w:rPr>
        <w:t>95%。</w:t>
      </w:r>
      <w:r>
        <w:rPr>
          <w:rFonts w:hint="eastAsia" w:ascii="仿宋" w:hAnsi="仿宋" w:eastAsia="仿宋" w:cs="Times New Roman"/>
          <w:sz w:val="32"/>
          <w:szCs w:val="32"/>
        </w:rPr>
        <w:t>根据《部门整体支出绩效评价指标》评分表自评得分</w:t>
      </w:r>
      <w:r>
        <w:rPr>
          <w:rFonts w:hint="eastAsia" w:ascii="仿宋" w:hAnsi="仿宋" w:eastAsia="仿宋" w:cs="Times New Roman"/>
          <w:sz w:val="32"/>
          <w:szCs w:val="32"/>
          <w:lang w:val="en-US" w:eastAsia="zh-CN"/>
        </w:rPr>
        <w:t>95</w:t>
      </w:r>
      <w:r>
        <w:rPr>
          <w:rFonts w:hint="eastAsia" w:ascii="仿宋" w:hAnsi="仿宋" w:eastAsia="仿宋" w:cs="Times New Roman"/>
          <w:sz w:val="32"/>
          <w:szCs w:val="32"/>
        </w:rPr>
        <w:t>分，财政支出绩效为</w:t>
      </w:r>
      <w:r>
        <w:rPr>
          <w:rFonts w:hint="eastAsia" w:ascii="仿宋" w:hAnsi="仿宋" w:eastAsia="仿宋"/>
          <w:sz w:val="32"/>
          <w:szCs w:val="32"/>
          <w:shd w:val="clear" w:color="auto" w:fill="FFFFFF"/>
        </w:rPr>
        <w:t>“</w:t>
      </w:r>
      <w:r>
        <w:rPr>
          <w:rFonts w:hint="eastAsia" w:ascii="仿宋" w:hAnsi="仿宋" w:eastAsia="仿宋"/>
          <w:sz w:val="32"/>
          <w:szCs w:val="32"/>
          <w:shd w:val="clear" w:color="auto" w:fill="FFFFFF"/>
          <w:lang w:eastAsia="zh-CN"/>
        </w:rPr>
        <w:t>优秀</w:t>
      </w:r>
      <w:r>
        <w:rPr>
          <w:rFonts w:hint="eastAsia" w:ascii="仿宋" w:hAnsi="仿宋" w:eastAsia="仿宋"/>
          <w:sz w:val="32"/>
          <w:szCs w:val="32"/>
          <w:shd w:val="clear" w:color="auto" w:fill="FFFFFF"/>
        </w:rPr>
        <w:t>”。主要绩效如下：</w:t>
      </w:r>
    </w:p>
    <w:p>
      <w:pPr>
        <w:pStyle w:val="2"/>
        <w:rPr>
          <w:rFonts w:hint="eastAsia" w:eastAsia="仿宋"/>
          <w:lang w:eastAsia="zh-CN"/>
        </w:rPr>
      </w:pPr>
      <w:r>
        <w:rPr>
          <w:rFonts w:hint="eastAsia" w:ascii="仿宋" w:hAnsi="仿宋" w:eastAsia="仿宋"/>
          <w:sz w:val="32"/>
          <w:szCs w:val="32"/>
          <w:shd w:val="clear" w:color="auto" w:fill="FFFFFF"/>
          <w:lang w:eastAsia="zh-CN"/>
        </w:rPr>
        <w:t>一、全年工作落实情况</w:t>
      </w:r>
    </w:p>
    <w:p>
      <w:pPr>
        <w:pStyle w:val="5"/>
        <w:spacing w:before="0" w:beforeAutospacing="0" w:line="640" w:lineRule="exact"/>
        <w:ind w:left="0" w:leftChars="0" w:firstLine="643"/>
        <w:rPr>
          <w:rFonts w:hint="eastAsia" w:ascii="仿宋" w:hAnsi="仿宋" w:eastAsia="仿宋" w:cs="仿宋"/>
          <w:b w:val="0"/>
          <w:bCs w:val="0"/>
          <w:color w:val="000000"/>
          <w:sz w:val="32"/>
          <w:szCs w:val="32"/>
        </w:rPr>
      </w:pPr>
      <w:r>
        <w:rPr>
          <w:rFonts w:hint="eastAsia" w:ascii="仿宋" w:hAnsi="仿宋" w:eastAsia="仿宋" w:cs="仿宋"/>
          <w:b w:val="0"/>
          <w:bCs w:val="0"/>
          <w:sz w:val="32"/>
          <w:szCs w:val="32"/>
        </w:rPr>
        <w:t>1.切实抓好参保扩面。全县常住人口基数为</w:t>
      </w:r>
      <w:r>
        <w:rPr>
          <w:rFonts w:hint="eastAsia" w:ascii="仿宋" w:hAnsi="仿宋" w:eastAsia="仿宋" w:cs="仿宋"/>
          <w:b w:val="0"/>
          <w:bCs w:val="0"/>
          <w:color w:val="000000"/>
          <w:sz w:val="32"/>
          <w:szCs w:val="32"/>
        </w:rPr>
        <w:t>220775人，参保总人数221</w:t>
      </w:r>
      <w:r>
        <w:rPr>
          <w:rFonts w:hint="eastAsia" w:ascii="仿宋" w:hAnsi="仿宋" w:eastAsia="仿宋" w:cs="仿宋"/>
          <w:b w:val="0"/>
          <w:bCs w:val="0"/>
          <w:color w:val="000000"/>
          <w:sz w:val="32"/>
          <w:szCs w:val="32"/>
          <w:lang w:val="en-US" w:eastAsia="zh-CN"/>
        </w:rPr>
        <w:t>923</w:t>
      </w:r>
      <w:r>
        <w:rPr>
          <w:rFonts w:hint="eastAsia" w:ascii="仿宋" w:hAnsi="仿宋" w:eastAsia="仿宋" w:cs="仿宋"/>
          <w:b w:val="0"/>
          <w:bCs w:val="0"/>
          <w:color w:val="000000"/>
          <w:sz w:val="32"/>
          <w:szCs w:val="32"/>
        </w:rPr>
        <w:t>人，其中城乡居民参保人数20</w:t>
      </w:r>
      <w:r>
        <w:rPr>
          <w:rFonts w:hint="eastAsia" w:ascii="仿宋" w:hAnsi="仿宋" w:eastAsia="仿宋" w:cs="仿宋"/>
          <w:b w:val="0"/>
          <w:bCs w:val="0"/>
          <w:color w:val="000000"/>
          <w:sz w:val="32"/>
          <w:szCs w:val="32"/>
          <w:lang w:val="en-US" w:eastAsia="zh-CN"/>
        </w:rPr>
        <w:t>7301</w:t>
      </w:r>
      <w:r>
        <w:rPr>
          <w:rFonts w:hint="eastAsia" w:ascii="仿宋" w:hAnsi="仿宋" w:eastAsia="仿宋" w:cs="仿宋"/>
          <w:b w:val="0"/>
          <w:bCs w:val="0"/>
          <w:color w:val="000000"/>
          <w:sz w:val="32"/>
          <w:szCs w:val="32"/>
        </w:rPr>
        <w:t>人，职工医保参保人数</w:t>
      </w:r>
      <w:r>
        <w:rPr>
          <w:rFonts w:hint="eastAsia" w:ascii="仿宋" w:hAnsi="仿宋" w:eastAsia="仿宋" w:cs="仿宋"/>
          <w:b w:val="0"/>
          <w:bCs w:val="0"/>
          <w:color w:val="000000"/>
          <w:sz w:val="32"/>
          <w:szCs w:val="32"/>
          <w:lang w:val="en-US" w:eastAsia="zh-CN"/>
        </w:rPr>
        <w:t>14622</w:t>
      </w:r>
      <w:r>
        <w:rPr>
          <w:rFonts w:hint="eastAsia" w:ascii="仿宋" w:hAnsi="仿宋" w:eastAsia="仿宋" w:cs="仿宋"/>
          <w:b w:val="0"/>
          <w:bCs w:val="0"/>
          <w:color w:val="000000"/>
          <w:sz w:val="32"/>
          <w:szCs w:val="32"/>
        </w:rPr>
        <w:t>人，全民参保覆盖率为100.</w:t>
      </w:r>
      <w:r>
        <w:rPr>
          <w:rFonts w:hint="eastAsia" w:ascii="仿宋" w:hAnsi="仿宋" w:eastAsia="仿宋" w:cs="仿宋"/>
          <w:b w:val="0"/>
          <w:bCs w:val="0"/>
          <w:color w:val="000000"/>
          <w:sz w:val="32"/>
          <w:szCs w:val="32"/>
          <w:lang w:val="en-US" w:eastAsia="zh-CN"/>
        </w:rPr>
        <w:t>52</w:t>
      </w:r>
      <w:r>
        <w:rPr>
          <w:rFonts w:hint="eastAsia" w:ascii="仿宋" w:hAnsi="仿宋" w:eastAsia="仿宋" w:cs="仿宋"/>
          <w:b w:val="0"/>
          <w:bCs w:val="0"/>
          <w:color w:val="000000"/>
          <w:sz w:val="32"/>
          <w:szCs w:val="32"/>
        </w:rPr>
        <w:t>%。</w:t>
      </w:r>
    </w:p>
    <w:p>
      <w:pPr>
        <w:pStyle w:val="5"/>
        <w:spacing w:before="0" w:beforeAutospacing="0" w:line="640" w:lineRule="exact"/>
        <w:ind w:left="0" w:leftChars="0" w:firstLine="643"/>
        <w:rPr>
          <w:rFonts w:hint="eastAsia" w:ascii="仿宋" w:hAnsi="仿宋" w:eastAsia="仿宋" w:cs="仿宋"/>
          <w:b w:val="0"/>
          <w:bCs w:val="0"/>
          <w:sz w:val="32"/>
          <w:szCs w:val="32"/>
        </w:rPr>
      </w:pPr>
      <w:r>
        <w:rPr>
          <w:rFonts w:hint="eastAsia" w:ascii="仿宋" w:hAnsi="仿宋" w:eastAsia="仿宋" w:cs="仿宋"/>
          <w:b w:val="0"/>
          <w:bCs w:val="0"/>
          <w:sz w:val="32"/>
          <w:szCs w:val="32"/>
        </w:rPr>
        <w:t>2.医保基金运行总体平稳</w:t>
      </w:r>
      <w:r>
        <w:rPr>
          <w:rFonts w:hint="eastAsia" w:ascii="仿宋" w:hAnsi="仿宋" w:eastAsia="仿宋" w:cs="仿宋"/>
          <w:b w:val="0"/>
          <w:bCs w:val="0"/>
          <w:sz w:val="32"/>
          <w:szCs w:val="32"/>
          <w:lang w:eastAsia="zh-CN"/>
        </w:rPr>
        <w:t>，各项基金收支平衡略有结余</w:t>
      </w:r>
      <w:r>
        <w:rPr>
          <w:rFonts w:hint="eastAsia" w:ascii="仿宋" w:hAnsi="仿宋" w:eastAsia="仿宋" w:cs="仿宋"/>
          <w:b w:val="0"/>
          <w:bCs w:val="0"/>
          <w:sz w:val="32"/>
          <w:szCs w:val="32"/>
        </w:rPr>
        <w:t>。</w:t>
      </w:r>
    </w:p>
    <w:p>
      <w:pPr>
        <w:widowControl/>
        <w:spacing w:line="64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3. 落实“两病”门诊用药保障。截止2022年12月底，“两病”门诊待遇享受人数共25667人，保障率213.62%，统筹基金共支出1630027.22元，其中高血压待遇享受人数19769人，保障率202.97%；糖尿病享受人数5898人，保障率259.25%。</w:t>
      </w:r>
    </w:p>
    <w:p>
      <w:pPr>
        <w:pStyle w:val="2"/>
        <w:spacing w:line="60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4. 强化基金运行管理。围绕基金预决算和总额管理，进行科学合理评估测算，对全县医保基金收支情况、医疗保险基金筹集和使用过程中存在的风险情况进行系统分析。完善基金管理制度，确保基金运行总体平稳安全。</w:t>
      </w:r>
    </w:p>
    <w:p>
      <w:pPr>
        <w:spacing w:line="60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5. 完善内部控制制度。建立健全基金征缴、待遇审核、基金财务、信息系统控制等15项制度，梳理制定岗位职责、业务流程、一事双岗双审等具体细则。注重技术管控，引进智能审核系统开发公司，制定18条事前监控规则。</w:t>
      </w:r>
    </w:p>
    <w:p>
      <w:pPr>
        <w:overflowPunct w:val="0"/>
        <w:spacing w:line="600" w:lineRule="exact"/>
        <w:ind w:firstLine="640" w:firstLineChars="200"/>
        <w:rPr>
          <w:rFonts w:hint="eastAsia" w:ascii="仿宋" w:hAnsi="仿宋" w:eastAsia="仿宋" w:cs="仿宋"/>
          <w:b w:val="0"/>
          <w:bCs w:val="0"/>
          <w:sz w:val="32"/>
          <w:szCs w:val="32"/>
          <w:shd w:val="clear" w:color="auto" w:fill="D99594"/>
        </w:rPr>
      </w:pPr>
      <w:r>
        <w:rPr>
          <w:rFonts w:hint="eastAsia" w:ascii="仿宋" w:hAnsi="仿宋" w:eastAsia="仿宋" w:cs="仿宋"/>
          <w:b w:val="0"/>
          <w:bCs w:val="0"/>
          <w:sz w:val="32"/>
          <w:szCs w:val="32"/>
        </w:rPr>
        <w:t>6. 持续开展专项整治。2022年截止12月低我局对县域内定点医药机构已完成全覆盖检查并追缴罚没资金合计162.95万元。</w:t>
      </w:r>
    </w:p>
    <w:p>
      <w:pPr>
        <w:spacing w:line="60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7、</w:t>
      </w:r>
      <w:r>
        <w:rPr>
          <w:rFonts w:hint="eastAsia" w:ascii="仿宋" w:hAnsi="仿宋" w:eastAsia="仿宋" w:cs="仿宋"/>
          <w:b w:val="0"/>
          <w:bCs w:val="0"/>
          <w:sz w:val="32"/>
          <w:szCs w:val="32"/>
        </w:rPr>
        <w:t>统筹推进，全面</w:t>
      </w:r>
      <w:r>
        <w:rPr>
          <w:rFonts w:hint="eastAsia" w:ascii="仿宋" w:hAnsi="仿宋" w:eastAsia="仿宋" w:cs="仿宋"/>
          <w:b w:val="0"/>
          <w:bCs w:val="0"/>
          <w:color w:val="333333"/>
          <w:sz w:val="32"/>
          <w:szCs w:val="32"/>
        </w:rPr>
        <w:t>推进医保支付方式改革</w:t>
      </w:r>
      <w:r>
        <w:rPr>
          <w:rFonts w:hint="eastAsia" w:ascii="仿宋" w:hAnsi="仿宋" w:eastAsia="仿宋" w:cs="仿宋"/>
          <w:b w:val="0"/>
          <w:bCs w:val="0"/>
          <w:color w:val="333333"/>
          <w:sz w:val="32"/>
          <w:szCs w:val="32"/>
          <w:lang w:eastAsia="zh-CN"/>
        </w:rPr>
        <w:t>、</w:t>
      </w:r>
      <w:r>
        <w:rPr>
          <w:rFonts w:hint="eastAsia" w:ascii="仿宋" w:hAnsi="仿宋" w:eastAsia="仿宋" w:cs="仿宋"/>
          <w:b w:val="0"/>
          <w:bCs w:val="0"/>
          <w:color w:val="333333"/>
          <w:sz w:val="32"/>
          <w:szCs w:val="32"/>
        </w:rPr>
        <w:t>推进医保支付方式改革</w:t>
      </w:r>
      <w:r>
        <w:rPr>
          <w:rFonts w:hint="eastAsia" w:ascii="仿宋" w:hAnsi="仿宋" w:eastAsia="仿宋" w:cs="仿宋"/>
          <w:b w:val="0"/>
          <w:bCs w:val="0"/>
          <w:color w:val="333333"/>
          <w:sz w:val="32"/>
          <w:szCs w:val="32"/>
          <w:lang w:eastAsia="zh-CN"/>
        </w:rPr>
        <w:t>。</w:t>
      </w:r>
      <w:r>
        <w:rPr>
          <w:rFonts w:hint="eastAsia" w:ascii="仿宋" w:hAnsi="仿宋" w:eastAsia="仿宋" w:cs="仿宋"/>
          <w:b w:val="0"/>
          <w:bCs w:val="0"/>
          <w:sz w:val="32"/>
          <w:szCs w:val="32"/>
        </w:rPr>
        <w:t>随着越来越多的常用药品、高值医用耗材纳入集采范围，采购价格大幅下降，百姓用药看病负担将进一步大幅降低，大大提升老百姓的用药和医用耗材的获得感和幸福感。</w:t>
      </w:r>
    </w:p>
    <w:p>
      <w:pPr>
        <w:spacing w:line="600" w:lineRule="exact"/>
        <w:ind w:firstLine="641"/>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真抓实干，持续优化医保经办服务</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构建县乡村三级经办服务体系，全面完成县级医保经办中心、乡镇医保经办服务站、村级医保经办服务点“三级网点”和医院、村卫生室医保经办“窗口”规范化建设，实现平台建设“一体化”， 打造医保经办“15分钟服务圈”。进一步优化跨省通办服务</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实现“数据多跑路”让“群众少跑腿”。</w:t>
      </w:r>
    </w:p>
    <w:p>
      <w:p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（二）资金投入和使用情况</w:t>
      </w:r>
    </w:p>
    <w:p>
      <w:pPr>
        <w:spacing w:line="560" w:lineRule="exact"/>
        <w:ind w:firstLine="640" w:firstLineChars="200"/>
        <w:jc w:val="left"/>
        <w:rPr>
          <w:rFonts w:hint="eastAsia" w:eastAsia="仿宋_GB2312"/>
          <w:lang w:val="en-US" w:eastAsia="zh-CN"/>
        </w:rPr>
      </w:pPr>
      <w:r>
        <w:rPr>
          <w:rFonts w:hint="eastAsia" w:ascii="仿宋_GB2312" w:eastAsia="仿宋_GB2312"/>
          <w:kern w:val="0"/>
          <w:sz w:val="32"/>
          <w:szCs w:val="32"/>
        </w:rPr>
        <w:t>2022年我局</w:t>
      </w:r>
      <w:r>
        <w:rPr>
          <w:rFonts w:hint="eastAsia" w:ascii="仿宋_GB2312" w:eastAsia="仿宋_GB2312"/>
          <w:kern w:val="0"/>
          <w:sz w:val="32"/>
          <w:szCs w:val="32"/>
          <w:lang w:eastAsia="zh-CN"/>
        </w:rPr>
        <w:t>年初预算</w:t>
      </w:r>
      <w:r>
        <w:rPr>
          <w:rFonts w:hint="eastAsia" w:ascii="仿宋_GB2312" w:eastAsia="仿宋_GB2312"/>
          <w:kern w:val="0"/>
          <w:sz w:val="32"/>
          <w:szCs w:val="32"/>
          <w:lang w:val="en-US" w:eastAsia="zh-CN"/>
        </w:rPr>
        <w:t>1075.62万元，其中</w:t>
      </w:r>
      <w:r>
        <w:rPr>
          <w:rFonts w:hint="eastAsia" w:ascii="Times New Roman" w:hAnsi="Times New Roman" w:eastAsia="仿宋_GB2312" w:cs="Times New Roman"/>
          <w:sz w:val="32"/>
          <w:szCs w:val="32"/>
          <w:lang w:val="en-US" w:eastAsia="zh-CN"/>
        </w:rPr>
        <w:t>1、一站式人员经费及系统维护费38万元，因年初一站式取消，该项目不再实施，预算调减38万元。2、基本医疗破产改制企业县级配套43万元，因该项目本年不再需县级配套，预算调减43万元。共调减预算81万元。调整后预算数为994.62万元。其中城乡居民医疗保险县级配套507万元，特殊人群医疗补助15万元，为分别拨入对应基金账户，由各基金做收支决算，未在部门决算中体现。实际执行数963.21万元。执行率96.8%，差异原因为1、其中</w:t>
      </w:r>
      <w:r>
        <w:rPr>
          <w:rFonts w:hint="eastAsia" w:ascii="仿宋_GB2312" w:hAnsi="Times New Roman" w:eastAsia="仿宋_GB2312" w:cs="Times New Roman"/>
          <w:sz w:val="32"/>
          <w:szCs w:val="32"/>
          <w:lang w:eastAsia="zh-CN"/>
        </w:rPr>
        <w:t>城乡居民县级配套资金是按</w:t>
      </w:r>
      <w:r>
        <w:rPr>
          <w:rFonts w:hint="eastAsia" w:ascii="仿宋_GB2312" w:hAnsi="Times New Roman" w:eastAsia="仿宋_GB2312" w:cs="Times New Roman"/>
          <w:sz w:val="32"/>
          <w:szCs w:val="32"/>
          <w:lang w:val="en-US" w:eastAsia="zh-CN"/>
        </w:rPr>
        <w:t>2022年6月底实际参保总人数计算并拨付，因此年初预算数与执行数会有些差异，实际执行数为504万元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2022年意外伤害委托经办费29.19万元，因该项目为据实结算项目，因去年商业保险机构还未完成项目清算业务，暂不支付本项支出，因此财政本年未下达该项指标。</w:t>
      </w:r>
    </w:p>
    <w:p>
      <w:pPr>
        <w:spacing w:line="560" w:lineRule="exact"/>
        <w:ind w:firstLine="640" w:firstLineChars="200"/>
        <w:jc w:val="left"/>
        <w:rPr>
          <w:rFonts w:hint="eastAsia" w:ascii="仿宋" w:hAnsi="仿宋" w:eastAsia="仿宋" w:cs="仿宋"/>
          <w:color w:val="333333"/>
          <w:sz w:val="32"/>
          <w:szCs w:val="32"/>
          <w:shd w:val="clear" w:color="auto" w:fill="FFFFFF"/>
        </w:rPr>
      </w:pPr>
      <w:r>
        <w:rPr>
          <w:rFonts w:hint="eastAsia" w:ascii="仿宋" w:hAnsi="仿宋" w:eastAsia="仿宋" w:cs="仿宋"/>
          <w:sz w:val="32"/>
          <w:szCs w:val="32"/>
          <w:lang w:val="en-US" w:eastAsia="zh-CN"/>
        </w:rPr>
        <w:t>2022年部门</w:t>
      </w:r>
      <w:r>
        <w:rPr>
          <w:rFonts w:hint="eastAsia" w:ascii="仿宋" w:hAnsi="仿宋" w:eastAsia="仿宋" w:cs="仿宋"/>
          <w:kern w:val="0"/>
          <w:sz w:val="32"/>
          <w:szCs w:val="32"/>
        </w:rPr>
        <w:t>决算收入</w:t>
      </w:r>
      <w:r>
        <w:rPr>
          <w:rFonts w:hint="eastAsia" w:ascii="仿宋" w:hAnsi="仿宋" w:eastAsia="仿宋" w:cs="仿宋"/>
          <w:kern w:val="0"/>
          <w:sz w:val="32"/>
          <w:szCs w:val="32"/>
          <w:lang w:val="en-US" w:eastAsia="zh-CN"/>
        </w:rPr>
        <w:t>656.52</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其中</w:t>
      </w:r>
      <w:r>
        <w:rPr>
          <w:rFonts w:hint="eastAsia" w:ascii="仿宋" w:hAnsi="仿宋" w:eastAsia="仿宋" w:cs="仿宋"/>
          <w:kern w:val="0"/>
          <w:sz w:val="32"/>
          <w:szCs w:val="32"/>
        </w:rPr>
        <w:t>一般公共预算财政拨款收入</w:t>
      </w:r>
      <w:r>
        <w:rPr>
          <w:rFonts w:hint="eastAsia" w:ascii="仿宋" w:hAnsi="仿宋" w:eastAsia="仿宋" w:cs="仿宋"/>
          <w:kern w:val="0"/>
          <w:sz w:val="32"/>
          <w:szCs w:val="32"/>
          <w:lang w:val="en-US" w:eastAsia="zh-CN"/>
        </w:rPr>
        <w:t>653.51</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其他收入</w:t>
      </w:r>
      <w:r>
        <w:rPr>
          <w:rFonts w:hint="eastAsia" w:ascii="仿宋" w:hAnsi="仿宋" w:eastAsia="仿宋" w:cs="仿宋"/>
          <w:kern w:val="0"/>
          <w:sz w:val="32"/>
          <w:szCs w:val="32"/>
          <w:lang w:val="en-US" w:eastAsia="zh-CN"/>
        </w:rPr>
        <w:t>3.01万元。</w:t>
      </w:r>
      <w:r>
        <w:rPr>
          <w:rFonts w:hint="eastAsia" w:ascii="仿宋" w:hAnsi="仿宋" w:eastAsia="仿宋" w:cs="仿宋"/>
          <w:kern w:val="0"/>
          <w:sz w:val="32"/>
          <w:szCs w:val="32"/>
        </w:rPr>
        <w:t>支出</w:t>
      </w:r>
      <w:r>
        <w:rPr>
          <w:rFonts w:hint="eastAsia" w:ascii="仿宋" w:hAnsi="仿宋" w:eastAsia="仿宋" w:cs="仿宋"/>
          <w:kern w:val="0"/>
          <w:sz w:val="32"/>
          <w:szCs w:val="32"/>
          <w:lang w:val="en-US" w:eastAsia="zh-CN"/>
        </w:rPr>
        <w:t>656.52</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其中</w:t>
      </w:r>
      <w:r>
        <w:rPr>
          <w:rFonts w:hint="eastAsia" w:ascii="仿宋" w:hAnsi="仿宋" w:eastAsia="仿宋" w:cs="仿宋"/>
          <w:kern w:val="0"/>
          <w:sz w:val="32"/>
          <w:szCs w:val="32"/>
        </w:rPr>
        <w:t>基本支出</w:t>
      </w:r>
      <w:r>
        <w:rPr>
          <w:rFonts w:hint="eastAsia" w:ascii="仿宋" w:hAnsi="仿宋" w:eastAsia="仿宋" w:cs="仿宋"/>
          <w:kern w:val="0"/>
          <w:sz w:val="32"/>
          <w:szCs w:val="32"/>
          <w:lang w:val="en-US" w:eastAsia="zh-CN"/>
        </w:rPr>
        <w:t>587.72</w:t>
      </w:r>
      <w:r>
        <w:rPr>
          <w:rFonts w:hint="eastAsia" w:ascii="仿宋" w:hAnsi="仿宋" w:eastAsia="仿宋" w:cs="仿宋"/>
          <w:kern w:val="0"/>
          <w:sz w:val="32"/>
          <w:szCs w:val="32"/>
        </w:rPr>
        <w:t>万元，</w:t>
      </w:r>
      <w:r>
        <w:rPr>
          <w:rFonts w:hint="eastAsia" w:ascii="仿宋" w:hAnsi="仿宋" w:eastAsia="仿宋" w:cs="仿宋"/>
          <w:color w:val="333333"/>
          <w:sz w:val="32"/>
          <w:szCs w:val="32"/>
          <w:shd w:val="clear" w:color="auto" w:fill="FFFFFF"/>
        </w:rPr>
        <w:t>其中人员经费</w:t>
      </w:r>
      <w:r>
        <w:rPr>
          <w:rFonts w:hint="eastAsia" w:ascii="仿宋" w:hAnsi="仿宋" w:eastAsia="仿宋" w:cs="仿宋"/>
          <w:color w:val="333333"/>
          <w:sz w:val="32"/>
          <w:szCs w:val="32"/>
          <w:shd w:val="clear" w:color="auto" w:fill="FFFFFF"/>
          <w:lang w:val="en-US" w:eastAsia="zh-CN"/>
        </w:rPr>
        <w:t>459.01</w:t>
      </w:r>
      <w:r>
        <w:rPr>
          <w:rFonts w:hint="eastAsia" w:ascii="仿宋" w:hAnsi="仿宋" w:eastAsia="仿宋" w:cs="仿宋"/>
          <w:color w:val="333333"/>
          <w:sz w:val="32"/>
          <w:szCs w:val="32"/>
          <w:shd w:val="clear" w:color="auto" w:fill="FFFFFF"/>
        </w:rPr>
        <w:t>万元，日常公用经费</w:t>
      </w:r>
      <w:r>
        <w:rPr>
          <w:rFonts w:hint="eastAsia" w:ascii="仿宋" w:hAnsi="仿宋" w:eastAsia="仿宋" w:cs="仿宋"/>
          <w:color w:val="333333"/>
          <w:sz w:val="32"/>
          <w:szCs w:val="32"/>
          <w:shd w:val="clear" w:color="auto" w:fill="FFFFFF"/>
          <w:lang w:val="en-US" w:eastAsia="zh-CN"/>
        </w:rPr>
        <w:t>127.14</w:t>
      </w:r>
      <w:r>
        <w:rPr>
          <w:rFonts w:hint="eastAsia" w:ascii="仿宋" w:hAnsi="仿宋" w:eastAsia="仿宋" w:cs="仿宋"/>
          <w:color w:val="333333"/>
          <w:sz w:val="32"/>
          <w:szCs w:val="32"/>
          <w:shd w:val="clear" w:color="auto" w:fill="FFFFFF"/>
        </w:rPr>
        <w:t>万元。“三公经费”</w:t>
      </w:r>
      <w:r>
        <w:rPr>
          <w:rFonts w:hint="eastAsia" w:ascii="仿宋" w:hAnsi="仿宋" w:eastAsia="仿宋" w:cs="仿宋"/>
          <w:color w:val="333333"/>
          <w:sz w:val="32"/>
          <w:szCs w:val="32"/>
          <w:shd w:val="clear" w:color="auto" w:fill="FFFFFF"/>
          <w:lang w:val="en-US" w:eastAsia="zh-CN"/>
        </w:rPr>
        <w:t>1.57</w:t>
      </w:r>
      <w:r>
        <w:rPr>
          <w:rFonts w:hint="eastAsia" w:ascii="仿宋" w:hAnsi="仿宋" w:eastAsia="仿宋" w:cs="仿宋"/>
          <w:color w:val="333333"/>
          <w:sz w:val="32"/>
          <w:szCs w:val="32"/>
          <w:shd w:val="clear" w:color="auto" w:fill="FFFFFF"/>
        </w:rPr>
        <w:t>万元</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rPr>
        <w:t>公务接待费支出</w:t>
      </w:r>
      <w:r>
        <w:rPr>
          <w:rFonts w:hint="eastAsia" w:ascii="仿宋" w:hAnsi="仿宋" w:eastAsia="仿宋" w:cs="仿宋"/>
          <w:color w:val="333333"/>
          <w:sz w:val="32"/>
          <w:szCs w:val="32"/>
          <w:shd w:val="clear" w:color="auto" w:fill="FFFFFF"/>
          <w:lang w:val="en-US" w:eastAsia="zh-CN"/>
        </w:rPr>
        <w:t>1.57</w:t>
      </w:r>
      <w:r>
        <w:rPr>
          <w:rFonts w:hint="eastAsia" w:ascii="仿宋" w:hAnsi="仿宋" w:eastAsia="仿宋" w:cs="仿宋"/>
          <w:color w:val="333333"/>
          <w:sz w:val="32"/>
          <w:szCs w:val="32"/>
          <w:shd w:val="clear" w:color="auto" w:fill="FFFFFF"/>
        </w:rPr>
        <w:t>万元，公务用车运行维护费0万元，全年无因公出国(境)费用</w:t>
      </w:r>
      <w:r>
        <w:rPr>
          <w:rFonts w:hint="eastAsia" w:ascii="仿宋" w:hAnsi="仿宋" w:eastAsia="仿宋" w:cs="仿宋"/>
          <w:color w:val="333333"/>
          <w:sz w:val="32"/>
          <w:szCs w:val="32"/>
          <w:shd w:val="clear" w:color="auto" w:fill="FFFFFF"/>
          <w:lang w:eastAsia="zh-CN"/>
        </w:rPr>
        <w:t>），项目支出</w:t>
      </w:r>
      <w:r>
        <w:rPr>
          <w:rFonts w:hint="eastAsia" w:ascii="仿宋" w:hAnsi="仿宋" w:eastAsia="仿宋" w:cs="仿宋"/>
          <w:color w:val="333333"/>
          <w:sz w:val="32"/>
          <w:szCs w:val="32"/>
          <w:shd w:val="clear" w:color="auto" w:fill="FFFFFF"/>
          <w:lang w:val="en-US" w:eastAsia="zh-CN"/>
        </w:rPr>
        <w:t>68.8万元</w:t>
      </w:r>
      <w:r>
        <w:rPr>
          <w:rFonts w:hint="eastAsia" w:ascii="仿宋" w:hAnsi="仿宋" w:eastAsia="仿宋" w:cs="仿宋"/>
          <w:kern w:val="0"/>
          <w:sz w:val="32"/>
          <w:szCs w:val="32"/>
        </w:rPr>
        <w:t>。</w:t>
      </w:r>
    </w:p>
    <w:p>
      <w:pPr>
        <w:ind w:firstLine="640" w:firstLineChars="200"/>
        <w:rPr>
          <w:rFonts w:hint="eastAsia"/>
          <w:lang w:eastAsia="zh-CN"/>
        </w:rPr>
      </w:pPr>
      <w:r>
        <w:rPr>
          <w:rFonts w:hint="eastAsia" w:ascii="仿宋_GB2312" w:eastAsia="仿宋_GB2312"/>
          <w:color w:val="000000"/>
          <w:sz w:val="32"/>
          <w:szCs w:val="32"/>
        </w:rPr>
        <w:t>从整体上看，</w:t>
      </w:r>
      <w:r>
        <w:rPr>
          <w:rFonts w:hint="eastAsia" w:ascii="仿宋_GB2312" w:eastAsia="仿宋_GB2312"/>
          <w:color w:val="000000"/>
          <w:sz w:val="32"/>
          <w:szCs w:val="32"/>
          <w:shd w:val="clear" w:color="auto" w:fill="FFFFFF"/>
        </w:rPr>
        <w:t>2022年我局资金运行维护决策正确，资金管理规范，政策执行有力，有效发挥了财政资金的使用效率。人员经费支出、公共支出严格执行政府的各项制度；在保证各项任务顺利完成的同时，严格落实厉行节约的原则；三公经费的使用严格控制在预算申报的范围内。</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pPr>
        <w:widowControl/>
        <w:shd w:val="clear" w:color="auto" w:fill="FFFFFF"/>
        <w:spacing w:line="600" w:lineRule="atLeast"/>
        <w:ind w:firstLine="640"/>
        <w:jc w:val="left"/>
        <w:rPr>
          <w:rFonts w:hint="eastAsia" w:ascii="仿宋" w:hAnsi="仿宋" w:eastAsia="仿宋" w:cs="仿宋"/>
          <w:kern w:val="0"/>
          <w:sz w:val="32"/>
          <w:szCs w:val="32"/>
          <w:lang w:eastAsia="zh-CN"/>
        </w:rPr>
      </w:pPr>
      <w:r>
        <w:rPr>
          <w:rFonts w:hint="eastAsia" w:ascii="仿宋" w:hAnsi="仿宋" w:eastAsia="仿宋" w:cs="仿宋"/>
          <w:b w:val="0"/>
          <w:bCs w:val="0"/>
          <w:kern w:val="0"/>
          <w:sz w:val="32"/>
          <w:szCs w:val="32"/>
        </w:rPr>
        <w:t>预算编制前根据年度内单位可见的工作任务，</w:t>
      </w:r>
      <w:r>
        <w:rPr>
          <w:rFonts w:hint="eastAsia" w:ascii="仿宋" w:hAnsi="仿宋" w:eastAsia="仿宋" w:cs="仿宋"/>
          <w:kern w:val="0"/>
          <w:sz w:val="32"/>
          <w:szCs w:val="32"/>
        </w:rPr>
        <w:t>确定了单位年度预算目标，细化了预算指标，但是在实际</w:t>
      </w:r>
      <w:r>
        <w:rPr>
          <w:rFonts w:hint="eastAsia" w:ascii="仿宋" w:hAnsi="仿宋" w:eastAsia="仿宋" w:cs="仿宋"/>
          <w:kern w:val="0"/>
          <w:sz w:val="32"/>
          <w:szCs w:val="32"/>
          <w:lang w:eastAsia="zh-CN"/>
        </w:rPr>
        <w:t>执行</w:t>
      </w:r>
      <w:r>
        <w:rPr>
          <w:rFonts w:hint="eastAsia" w:ascii="仿宋" w:hAnsi="仿宋" w:eastAsia="仿宋" w:cs="仿宋"/>
          <w:kern w:val="0"/>
          <w:sz w:val="32"/>
          <w:szCs w:val="32"/>
        </w:rPr>
        <w:t>过程中，由于</w:t>
      </w:r>
      <w:r>
        <w:rPr>
          <w:rFonts w:hint="eastAsia" w:ascii="仿宋" w:hAnsi="仿宋" w:eastAsia="仿宋" w:cs="仿宋"/>
          <w:kern w:val="0"/>
          <w:sz w:val="32"/>
          <w:szCs w:val="32"/>
          <w:lang w:eastAsia="zh-CN"/>
        </w:rPr>
        <w:t>“一站式”工作内容</w:t>
      </w:r>
      <w:r>
        <w:rPr>
          <w:rFonts w:hint="eastAsia" w:ascii="仿宋" w:hAnsi="仿宋" w:eastAsia="仿宋" w:cs="仿宋"/>
          <w:kern w:val="0"/>
          <w:sz w:val="32"/>
          <w:szCs w:val="32"/>
        </w:rPr>
        <w:t>调整、</w:t>
      </w:r>
      <w:r>
        <w:rPr>
          <w:rFonts w:hint="eastAsia" w:ascii="仿宋" w:hAnsi="仿宋" w:eastAsia="仿宋" w:cs="仿宋"/>
          <w:kern w:val="0"/>
          <w:sz w:val="32"/>
          <w:szCs w:val="32"/>
          <w:lang w:eastAsia="zh-CN"/>
        </w:rPr>
        <w:t>中央新下达能力建设提升补助资金、</w:t>
      </w:r>
      <w:r>
        <w:rPr>
          <w:rFonts w:hint="eastAsia" w:ascii="仿宋" w:hAnsi="仿宋" w:eastAsia="仿宋" w:cs="仿宋"/>
          <w:kern w:val="0"/>
          <w:sz w:val="32"/>
          <w:szCs w:val="32"/>
        </w:rPr>
        <w:t>及部分工作需要跨年度开展</w:t>
      </w:r>
      <w:r>
        <w:rPr>
          <w:rFonts w:hint="eastAsia" w:ascii="仿宋" w:hAnsi="仿宋" w:eastAsia="仿宋" w:cs="仿宋"/>
          <w:kern w:val="0"/>
          <w:sz w:val="32"/>
          <w:szCs w:val="32"/>
          <w:lang w:eastAsia="zh-CN"/>
        </w:rPr>
        <w:t>结算</w:t>
      </w:r>
      <w:r>
        <w:rPr>
          <w:rFonts w:hint="eastAsia" w:ascii="仿宋" w:hAnsi="仿宋" w:eastAsia="仿宋" w:cs="仿宋"/>
          <w:kern w:val="0"/>
          <w:sz w:val="32"/>
          <w:szCs w:val="32"/>
        </w:rPr>
        <w:t>等情况，部分资金未严格按照预算指标执行</w:t>
      </w:r>
      <w:r>
        <w:rPr>
          <w:rFonts w:hint="eastAsia" w:ascii="仿宋" w:hAnsi="仿宋" w:eastAsia="仿宋" w:cs="仿宋"/>
          <w:kern w:val="0"/>
          <w:sz w:val="32"/>
          <w:szCs w:val="32"/>
          <w:lang w:eastAsia="zh-CN"/>
        </w:rPr>
        <w:t>，有尚未支付</w:t>
      </w:r>
      <w:bookmarkStart w:id="0" w:name="_GoBack"/>
      <w:bookmarkEnd w:id="0"/>
      <w:r>
        <w:rPr>
          <w:rFonts w:hint="eastAsia" w:ascii="仿宋" w:hAnsi="仿宋" w:eastAsia="仿宋" w:cs="仿宋"/>
          <w:kern w:val="0"/>
          <w:sz w:val="32"/>
          <w:szCs w:val="32"/>
          <w:lang w:eastAsia="zh-CN"/>
        </w:rPr>
        <w:t>、预算调减、调增项目情况</w:t>
      </w:r>
      <w:r>
        <w:rPr>
          <w:rFonts w:hint="eastAsia" w:ascii="仿宋" w:hAnsi="仿宋" w:eastAsia="仿宋" w:cs="仿宋"/>
          <w:kern w:val="0"/>
          <w:sz w:val="32"/>
          <w:szCs w:val="32"/>
        </w:rPr>
        <w:t>。</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NDA3MjU1ODY3YmYxNjM4OGE2NDUxZjlmNGZlOGMifQ=="/>
  </w:docVars>
  <w:rsids>
    <w:rsidRoot w:val="00000000"/>
    <w:rsid w:val="34AF7E88"/>
    <w:rsid w:val="5E334127"/>
    <w:rsid w:val="727342FE"/>
    <w:rsid w:val="792F2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spacing w:line="240" w:lineRule="atLeast"/>
      <w:jc w:val="left"/>
    </w:pPr>
    <w:rPr>
      <w:sz w:val="18"/>
      <w:szCs w:val="18"/>
    </w:rPr>
  </w:style>
  <w:style w:type="paragraph" w:styleId="3">
    <w:name w:val="index 5"/>
    <w:basedOn w:val="1"/>
    <w:next w:val="1"/>
    <w:qFormat/>
    <w:uiPriority w:val="0"/>
    <w:pPr>
      <w:ind w:left="1680"/>
    </w:pPr>
  </w:style>
  <w:style w:type="paragraph" w:styleId="4">
    <w:name w:val="Body Text Indent"/>
    <w:basedOn w:val="1"/>
    <w:qFormat/>
    <w:uiPriority w:val="0"/>
    <w:pPr>
      <w:spacing w:after="120"/>
      <w:ind w:left="200" w:leftChars="200"/>
    </w:pPr>
    <w:rPr>
      <w:rFonts w:ascii="Times New Roman" w:hAnsi="Times New Roman"/>
    </w:rPr>
  </w:style>
  <w:style w:type="paragraph" w:styleId="5">
    <w:name w:val="Body Text First Indent 2"/>
    <w:basedOn w:val="4"/>
    <w:qFormat/>
    <w:uiPriority w:val="0"/>
    <w:pPr>
      <w:spacing w:before="100" w:beforeAutospacing="1" w:after="0"/>
      <w:ind w:firstLine="200" w:firstLineChars="200"/>
    </w:pPr>
    <w:rPr>
      <w:rFonts w:ascii="Calibri" w:hAnsi="Calibri"/>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春暖花开</cp:lastModifiedBy>
  <dcterms:modified xsi:type="dcterms:W3CDTF">2023-11-06T08:57:49Z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12A71744045445B687D66BD13FB312DC_12</vt:lpwstr>
  </property>
</Properties>
</file>