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00" w:beforeAutospacing="1" w:after="100" w:afterAutospacing="1" w:line="240" w:lineRule="exact"/>
        <w:jc w:val="left"/>
        <w:rPr>
          <w:rFonts w:hint="eastAsia"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附件2-1</w:t>
      </w:r>
    </w:p>
    <w:p>
      <w:pPr>
        <w:spacing w:line="480" w:lineRule="exact"/>
        <w:jc w:val="center"/>
        <w:rPr>
          <w:rFonts w:eastAsia="方正粗宋简体"/>
          <w:w w:val="85"/>
          <w:sz w:val="44"/>
          <w:szCs w:val="44"/>
        </w:rPr>
      </w:pPr>
      <w:r>
        <w:rPr>
          <w:rFonts w:eastAsia="方正粗宋简体"/>
          <w:w w:val="85"/>
          <w:sz w:val="44"/>
          <w:szCs w:val="44"/>
        </w:rPr>
        <w:t>202</w:t>
      </w:r>
      <w:r>
        <w:rPr>
          <w:rFonts w:hint="eastAsia" w:eastAsia="方正粗宋简体"/>
          <w:w w:val="85"/>
          <w:sz w:val="44"/>
          <w:szCs w:val="44"/>
          <w:lang w:val="en-US" w:eastAsia="zh-CN"/>
        </w:rPr>
        <w:t>2</w:t>
      </w:r>
      <w:r>
        <w:rPr>
          <w:rFonts w:hAnsi="方正粗宋简体" w:eastAsia="方正粗宋简体"/>
          <w:w w:val="85"/>
          <w:sz w:val="44"/>
          <w:szCs w:val="44"/>
        </w:rPr>
        <w:t>年度新晃县项目</w:t>
      </w:r>
      <w:r>
        <w:rPr>
          <w:rFonts w:hint="eastAsia" w:hAnsi="方正粗宋简体" w:eastAsia="方正粗宋简体"/>
          <w:w w:val="85"/>
          <w:sz w:val="44"/>
          <w:szCs w:val="44"/>
        </w:rPr>
        <w:t>支出</w:t>
      </w:r>
      <w:r>
        <w:rPr>
          <w:rFonts w:hAnsi="方正粗宋简体" w:eastAsia="方正粗宋简体"/>
          <w:w w:val="85"/>
          <w:sz w:val="44"/>
          <w:szCs w:val="44"/>
        </w:rPr>
        <w:t>绩效</w:t>
      </w:r>
      <w:r>
        <w:rPr>
          <w:rFonts w:hint="eastAsia" w:hAnsi="方正粗宋简体" w:eastAsia="方正粗宋简体"/>
          <w:w w:val="85"/>
          <w:sz w:val="44"/>
          <w:szCs w:val="44"/>
        </w:rPr>
        <w:t>自评</w:t>
      </w:r>
      <w:r>
        <w:rPr>
          <w:rFonts w:hAnsi="方正粗宋简体" w:eastAsia="方正粗宋简体"/>
          <w:w w:val="85"/>
          <w:sz w:val="44"/>
          <w:szCs w:val="44"/>
        </w:rPr>
        <w:t>表</w:t>
      </w:r>
    </w:p>
    <w:p>
      <w:pPr>
        <w:spacing w:before="156" w:beforeLines="50" w:line="240" w:lineRule="exact"/>
        <w:ind w:firstLine="482"/>
        <w:jc w:val="center"/>
        <w:rPr>
          <w:rFonts w:eastAsia="仿宋_GB2312"/>
          <w:szCs w:val="21"/>
        </w:rPr>
      </w:pPr>
      <w:r>
        <w:rPr>
          <w:sz w:val="24"/>
        </w:rPr>
        <w:t xml:space="preserve">                                                  </w:t>
      </w:r>
      <w:r>
        <w:rPr>
          <w:rFonts w:eastAsia="仿宋_GB2312"/>
          <w:szCs w:val="21"/>
        </w:rPr>
        <w:t>金额单位：万元</w:t>
      </w:r>
    </w:p>
    <w:tbl>
      <w:tblPr>
        <w:tblStyle w:val="8"/>
        <w:tblpPr w:leftFromText="180" w:rightFromText="180" w:vertAnchor="text" w:horzAnchor="page" w:tblpX="1195" w:tblpY="107"/>
        <w:tblOverlap w:val="never"/>
        <w:tblW w:w="9888" w:type="dxa"/>
        <w:tblCellSpacing w:w="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12"/>
        <w:gridCol w:w="1143"/>
        <w:gridCol w:w="1800"/>
        <w:gridCol w:w="1628"/>
        <w:gridCol w:w="1097"/>
        <w:gridCol w:w="1206"/>
        <w:gridCol w:w="832"/>
        <w:gridCol w:w="8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项目单位</w:t>
            </w:r>
          </w:p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名称</w:t>
            </w:r>
          </w:p>
        </w:tc>
        <w:tc>
          <w:tcPr>
            <w:tcW w:w="2943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县医疗保障局</w:t>
            </w:r>
          </w:p>
        </w:tc>
        <w:tc>
          <w:tcPr>
            <w:tcW w:w="1628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项目名称</w:t>
            </w:r>
          </w:p>
        </w:tc>
        <w:tc>
          <w:tcPr>
            <w:tcW w:w="4005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ind w:left="0" w:leftChars="0" w:firstLine="0" w:firstLineChars="0"/>
              <w:jc w:val="both"/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专项业务费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5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</w:t>
            </w:r>
          </w:p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责任部门</w:t>
            </w:r>
          </w:p>
        </w:tc>
        <w:tc>
          <w:tcPr>
            <w:tcW w:w="2943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县医疗保障事务中心</w:t>
            </w:r>
          </w:p>
        </w:tc>
        <w:tc>
          <w:tcPr>
            <w:tcW w:w="1628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项目负责人</w:t>
            </w:r>
          </w:p>
        </w:tc>
        <w:tc>
          <w:tcPr>
            <w:tcW w:w="1097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李振东</w:t>
            </w:r>
          </w:p>
        </w:tc>
        <w:tc>
          <w:tcPr>
            <w:tcW w:w="1206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联系电话</w:t>
            </w:r>
          </w:p>
        </w:tc>
        <w:tc>
          <w:tcPr>
            <w:tcW w:w="1702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18974523861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1" w:hRule="atLeast"/>
          <w:tblCellSpacing w:w="0" w:type="dxa"/>
        </w:trPr>
        <w:tc>
          <w:tcPr>
            <w:tcW w:w="1312" w:type="dxa"/>
            <w:vMerge w:val="restart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项目资金</w:t>
            </w:r>
          </w:p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基本情况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上年结转</w:t>
            </w:r>
          </w:p>
        </w:tc>
        <w:tc>
          <w:tcPr>
            <w:tcW w:w="180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年初预算安排数</w:t>
            </w:r>
          </w:p>
        </w:tc>
        <w:tc>
          <w:tcPr>
            <w:tcW w:w="1628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预算调整数</w:t>
            </w:r>
          </w:p>
        </w:tc>
        <w:tc>
          <w:tcPr>
            <w:tcW w:w="2303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全年执行数</w:t>
            </w:r>
          </w:p>
        </w:tc>
        <w:tc>
          <w:tcPr>
            <w:tcW w:w="1702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预算执行率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5" w:hRule="atLeast"/>
          <w:tblCellSpacing w:w="0" w:type="dxa"/>
        </w:trPr>
        <w:tc>
          <w:tcPr>
            <w:tcW w:w="1312" w:type="dxa"/>
            <w:vMerge w:val="continue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180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63.94</w:t>
            </w:r>
          </w:p>
        </w:tc>
        <w:tc>
          <w:tcPr>
            <w:tcW w:w="1628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0</w:t>
            </w:r>
          </w:p>
        </w:tc>
        <w:tc>
          <w:tcPr>
            <w:tcW w:w="2303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63.94</w:t>
            </w:r>
          </w:p>
        </w:tc>
        <w:tc>
          <w:tcPr>
            <w:tcW w:w="1702" w:type="dxa"/>
            <w:gridSpan w:val="2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8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评价内容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分值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评价简述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单位自评得分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财政复</w:t>
            </w:r>
          </w:p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评得分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1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项目预算及预期绩效目标编制水平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本项目预算（即投入目标）编制科学、规范、合理，预期绩效目标申报完整，产出、效果类关键性指标清晰、明确、量化，</w:t>
            </w: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但不够细致。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投入与项目产出、效果目标</w:t>
            </w: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基本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匹配。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8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7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预算执行率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该项目预算执行率为</w:t>
            </w: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100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%。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10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5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项目组织管理水平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本项目建立了</w:t>
            </w: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内控管理、财务管理、采购管理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项目管理制度，并按相关制度执行。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10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8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资金支出</w:t>
            </w:r>
          </w:p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合理合规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本年项目支出符合国家相关法律法规、财务管理制度等规定，且均在预算范围内，无与本项目预算不相符或无关的资金支出。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10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12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项目产出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30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维持县医疗保障局工作正常运转，推进医疗保障制度改革，不断推进医保的法治化、标准化、社会化、智能化和专业化进程，提升医保经办服务能力，提高参保人员的医疗保障水平，社会保障能力不断增强。</w:t>
            </w:r>
          </w:p>
          <w:p>
            <w:pPr>
              <w:spacing w:line="300" w:lineRule="exact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28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8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项目效益（效果）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bookmarkStart w:id="0" w:name="_GoBack"/>
            <w:bookmarkEnd w:id="0"/>
            <w:r>
              <w:rPr>
                <w:rFonts w:hint="eastAsia" w:ascii="仿宋_GB2312" w:hAnsi="仿宋_GB2312" w:eastAsia="仿宋_GB2312" w:cs="仿宋_GB2312"/>
                <w:szCs w:val="21"/>
              </w:rPr>
              <w:t>20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本项目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经济效益、社会效益、环境效益和可持续影响</w:t>
            </w: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均达到目标，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服务对象满意度</w:t>
            </w: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95%以上。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19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1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满意度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服务对象满意度</w:t>
            </w: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95%以上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10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1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小计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95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9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负向指标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00" w:lineRule="exact"/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eastAsia="zh-CN"/>
              </w:rPr>
              <w:t>无差异</w:t>
            </w: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2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合计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100</w:t>
            </w:r>
          </w:p>
        </w:tc>
        <w:tc>
          <w:tcPr>
            <w:tcW w:w="5731" w:type="dxa"/>
            <w:gridSpan w:val="4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83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ascii="仿宋_GB2312" w:hAnsi="仿宋_GB2312" w:eastAsia="仿宋_GB2312" w:cs="仿宋_GB2312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  <w:lang w:val="en-US" w:eastAsia="zh-CN"/>
              </w:rPr>
              <w:t>95</w:t>
            </w:r>
          </w:p>
        </w:tc>
        <w:tc>
          <w:tcPr>
            <w:tcW w:w="870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  <w:tblCellSpacing w:w="0" w:type="dxa"/>
        </w:trPr>
        <w:tc>
          <w:tcPr>
            <w:tcW w:w="1312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评价结果</w:t>
            </w:r>
          </w:p>
        </w:tc>
        <w:tc>
          <w:tcPr>
            <w:tcW w:w="1143" w:type="dxa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ascii="仿宋_GB2312" w:hAnsi="仿宋_GB2312" w:eastAsia="仿宋_GB2312" w:cs="仿宋_GB2312"/>
                <w:szCs w:val="21"/>
              </w:rPr>
            </w:pPr>
          </w:p>
        </w:tc>
        <w:tc>
          <w:tcPr>
            <w:tcW w:w="7433" w:type="dxa"/>
            <w:gridSpan w:val="6"/>
            <w:noWrap w:val="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spacing w:line="320" w:lineRule="exact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sym w:font="Wingdings 2" w:char="0052"/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 xml:space="preserve"> 优秀  90分≤得分≤100分；    □ 良好  </w:t>
            </w:r>
            <w:r>
              <w:rPr>
                <w:rFonts w:ascii="仿宋_GB2312" w:hAnsi="仿宋_GB2312" w:eastAsia="仿宋_GB2312" w:cs="仿宋_GB2312"/>
                <w:szCs w:val="21"/>
              </w:rPr>
              <w:t>80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分≤得分＜90分；</w:t>
            </w:r>
          </w:p>
          <w:p>
            <w:pPr>
              <w:spacing w:line="320" w:lineRule="exact"/>
              <w:rPr>
                <w:rFonts w:hint="eastAsia" w:ascii="仿宋_GB2312" w:hAnsi="仿宋_GB2312" w:eastAsia="仿宋_GB2312" w:cs="仿宋_GB2312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t>□ 较差   60分≤得分＜</w:t>
            </w:r>
            <w:r>
              <w:rPr>
                <w:rFonts w:ascii="仿宋_GB2312" w:hAnsi="仿宋_GB2312" w:eastAsia="仿宋_GB2312" w:cs="仿宋_GB2312"/>
                <w:szCs w:val="21"/>
              </w:rPr>
              <w:t>80</w:t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t>分；    □ 差    得分＜60分</w:t>
            </w:r>
          </w:p>
        </w:tc>
      </w:tr>
    </w:tbl>
    <w:p>
      <w:pPr>
        <w:spacing w:line="320" w:lineRule="exact"/>
        <w:ind w:left="0"/>
        <w:jc w:val="left"/>
        <w:rPr>
          <w:rFonts w:ascii="华文中宋" w:hAnsi="华文中宋" w:eastAsia="华文中宋"/>
          <w:sz w:val="8"/>
          <w:szCs w:val="10"/>
        </w:rPr>
      </w:pPr>
    </w:p>
    <w:p>
      <w:pPr>
        <w:spacing w:line="320" w:lineRule="exact"/>
        <w:ind w:left="0"/>
        <w:jc w:val="left"/>
        <w:rPr>
          <w:rFonts w:ascii="华文中宋" w:hAnsi="华文中宋" w:eastAsia="华文中宋"/>
          <w:szCs w:val="21"/>
        </w:rPr>
      </w:pPr>
      <w:r>
        <w:rPr>
          <w:rFonts w:ascii="华文中宋" w:hAnsi="华文中宋" w:eastAsia="华文中宋"/>
          <w:szCs w:val="21"/>
        </w:rPr>
        <w:t xml:space="preserve">单位负责人（签字）：  </w:t>
      </w:r>
      <w:r>
        <w:rPr>
          <w:rFonts w:hint="eastAsia" w:ascii="华文中宋" w:hAnsi="华文中宋" w:eastAsia="华文中宋"/>
          <w:szCs w:val="21"/>
        </w:rPr>
        <w:t xml:space="preserve">   </w:t>
      </w:r>
      <w:r>
        <w:rPr>
          <w:rFonts w:ascii="华文中宋" w:hAnsi="华文中宋" w:eastAsia="华文中宋"/>
          <w:szCs w:val="21"/>
        </w:rPr>
        <w:t xml:space="preserve">       项目负责人（签字）： </w:t>
      </w:r>
      <w:r>
        <w:rPr>
          <w:rFonts w:hint="eastAsia" w:ascii="华文中宋" w:hAnsi="华文中宋" w:eastAsia="华文中宋"/>
          <w:szCs w:val="21"/>
        </w:rPr>
        <w:t xml:space="preserve">     </w:t>
      </w:r>
      <w:r>
        <w:rPr>
          <w:rFonts w:ascii="华文中宋" w:hAnsi="华文中宋" w:eastAsia="华文中宋"/>
          <w:szCs w:val="21"/>
        </w:rPr>
        <w:t>填表日期：</w:t>
      </w:r>
      <w:r>
        <w:rPr>
          <w:rFonts w:hint="eastAsia" w:ascii="华文中宋" w:hAnsi="华文中宋" w:eastAsia="华文中宋"/>
          <w:szCs w:val="21"/>
          <w:lang w:val="en-US" w:eastAsia="zh-CN"/>
        </w:rPr>
        <w:t>2023</w:t>
      </w:r>
      <w:r>
        <w:rPr>
          <w:rFonts w:ascii="华文中宋" w:hAnsi="华文中宋" w:eastAsia="华文中宋"/>
          <w:szCs w:val="21"/>
        </w:rPr>
        <w:t>年 </w:t>
      </w:r>
      <w:r>
        <w:rPr>
          <w:rFonts w:hint="eastAsia" w:ascii="华文中宋" w:hAnsi="华文中宋" w:eastAsia="华文中宋"/>
          <w:szCs w:val="21"/>
          <w:lang w:val="en-US" w:eastAsia="zh-CN"/>
        </w:rPr>
        <w:t>5</w:t>
      </w:r>
      <w:r>
        <w:rPr>
          <w:rFonts w:ascii="华文中宋" w:hAnsi="华文中宋" w:eastAsia="华文中宋"/>
          <w:szCs w:val="21"/>
        </w:rPr>
        <w:t>月</w:t>
      </w:r>
      <w:r>
        <w:rPr>
          <w:rFonts w:hint="eastAsia" w:ascii="华文中宋" w:hAnsi="华文中宋" w:eastAsia="华文中宋"/>
          <w:szCs w:val="21"/>
          <w:lang w:val="en-US" w:eastAsia="zh-CN"/>
        </w:rPr>
        <w:t>16</w:t>
      </w:r>
      <w:r>
        <w:rPr>
          <w:rFonts w:ascii="华文中宋" w:hAnsi="华文中宋" w:eastAsia="华文中宋"/>
          <w:szCs w:val="21"/>
        </w:rPr>
        <w:t>日</w:t>
      </w:r>
    </w:p>
    <w:p>
      <w:pPr>
        <w:pStyle w:val="2"/>
      </w:pPr>
    </w:p>
    <w:p>
      <w:pPr>
        <w:spacing w:before="240" w:line="340" w:lineRule="exact"/>
        <w:jc w:val="left"/>
        <w:rPr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附件2-3 </w:t>
      </w: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黑体" w:hAnsi="黑体" w:eastAsia="黑体" w:cs="黑体"/>
          <w:sz w:val="44"/>
          <w:szCs w:val="44"/>
        </w:rPr>
        <w:t> </w:t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2022</w:t>
      </w:r>
      <w:r>
        <w:rPr>
          <w:rFonts w:hint="eastAsia" w:ascii="黑体" w:hAnsi="黑体" w:eastAsia="黑体" w:cs="黑体"/>
          <w:sz w:val="44"/>
          <w:szCs w:val="44"/>
        </w:rPr>
        <w:t>年度新晃县项目支出绩效自评报告</w:t>
      </w: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一、基本情况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（一）项目概况。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专项业务费含医疗机构、药店稽核经费、网络租赁维护费、健康扶贫宣传、医保政策宣传经费、办事大厅运行经费、培训经费、特殊门诊评审经费、档案标准化管理经费、医保结算系运行维护费、党建、计生、综治等维持医疗保障局正常工作运转经费。该项目2022年年初预算63.64万元，实际拨付63.64万元。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（二）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项目绩效目标。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维持县医疗保障局工作正常运转，推进医疗保障制度改革，不断推进医保的法治化、标准化、社会化、智能化和专业化进程，提升医保经办服务能力，提高参保人员的医疗保障水平，社会保障能力不断增强。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二、绩效评价工作开展情况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（一）、绩效评价目的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通过对项目支出的经济性、效率性、效益性和公平性进行客观、公正的测量、分析和评判，总结项目实施过程中取得的经验，发现存在的问题，为下一步财政预算资金安排提供参考，对项目运行管理工作提出加强和改进的意见和建议，确保财政资金发挥最大使用效益。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（二）、绩效评价对象和范围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评价对象：专项业务经费。     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评价范围：采取现场评价的方式对“专项业务经费”资金的使用及效益情况进行绩效评价。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（三）绩效评价依据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1、《中华人民共和国预算法》等国家相关法律、法规和规度;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2、《中共中央国务院关于全面实施预算绩效管理的意见》国发[2018]34号)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四）、绩效评价原则和评价指标体系（附表说明）、评价方法、评价标准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本次绩效评价采用自评的方式，遵循客观公正、公开透明的原则，以材料核查、访谈、座谈、问卷调查、选点抽查为基础，综合运用对比分析等方法，从决策、管理、产出、效益四个方面对项目资金的使用管理、综合效益等内容进行评价（评价指标体系详见附表）。绩效评价等级设置为优秀、良好、较差、差四级，其中，大于或等于90分的为优、80分（含）至90分的为良、60分（含）至80分的为中、小于60分的为差。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评价指标体系附表：</w:t>
      </w:r>
    </w:p>
    <w:tbl>
      <w:tblPr>
        <w:tblStyle w:val="8"/>
        <w:tblW w:w="8125" w:type="dxa"/>
        <w:tblInd w:w="96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2"/>
        <w:gridCol w:w="1980"/>
        <w:gridCol w:w="2352"/>
        <w:gridCol w:w="1320"/>
        <w:gridCol w:w="1081"/>
      </w:tblGrid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一级指标</w:t>
            </w:r>
          </w:p>
        </w:tc>
        <w:tc>
          <w:tcPr>
            <w:tcW w:w="19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二级指标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三级指标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指标值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绩效标准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各项医疗保险参保人员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≧20.97万人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协议医疗机构培训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≧2次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特殊门诊待遇评审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≧4次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医保政策宣传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≧2次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质量指标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医保业务系统及网络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正常运行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医保支付方式改革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稳步推进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协议医疗机构监管、稽核覆盖率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=100%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经办服务及时率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≧95%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医药服务和定价采购覆盖率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=100%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时效指标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各项工作完成及时率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及时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资金拨付及时率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及时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效益指标</w:t>
            </w:r>
          </w:p>
        </w:tc>
        <w:tc>
          <w:tcPr>
            <w:tcW w:w="19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经济效益指标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不适用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不适用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社会效益指标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体现政策导向，长期保障医保工作平稳进行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长期保障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生态效益指标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不适用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不适用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可持续影响</w:t>
            </w:r>
          </w:p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体现政策导向，长期保障医保工作平稳进行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长期保障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1" w:hRule="atLeast"/>
        </w:trPr>
        <w:tc>
          <w:tcPr>
            <w:tcW w:w="139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</w:p>
        </w:tc>
        <w:tc>
          <w:tcPr>
            <w:tcW w:w="19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社会公众或服务对象满意度指标</w:t>
            </w:r>
          </w:p>
        </w:tc>
        <w:tc>
          <w:tcPr>
            <w:tcW w:w="235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服务对象满意度</w:t>
            </w:r>
          </w:p>
        </w:tc>
        <w:tc>
          <w:tcPr>
            <w:tcW w:w="13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≧90%</w:t>
            </w:r>
          </w:p>
        </w:tc>
        <w:tc>
          <w:tcPr>
            <w:tcW w:w="10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bidi w:val="0"/>
              <w:rPr>
                <w:rFonts w:hint="eastAsia"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计划标准</w:t>
            </w:r>
          </w:p>
        </w:tc>
      </w:tr>
    </w:tbl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三、综合评价情况及评价结论（附相关评分表）：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经综合评价该项目综合评分为95分。详见附表项目绩效支出自评表。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评价结果优秀。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四、绩效评价指标分析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（一）项目决策情况。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为保障医疗保障局正常工作运转，正常支付医疗机构、药店稽核经费、网络租赁维护费、健康扶贫宣传、医保政策宣传经费、办事大厅运行经费、培训经费、特殊门诊评审经费、档案标准化管理经费、医保结算系运行维护费、党建、计生、综治等相关费用。特专项下达此项目经费。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（二）、项目过程情况。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2022年专项业务费63.94万元，已支付63.94万元，实际执行率100%。</w:t>
      </w:r>
    </w:p>
    <w:p>
      <w:pPr>
        <w:numPr>
          <w:ilvl w:val="0"/>
          <w:numId w:val="1"/>
        </w:num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、项目产出情况。</w:t>
      </w:r>
    </w:p>
    <w:p>
      <w:pPr>
        <w:numPr>
          <w:ilvl w:val="0"/>
          <w:numId w:val="0"/>
        </w:numPr>
        <w:bidi w:val="0"/>
        <w:jc w:val="left"/>
        <w:rPr>
          <w:rFonts w:hint="eastAsia"/>
        </w:rPr>
      </w:pPr>
      <w:r>
        <w:rPr>
          <w:rStyle w:val="28"/>
          <w:rFonts w:hint="eastAsia" w:ascii="仿宋" w:hAnsi="仿宋" w:eastAsia="仿宋" w:cs="仿宋"/>
          <w:sz w:val="32"/>
          <w:szCs w:val="32"/>
        </w:rPr>
        <w:t>1、确保医保系统正常、安全运行；</w:t>
      </w:r>
      <w:r>
        <w:rPr>
          <w:rFonts w:hint="eastAsia" w:ascii="仿宋" w:hAnsi="仿宋" w:eastAsia="仿宋" w:cs="仿宋"/>
          <w:sz w:val="32"/>
          <w:szCs w:val="32"/>
        </w:rPr>
        <w:t xml:space="preserve">                                                                  </w:t>
      </w:r>
      <w:r>
        <w:rPr>
          <w:rFonts w:hint="eastAsia" w:ascii="仿宋" w:hAnsi="仿宋" w:eastAsia="仿宋" w:cs="仿宋"/>
          <w:sz w:val="32"/>
          <w:szCs w:val="32"/>
          <w:lang w:val="en-US" w:eastAsia="zh-CN" w:bidi="ar-SA"/>
        </w:rPr>
        <w:t>2、加强医保宣传，提高群众对医保政策的知晓率和全民参与医疗监管的参与度。</w:t>
      </w:r>
      <w:r>
        <w:rPr>
          <w:rFonts w:hint="eastAsia" w:ascii="仿宋" w:hAnsi="仿宋" w:eastAsia="仿宋" w:cs="仿宋"/>
          <w:sz w:val="32"/>
          <w:szCs w:val="32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</w:rPr>
        <w:t xml:space="preserve">   </w:t>
      </w:r>
      <w:r>
        <w:rPr>
          <w:rFonts w:hint="eastAsia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bottom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3、进一步促进医保经办服务能力提升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_GB2312" w:hAnsi="黑体" w:eastAsia="仿宋_GB2312" w:cs="黑体"/>
          <w:sz w:val="32"/>
          <w:szCs w:val="32"/>
        </w:rPr>
        <w:t>全面完成县级医保经办中心、乡镇医保经办服务站、村级医保经办服务点“三级网点”和医院、村卫生室医保经办“窗口”规范化建设，实现平台建设“一体化”， 打造医保经办“15分钟服务圈”。</w:t>
      </w:r>
      <w:r>
        <w:rPr>
          <w:rFonts w:hint="eastAsia" w:ascii="仿宋" w:hAnsi="仿宋" w:eastAsia="仿宋" w:cs="仿宋"/>
          <w:sz w:val="32"/>
          <w:szCs w:val="32"/>
        </w:rPr>
        <w:t xml:space="preserve">                                                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                    4、</w:t>
      </w:r>
      <w:r>
        <w:rPr>
          <w:rFonts w:hint="eastAsia" w:ascii="仿宋" w:hAnsi="仿宋" w:eastAsia="仿宋" w:cs="仿宋"/>
          <w:sz w:val="32"/>
          <w:szCs w:val="32"/>
        </w:rPr>
        <w:t>继续推进全民参保，参保总人数221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923</w:t>
      </w:r>
      <w:r>
        <w:rPr>
          <w:rFonts w:hint="eastAsia" w:ascii="仿宋" w:hAnsi="仿宋" w:eastAsia="仿宋" w:cs="仿宋"/>
          <w:sz w:val="32"/>
          <w:szCs w:val="32"/>
        </w:rPr>
        <w:t>人，其中城乡居民参保人数20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7301</w:t>
      </w:r>
      <w:r>
        <w:rPr>
          <w:rFonts w:hint="eastAsia" w:ascii="仿宋" w:hAnsi="仿宋" w:eastAsia="仿宋" w:cs="仿宋"/>
          <w:sz w:val="32"/>
          <w:szCs w:val="32"/>
        </w:rPr>
        <w:t>人，职工医保参保人数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14622</w:t>
      </w:r>
      <w:r>
        <w:rPr>
          <w:rFonts w:hint="eastAsia" w:ascii="仿宋" w:hAnsi="仿宋" w:eastAsia="仿宋" w:cs="仿宋"/>
          <w:sz w:val="32"/>
          <w:szCs w:val="32"/>
        </w:rPr>
        <w:t>人，全民参保覆盖率为100.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52</w:t>
      </w:r>
      <w:r>
        <w:rPr>
          <w:rFonts w:hint="eastAsia" w:ascii="仿宋" w:hAnsi="仿宋" w:eastAsia="仿宋" w:cs="仿宋"/>
          <w:sz w:val="32"/>
          <w:szCs w:val="32"/>
        </w:rPr>
        <w:t>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bottom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</w:rPr>
        <w:t>5、稳步推进医保DIP支付方式改革，全面落实药品集中带量采购，普及推广电子医保凭证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我县电子医保激活率达61.5%，电子医保结算率达48.46%，在全市率先完成考核任务</w:t>
      </w:r>
      <w:r>
        <w:rPr>
          <w:rFonts w:ascii="仿宋_GB2312" w:hAnsi="仿宋_GB2312" w:eastAsia="仿宋_GB2312" w:cs="仿宋_GB2312"/>
          <w:color w:val="000000"/>
          <w:sz w:val="32"/>
          <w:szCs w:val="32"/>
        </w:rPr>
        <w:t>。</w:t>
      </w:r>
      <w:r>
        <w:rPr>
          <w:rFonts w:hint="eastAsia" w:ascii="仿宋" w:hAnsi="仿宋" w:eastAsia="仿宋" w:cs="仿宋"/>
          <w:sz w:val="32"/>
          <w:szCs w:val="32"/>
        </w:rPr>
        <w:t xml:space="preserve">                                                                                                                          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32"/>
          <w:szCs w:val="32"/>
        </w:rPr>
        <w:t xml:space="preserve">6、继续推进门诊、住院异地结算；                                                                             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32"/>
          <w:szCs w:val="32"/>
        </w:rPr>
        <w:t xml:space="preserve">7、加强基金监管，维护基金安全。我局对县域内定点医药机构已完成全覆盖检查并追缴罚没资金合计162.95万元                                                                              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32"/>
          <w:szCs w:val="32"/>
        </w:rPr>
        <w:t>8 、全面落实医疗救助，接续乡村振兴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（四）、项目效益情况。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推进医疗保障制度改革，提升医保服务能力，提高参保人员的医疗保障水平，群众满意度95%以上。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五、主要经验及做法、存在的问题及原因分析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无</w:t>
      </w:r>
    </w:p>
    <w:p>
      <w:pPr>
        <w:bidi w:val="0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六、有关建议</w:t>
      </w:r>
    </w:p>
    <w:p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无</w:t>
      </w:r>
    </w:p>
    <w:p>
      <w:pPr>
        <w:bidi w:val="0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bidi w:val="0"/>
        <w:ind w:firstLine="3520" w:firstLineChars="1100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bidi w:val="0"/>
        <w:ind w:firstLine="3520" w:firstLineChars="1100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bidi w:val="0"/>
        <w:ind w:firstLine="3520" w:firstLineChars="11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新晃侗族自治县医疗保障局</w:t>
      </w:r>
      <w:r>
        <w:rPr>
          <w:rFonts w:hint="eastAsia" w:ascii="仿宋" w:hAnsi="仿宋" w:eastAsia="仿宋" w:cs="仿宋"/>
          <w:sz w:val="32"/>
          <w:szCs w:val="32"/>
        </w:rPr>
        <w:t xml:space="preserve">                       </w:t>
      </w:r>
    </w:p>
    <w:p>
      <w:pPr>
        <w:bidi w:val="0"/>
        <w:ind w:firstLine="4160" w:firstLineChars="13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2023</w:t>
      </w:r>
      <w:r>
        <w:rPr>
          <w:rFonts w:hint="eastAsia" w:ascii="仿宋" w:hAnsi="仿宋" w:eastAsia="仿宋" w:cs="仿宋"/>
          <w:sz w:val="32"/>
          <w:szCs w:val="32"/>
        </w:rPr>
        <w:t xml:space="preserve">年 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</w:t>
      </w:r>
      <w:r>
        <w:rPr>
          <w:rFonts w:hint="eastAsia" w:ascii="仿宋" w:hAnsi="仿宋" w:eastAsia="仿宋" w:cs="仿宋"/>
          <w:sz w:val="32"/>
          <w:szCs w:val="32"/>
        </w:rPr>
        <w:t xml:space="preserve"> 月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16</w:t>
      </w:r>
      <w:r>
        <w:rPr>
          <w:rFonts w:hint="eastAsia" w:ascii="仿宋" w:hAnsi="仿宋" w:eastAsia="仿宋" w:cs="仿宋"/>
          <w:sz w:val="32"/>
          <w:szCs w:val="32"/>
        </w:rPr>
        <w:t>日</w:t>
      </w: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bidi w:val="0"/>
        <w:rPr>
          <w:rFonts w:hint="eastAsia" w:ascii="仿宋" w:hAnsi="仿宋" w:eastAsia="仿宋" w:cs="仿宋"/>
          <w:sz w:val="32"/>
          <w:szCs w:val="32"/>
        </w:rPr>
      </w:pPr>
    </w:p>
    <w:p>
      <w:pPr>
        <w:spacing w:line="560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sz w:val="32"/>
          <w:szCs w:val="32"/>
        </w:rPr>
      </w:pPr>
    </w:p>
    <w:p>
      <w:pPr>
        <w:spacing w:line="560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sz w:val="32"/>
          <w:szCs w:val="32"/>
        </w:rPr>
      </w:pPr>
    </w:p>
    <w:p>
      <w:pPr>
        <w:spacing w:line="560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sz w:val="32"/>
          <w:szCs w:val="32"/>
        </w:rPr>
      </w:pPr>
    </w:p>
    <w:p>
      <w:pPr>
        <w:spacing w:line="560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sz w:val="32"/>
          <w:szCs w:val="32"/>
        </w:rPr>
      </w:pPr>
    </w:p>
    <w:p>
      <w:pPr>
        <w:spacing w:line="560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sz w:val="32"/>
          <w:szCs w:val="32"/>
        </w:rPr>
      </w:pPr>
    </w:p>
    <w:p>
      <w:pPr>
        <w:spacing w:line="400" w:lineRule="exact"/>
        <w:jc w:val="left"/>
        <w:rPr>
          <w:rFonts w:eastAsia="仿宋_GB2312"/>
          <w:sz w:val="24"/>
        </w:rPr>
      </w:pPr>
    </w:p>
    <w:sectPr>
      <w:footerReference r:id="rId5" w:type="default"/>
      <w:pgSz w:w="11906" w:h="16838"/>
      <w:pgMar w:top="1440" w:right="1689" w:bottom="1440" w:left="1689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7A7D6A2-A319-4F8F-9C8F-A5374697E26C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4530A826-7A86-4E8E-8537-63DA6B59493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4B484F2-58F3-451C-A884-F79E03F6A1FB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30EEFE84-5A50-46E1-A4DF-432A37EE10F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E43C138-74BA-4E9C-AB77-8F41E6B1ED2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D396FFCC-2B09-4283-AB84-61191DDF5F0F}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40001" w:csb1="00000000"/>
    <w:embedRegular r:id="rId7" w:fontKey="{5951771B-D6FA-440B-8CC9-2811700F7A15}"/>
  </w:font>
  <w:font w:name="汉仪雅酷黑 65W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雅酷黑 55W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粗宋简体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  <w:embedRegular r:id="rId8" w:fontKey="{232D5A6E-7113-43BC-B103-F7D2D81622E0}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  <w:embedRegular r:id="rId9" w:fontKey="{96BC79DD-4C11-42BB-A1F7-40A4E5C399AC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2997EE68-568A-4B1A-B299-EA7D5510F9EC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1" w:fontKey="{961D673F-25BD-46E9-BF45-205AD67D1E69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right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jc w:val="center"/>
                            <w:rPr>
                              <w:rStyle w:val="12"/>
                            </w:rPr>
                          </w:pPr>
                          <w:r>
                            <w:rPr>
                              <w:rStyle w:val="12"/>
                            </w:rPr>
                            <w:fldChar w:fldCharType="begin"/>
                          </w:r>
                          <w:r>
                            <w:rPr>
                              <w:rStyle w:val="12"/>
                            </w:rPr>
                            <w:instrText xml:space="preserve">PAGE  </w:instrText>
                          </w:r>
                          <w:r>
                            <w:rPr>
                              <w:rStyle w:val="12"/>
                            </w:rPr>
                            <w:fldChar w:fldCharType="separate"/>
                          </w:r>
                          <w:r>
                            <w:rPr>
                              <w:rStyle w:val="12"/>
                            </w:rPr>
                            <w:t>3</w:t>
                          </w:r>
                          <w:r>
                            <w:rPr>
                              <w:rStyle w:val="1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OSi/s/IAQAAmQ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jc w:val="center"/>
                      <w:rPr>
                        <w:rStyle w:val="12"/>
                      </w:rPr>
                    </w:pPr>
                    <w:r>
                      <w:rPr>
                        <w:rStyle w:val="12"/>
                      </w:rPr>
                      <w:fldChar w:fldCharType="begin"/>
                    </w:r>
                    <w:r>
                      <w:rPr>
                        <w:rStyle w:val="12"/>
                      </w:rPr>
                      <w:instrText xml:space="preserve">PAGE  </w:instrText>
                    </w:r>
                    <w:r>
                      <w:rPr>
                        <w:rStyle w:val="12"/>
                      </w:rPr>
                      <w:fldChar w:fldCharType="separate"/>
                    </w:r>
                    <w:r>
                      <w:rPr>
                        <w:rStyle w:val="12"/>
                      </w:rPr>
                      <w:t>3</w:t>
                    </w:r>
                    <w:r>
                      <w:rPr>
                        <w:rStyle w:val="1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901C8C6"/>
    <w:multiLevelType w:val="singleLevel"/>
    <w:tmpl w:val="6901C8C6"/>
    <w:lvl w:ilvl="0" w:tentative="0">
      <w:start w:val="3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c3NDA3MjU1ODY3YmYxNjM4OGE2NDUxZjlmNGZlOGMifQ=="/>
  </w:docVars>
  <w:rsids>
    <w:rsidRoot w:val="00B76EA6"/>
    <w:rsid w:val="00071232"/>
    <w:rsid w:val="00072761"/>
    <w:rsid w:val="00085FDA"/>
    <w:rsid w:val="00087765"/>
    <w:rsid w:val="000F62F6"/>
    <w:rsid w:val="001A685B"/>
    <w:rsid w:val="001C062E"/>
    <w:rsid w:val="001C6809"/>
    <w:rsid w:val="00287891"/>
    <w:rsid w:val="002A615C"/>
    <w:rsid w:val="00303D73"/>
    <w:rsid w:val="00343567"/>
    <w:rsid w:val="0042596C"/>
    <w:rsid w:val="00454F73"/>
    <w:rsid w:val="004E376E"/>
    <w:rsid w:val="004F21D2"/>
    <w:rsid w:val="004F599E"/>
    <w:rsid w:val="005028D9"/>
    <w:rsid w:val="00530F21"/>
    <w:rsid w:val="00561601"/>
    <w:rsid w:val="005E78F8"/>
    <w:rsid w:val="006B7340"/>
    <w:rsid w:val="006C1E49"/>
    <w:rsid w:val="00762F07"/>
    <w:rsid w:val="0079640D"/>
    <w:rsid w:val="007B0039"/>
    <w:rsid w:val="007F791A"/>
    <w:rsid w:val="00810482"/>
    <w:rsid w:val="0083682C"/>
    <w:rsid w:val="008455BB"/>
    <w:rsid w:val="008627CA"/>
    <w:rsid w:val="00865824"/>
    <w:rsid w:val="008A18C2"/>
    <w:rsid w:val="008C7A48"/>
    <w:rsid w:val="008E1C64"/>
    <w:rsid w:val="009377E2"/>
    <w:rsid w:val="009A7A12"/>
    <w:rsid w:val="00A358C8"/>
    <w:rsid w:val="00A50A7C"/>
    <w:rsid w:val="00A61ED1"/>
    <w:rsid w:val="00B00C2D"/>
    <w:rsid w:val="00B16B57"/>
    <w:rsid w:val="00B62BD3"/>
    <w:rsid w:val="00B67500"/>
    <w:rsid w:val="00B76EA6"/>
    <w:rsid w:val="00BE1F96"/>
    <w:rsid w:val="00C24A74"/>
    <w:rsid w:val="00C31999"/>
    <w:rsid w:val="00C55E2E"/>
    <w:rsid w:val="00D124C5"/>
    <w:rsid w:val="00DA49D4"/>
    <w:rsid w:val="00E101A8"/>
    <w:rsid w:val="00E3790A"/>
    <w:rsid w:val="00E413AD"/>
    <w:rsid w:val="00E647FB"/>
    <w:rsid w:val="00E8655B"/>
    <w:rsid w:val="00E94418"/>
    <w:rsid w:val="00EB7B52"/>
    <w:rsid w:val="00EF1D67"/>
    <w:rsid w:val="00F00ECC"/>
    <w:rsid w:val="00F01DC6"/>
    <w:rsid w:val="00F37467"/>
    <w:rsid w:val="00F45436"/>
    <w:rsid w:val="00FD1296"/>
    <w:rsid w:val="00FE06A7"/>
    <w:rsid w:val="019D3035"/>
    <w:rsid w:val="02282C11"/>
    <w:rsid w:val="02DF5A49"/>
    <w:rsid w:val="08322FC0"/>
    <w:rsid w:val="0BF06722"/>
    <w:rsid w:val="17253939"/>
    <w:rsid w:val="1BDC4741"/>
    <w:rsid w:val="1C64178C"/>
    <w:rsid w:val="1DE87F80"/>
    <w:rsid w:val="1E957931"/>
    <w:rsid w:val="209E05F3"/>
    <w:rsid w:val="215326A4"/>
    <w:rsid w:val="228B7D11"/>
    <w:rsid w:val="23996B76"/>
    <w:rsid w:val="250F64F2"/>
    <w:rsid w:val="29316F93"/>
    <w:rsid w:val="296F1E2E"/>
    <w:rsid w:val="299D769A"/>
    <w:rsid w:val="2D2B7CC5"/>
    <w:rsid w:val="2F756F0F"/>
    <w:rsid w:val="30E16D58"/>
    <w:rsid w:val="32160058"/>
    <w:rsid w:val="326571C3"/>
    <w:rsid w:val="34750089"/>
    <w:rsid w:val="374F52B2"/>
    <w:rsid w:val="38BB7D61"/>
    <w:rsid w:val="39A85475"/>
    <w:rsid w:val="3D377FE8"/>
    <w:rsid w:val="3F423E4F"/>
    <w:rsid w:val="3FF80E2B"/>
    <w:rsid w:val="40700133"/>
    <w:rsid w:val="408F0F86"/>
    <w:rsid w:val="41DE284D"/>
    <w:rsid w:val="42E34DC3"/>
    <w:rsid w:val="439E6A72"/>
    <w:rsid w:val="451E2038"/>
    <w:rsid w:val="46091E68"/>
    <w:rsid w:val="46DA5A4C"/>
    <w:rsid w:val="499248EA"/>
    <w:rsid w:val="4A506004"/>
    <w:rsid w:val="4BFE3E36"/>
    <w:rsid w:val="4D6E2A5C"/>
    <w:rsid w:val="51AF590F"/>
    <w:rsid w:val="51DC1903"/>
    <w:rsid w:val="51F96996"/>
    <w:rsid w:val="52FB52AE"/>
    <w:rsid w:val="537C375A"/>
    <w:rsid w:val="53800973"/>
    <w:rsid w:val="53BE0981"/>
    <w:rsid w:val="545F5FDC"/>
    <w:rsid w:val="548E64A2"/>
    <w:rsid w:val="566070FF"/>
    <w:rsid w:val="5C1F7B6D"/>
    <w:rsid w:val="5F6339FE"/>
    <w:rsid w:val="60641C99"/>
    <w:rsid w:val="61D50333"/>
    <w:rsid w:val="62DC1442"/>
    <w:rsid w:val="64E65EE8"/>
    <w:rsid w:val="6B52582F"/>
    <w:rsid w:val="6D307123"/>
    <w:rsid w:val="71612162"/>
    <w:rsid w:val="71D03235"/>
    <w:rsid w:val="74151E00"/>
    <w:rsid w:val="74FF2112"/>
    <w:rsid w:val="75653BFE"/>
    <w:rsid w:val="7773308B"/>
    <w:rsid w:val="7AE13994"/>
    <w:rsid w:val="7C4A39B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qFormat="1"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uiPriority w:val="0"/>
    <w:pPr>
      <w:widowControl w:val="0"/>
      <w:spacing w:line="365" w:lineRule="atLeast"/>
      <w:ind w:left="1"/>
      <w:jc w:val="both"/>
      <w:textAlignment w:val="bottom"/>
    </w:pPr>
    <w:rPr>
      <w:rFonts w:ascii="Times New Roman" w:hAnsi="Times New Roman" w:eastAsia="宋体" w:cs="Times New Roman"/>
      <w:lang w:val="en-US" w:eastAsia="zh-CN" w:bidi="ar-SA"/>
    </w:rPr>
  </w:style>
  <w:style w:type="character" w:default="1" w:styleId="10">
    <w:name w:val="Default Paragraph Font"/>
    <w:uiPriority w:val="0"/>
  </w:style>
  <w:style w:type="table" w:default="1" w:styleId="8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next w:val="3"/>
    <w:uiPriority w:val="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3">
    <w:name w:val="index 5"/>
    <w:basedOn w:val="1"/>
    <w:next w:val="1"/>
    <w:qFormat/>
    <w:uiPriority w:val="0"/>
    <w:pPr>
      <w:ind w:left="1680"/>
    </w:pPr>
  </w:style>
  <w:style w:type="paragraph" w:styleId="4">
    <w:name w:val="Body Text Indent"/>
    <w:basedOn w:val="1"/>
    <w:link w:val="27"/>
    <w:qFormat/>
    <w:uiPriority w:val="0"/>
    <w:pPr>
      <w:spacing w:after="120"/>
      <w:ind w:left="200" w:leftChars="200"/>
    </w:pPr>
    <w:rPr>
      <w:rFonts w:ascii="Times New Roman" w:hAnsi="Times New Roman"/>
    </w:rPr>
  </w:style>
  <w:style w:type="paragraph" w:styleId="5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uiPriority w:val="0"/>
    <w:pPr>
      <w:widowControl/>
      <w:spacing w:before="100" w:beforeAutospacing="1" w:after="100" w:afterAutospacing="1" w:line="240" w:lineRule="auto"/>
      <w:ind w:left="0"/>
      <w:jc w:val="left"/>
      <w:textAlignment w:val="auto"/>
    </w:pPr>
    <w:rPr>
      <w:rFonts w:ascii="宋体" w:hAnsi="宋体" w:cs="宋体"/>
      <w:sz w:val="24"/>
      <w:szCs w:val="24"/>
    </w:rPr>
  </w:style>
  <w:style w:type="paragraph" w:styleId="7">
    <w:name w:val="Body Text First Indent 2"/>
    <w:basedOn w:val="4"/>
    <w:link w:val="28"/>
    <w:qFormat/>
    <w:uiPriority w:val="0"/>
    <w:pPr>
      <w:spacing w:before="100" w:beforeAutospacing="1" w:after="0"/>
      <w:ind w:firstLine="200" w:firstLineChars="200"/>
    </w:pPr>
    <w:rPr>
      <w:rFonts w:ascii="Calibri" w:hAnsi="Calibri"/>
    </w:rPr>
  </w:style>
  <w:style w:type="table" w:styleId="9">
    <w:name w:val="Table Grid"/>
    <w:basedOn w:val="8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qFormat/>
    <w:uiPriority w:val="0"/>
    <w:rPr>
      <w:b/>
      <w:bCs/>
    </w:rPr>
  </w:style>
  <w:style w:type="character" w:styleId="12">
    <w:name w:val="page number"/>
    <w:basedOn w:val="10"/>
    <w:uiPriority w:val="0"/>
  </w:style>
  <w:style w:type="character" w:styleId="13">
    <w:name w:val="Hyperlink"/>
    <w:uiPriority w:val="0"/>
    <w:rPr>
      <w:color w:val="0000FF"/>
      <w:u w:val="single"/>
    </w:rPr>
  </w:style>
  <w:style w:type="character" w:customStyle="1" w:styleId="14">
    <w:name w:val="font01"/>
    <w:basedOn w:val="10"/>
    <w:uiPriority w:val="0"/>
    <w:rPr>
      <w:rFonts w:hint="default" w:ascii="仿宋_GB2312" w:eastAsia="仿宋_GB2312" w:cs="仿宋_GB2312"/>
      <w:color w:val="000000"/>
      <w:sz w:val="21"/>
      <w:szCs w:val="21"/>
      <w:u w:val="none"/>
    </w:rPr>
  </w:style>
  <w:style w:type="paragraph" w:customStyle="1" w:styleId="15">
    <w:name w:val="稻壳 标题 1"/>
    <w:basedOn w:val="1"/>
    <w:uiPriority w:val="0"/>
    <w:pPr>
      <w:spacing w:before="240" w:line="240" w:lineRule="auto"/>
      <w:ind w:left="0"/>
      <w:jc w:val="center"/>
    </w:pPr>
    <w:rPr>
      <w:rFonts w:ascii="Arial" w:eastAsia="汉仪雅酷黑 65W"/>
      <w:sz w:val="36"/>
    </w:rPr>
  </w:style>
  <w:style w:type="paragraph" w:customStyle="1" w:styleId="16">
    <w:name w:val="稻壳 标题 3"/>
    <w:basedOn w:val="1"/>
    <w:uiPriority w:val="0"/>
    <w:pPr>
      <w:spacing w:before="80" w:line="240" w:lineRule="auto"/>
      <w:ind w:left="0"/>
      <w:jc w:val="center"/>
    </w:pPr>
    <w:rPr>
      <w:rFonts w:ascii="Arial" w:eastAsia="汉仪雅酷黑 65W"/>
      <w:sz w:val="26"/>
    </w:rPr>
  </w:style>
  <w:style w:type="paragraph" w:customStyle="1" w:styleId="17">
    <w:name w:val="稻壳 标题 2"/>
    <w:basedOn w:val="1"/>
    <w:uiPriority w:val="0"/>
    <w:pPr>
      <w:spacing w:before="40" w:line="240" w:lineRule="auto"/>
      <w:ind w:left="0"/>
      <w:jc w:val="center"/>
    </w:pPr>
    <w:rPr>
      <w:rFonts w:ascii="Arial" w:eastAsia="汉仪雅酷黑 65W"/>
      <w:sz w:val="30"/>
    </w:rPr>
  </w:style>
  <w:style w:type="paragraph" w:customStyle="1" w:styleId="18">
    <w:name w:val="稻壳 标题 4"/>
    <w:basedOn w:val="1"/>
    <w:uiPriority w:val="0"/>
    <w:pPr>
      <w:spacing w:before="20" w:line="240" w:lineRule="auto"/>
      <w:ind w:left="0"/>
      <w:jc w:val="center"/>
    </w:pPr>
    <w:rPr>
      <w:rFonts w:ascii="Arial" w:eastAsia="汉仪雅酷黑 65W"/>
      <w:sz w:val="24"/>
    </w:rPr>
  </w:style>
  <w:style w:type="paragraph" w:customStyle="1" w:styleId="19">
    <w:name w:val="稻壳 标题"/>
    <w:basedOn w:val="1"/>
    <w:uiPriority w:val="0"/>
    <w:pPr>
      <w:spacing w:line="240" w:lineRule="auto"/>
      <w:ind w:left="0"/>
      <w:jc w:val="center"/>
    </w:pPr>
    <w:rPr>
      <w:rFonts w:ascii="Arial" w:eastAsia="汉仪雅酷黑 65W"/>
      <w:sz w:val="76"/>
    </w:rPr>
  </w:style>
  <w:style w:type="paragraph" w:customStyle="1" w:styleId="20">
    <w:name w:val="稻壳 正文"/>
    <w:basedOn w:val="1"/>
    <w:uiPriority w:val="0"/>
    <w:pPr>
      <w:spacing w:after="80" w:line="360" w:lineRule="auto"/>
      <w:ind w:left="0"/>
      <w:jc w:val="center"/>
    </w:pPr>
    <w:rPr>
      <w:rFonts w:ascii="Arial" w:eastAsia="汉仪雅酷黑 55W"/>
      <w:sz w:val="24"/>
    </w:rPr>
  </w:style>
  <w:style w:type="paragraph" w:customStyle="1" w:styleId="21">
    <w:name w:val="稻壳 题注"/>
    <w:basedOn w:val="1"/>
    <w:uiPriority w:val="0"/>
    <w:pPr>
      <w:spacing w:after="80" w:line="360" w:lineRule="auto"/>
      <w:ind w:left="0"/>
      <w:jc w:val="center"/>
    </w:pPr>
    <w:rPr>
      <w:rFonts w:ascii="Arial" w:eastAsia="汉仪雅酷黑 55W"/>
      <w:sz w:val="24"/>
    </w:rPr>
  </w:style>
  <w:style w:type="paragraph" w:customStyle="1" w:styleId="22">
    <w:name w:val="稻壳 目录标题"/>
    <w:basedOn w:val="1"/>
    <w:uiPriority w:val="0"/>
    <w:pPr>
      <w:spacing w:before="40" w:line="240" w:lineRule="auto"/>
      <w:ind w:left="0"/>
      <w:jc w:val="center"/>
    </w:pPr>
    <w:rPr>
      <w:rFonts w:ascii="Arial" w:eastAsia="汉仪雅酷黑 65W"/>
      <w:sz w:val="36"/>
    </w:rPr>
  </w:style>
  <w:style w:type="paragraph" w:customStyle="1" w:styleId="23">
    <w:name w:val="稻壳 目录 1"/>
    <w:basedOn w:val="1"/>
    <w:uiPriority w:val="0"/>
    <w:pPr>
      <w:snapToGrid w:val="0"/>
      <w:spacing w:after="40" w:line="240" w:lineRule="auto"/>
      <w:ind w:left="0"/>
      <w:jc w:val="left"/>
    </w:pPr>
    <w:rPr>
      <w:rFonts w:ascii="Arial" w:eastAsia="汉仪雅酷黑 55W"/>
      <w:sz w:val="21"/>
    </w:rPr>
  </w:style>
  <w:style w:type="paragraph" w:customStyle="1" w:styleId="24">
    <w:name w:val="稻壳 目录 3"/>
    <w:basedOn w:val="1"/>
    <w:uiPriority w:val="0"/>
    <w:pPr>
      <w:snapToGrid w:val="0"/>
      <w:spacing w:after="40" w:line="240" w:lineRule="auto"/>
      <w:ind w:left="800" w:leftChars="400"/>
      <w:jc w:val="left"/>
    </w:pPr>
    <w:rPr>
      <w:rFonts w:ascii="Arial" w:eastAsia="汉仪雅酷黑 55W"/>
      <w:sz w:val="21"/>
    </w:rPr>
  </w:style>
  <w:style w:type="paragraph" w:customStyle="1" w:styleId="25">
    <w:name w:val="稻壳 目录 2"/>
    <w:basedOn w:val="1"/>
    <w:uiPriority w:val="0"/>
    <w:pPr>
      <w:snapToGrid w:val="0"/>
      <w:spacing w:after="40" w:line="240" w:lineRule="auto"/>
      <w:ind w:left="400" w:leftChars="200"/>
      <w:jc w:val="left"/>
    </w:pPr>
    <w:rPr>
      <w:rFonts w:ascii="Arial" w:eastAsia="汉仪雅酷黑 55W"/>
      <w:sz w:val="21"/>
    </w:rPr>
  </w:style>
  <w:style w:type="paragraph" w:customStyle="1" w:styleId="26">
    <w:name w:val="稻壳 目录 4"/>
    <w:basedOn w:val="1"/>
    <w:uiPriority w:val="0"/>
    <w:pPr>
      <w:snapToGrid w:val="0"/>
      <w:spacing w:after="40" w:line="240" w:lineRule="auto"/>
      <w:ind w:left="1200" w:leftChars="600"/>
      <w:jc w:val="left"/>
    </w:pPr>
    <w:rPr>
      <w:rFonts w:ascii="Arial" w:eastAsia="汉仪雅酷黑 55W"/>
      <w:sz w:val="21"/>
    </w:rPr>
  </w:style>
  <w:style w:type="character" w:customStyle="1" w:styleId="27">
    <w:name w:val="正文文本缩进 Char"/>
    <w:link w:val="4"/>
    <w:uiPriority w:val="0"/>
    <w:rPr>
      <w:rFonts w:ascii="Times New Roman" w:hAnsi="Times New Roman"/>
    </w:rPr>
  </w:style>
  <w:style w:type="character" w:customStyle="1" w:styleId="28">
    <w:name w:val="正文首行缩进 2 Char"/>
    <w:link w:val="7"/>
    <w:uiPriority w:val="0"/>
    <w:rPr>
      <w:rFonts w:ascii="Calibri" w:hAnsi="Calibri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7</Pages>
  <Words>2321</Words>
  <Characters>2488</Characters>
  <Lines>60</Lines>
  <Paragraphs>17</Paragraphs>
  <TotalTime>1</TotalTime>
  <ScaleCrop>false</ScaleCrop>
  <LinksUpToDate>false</LinksUpToDate>
  <CharactersWithSpaces>3052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2004-01-01T22:41:00Z</dcterms:created>
  <dc:creator>User</dc:creator>
  <cp:lastModifiedBy>春暖花开</cp:lastModifiedBy>
  <cp:lastPrinted>2003-12-31T16:07:00Z</cp:lastPrinted>
  <dcterms:modified xsi:type="dcterms:W3CDTF">2023-05-26T02:02:03Z</dcterms:modified>
  <dc:title>新晃侗族自治县财政局</dc:title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0A5A49ABA8E44E5D8B9A66611A443629</vt:lpwstr>
  </property>
</Properties>
</file>