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4"/>
        <w:keepNext w:val="0"/>
        <w:keepLines w:val="0"/>
        <w:pageBreakBefore w:val="0"/>
        <w:widowControl w:val="0"/>
        <w:kinsoku/>
        <w:wordWrap/>
        <w:overflowPunct/>
        <w:topLinePunct w:val="0"/>
        <w:bidi w:val="0"/>
        <w:snapToGrid/>
        <w:spacing w:line="720" w:lineRule="auto"/>
        <w:jc w:val="center"/>
        <w:textAlignment w:val="auto"/>
        <w:rPr>
          <w:rFonts w:hint="eastAsia" w:hAnsi="黑体" w:cs="黑体"/>
          <w:b w:val="0"/>
          <w:bCs/>
          <w:sz w:val="32"/>
          <w:szCs w:val="32"/>
          <w:lang w:eastAsia="zh-CN"/>
        </w:rPr>
      </w:pPr>
      <w:r>
        <w:rPr>
          <w:rFonts w:hint="eastAsia" w:hAnsi="黑体" w:cs="黑体"/>
          <w:b w:val="0"/>
          <w:bCs/>
          <w:sz w:val="32"/>
          <w:szCs w:val="32"/>
          <w:lang w:val="en-US" w:eastAsia="zh-CN"/>
        </w:rPr>
        <w:t>中寨镇人民政府</w:t>
      </w:r>
      <w:r>
        <w:rPr>
          <w:rFonts w:hint="eastAsia" w:hAnsi="黑体" w:cs="黑体"/>
          <w:b w:val="0"/>
          <w:bCs/>
          <w:sz w:val="32"/>
          <w:szCs w:val="32"/>
          <w:lang w:eastAsia="zh-CN"/>
        </w:rPr>
        <w:t>关于</w:t>
      </w:r>
      <w:r>
        <w:rPr>
          <w:rFonts w:hint="eastAsia" w:hAnsi="黑体" w:cs="黑体"/>
          <w:b w:val="0"/>
          <w:bCs/>
          <w:sz w:val="32"/>
          <w:szCs w:val="32"/>
          <w:lang w:eastAsia="zh-CN"/>
        </w:rPr>
        <w:t>202</w:t>
      </w:r>
      <w:r>
        <w:rPr>
          <w:rFonts w:hint="eastAsia" w:hAnsi="黑体" w:cs="黑体"/>
          <w:b w:val="0"/>
          <w:bCs/>
          <w:sz w:val="32"/>
          <w:szCs w:val="32"/>
          <w:lang w:val="en-US" w:eastAsia="zh-CN"/>
        </w:rPr>
        <w:t>3</w:t>
      </w:r>
      <w:r>
        <w:rPr>
          <w:rFonts w:hint="eastAsia" w:hAnsi="黑体" w:cs="黑体"/>
          <w:b w:val="0"/>
          <w:bCs/>
          <w:sz w:val="32"/>
          <w:szCs w:val="32"/>
          <w:lang w:eastAsia="zh-CN"/>
        </w:rPr>
        <w:t>年度预算绩效情况的说明</w:t>
      </w:r>
    </w:p>
    <w:p w14:paraId="257D9EB6"/>
    <w:p w14:paraId="4B9CD697">
      <w:pPr>
        <w:ind w:firstLine="643" w:firstLineChars="200"/>
        <w:rPr>
          <w:rFonts w:hint="eastAsia" w:ascii="仿宋_GB2312" w:hAnsi="仿宋_GB2312" w:eastAsia="仿宋_GB2312" w:cs="仿宋_GB2312"/>
          <w:b/>
          <w:bCs/>
          <w:color w:val="auto"/>
          <w:sz w:val="32"/>
          <w:szCs w:val="32"/>
          <w:lang w:val="en-US" w:eastAsia="zh-CN"/>
        </w:rPr>
      </w:pPr>
      <w:r>
        <w:rPr>
          <w:rFonts w:hint="eastAsia" w:ascii="楷体" w:hAnsi="楷体" w:eastAsia="楷体" w:cs="楷体"/>
          <w:b/>
          <w:bCs/>
          <w:sz w:val="32"/>
          <w:szCs w:val="32"/>
          <w:lang w:eastAsia="zh-CN"/>
        </w:rPr>
        <w:t>（一）</w:t>
      </w:r>
      <w:r>
        <w:rPr>
          <w:rFonts w:hint="eastAsia" w:ascii="仿宋_GB2312" w:hAnsi="仿宋_GB2312" w:eastAsia="仿宋_GB2312" w:cs="仿宋_GB2312"/>
          <w:b/>
          <w:bCs/>
          <w:color w:val="auto"/>
          <w:sz w:val="32"/>
          <w:szCs w:val="32"/>
          <w:lang w:val="en-US" w:eastAsia="zh-CN"/>
        </w:rPr>
        <w:t>绩效管理工作开展情况</w:t>
      </w:r>
    </w:p>
    <w:p w14:paraId="37DF9EAF">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一、预算编制</w:t>
      </w:r>
    </w:p>
    <w:p w14:paraId="7EC86016">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在编制2023年度预算时，我单位严格按照财政部门的要求，充分考虑了绩效目标，确保了预算编制的科学性和合理性。</w:t>
      </w:r>
    </w:p>
    <w:p w14:paraId="7A4EF9D2">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二、绩效目标设定</w:t>
      </w:r>
    </w:p>
    <w:p w14:paraId="14F83063">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根据国家政策和我单位实际情况，我单位设定了明确的绩效目标，并确保绩效目标与预算编制紧密结合。</w:t>
      </w:r>
    </w:p>
    <w:p w14:paraId="1E7AA790">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三、绩效监控</w:t>
      </w:r>
    </w:p>
    <w:p w14:paraId="1C0EFFD3">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我单位建立了绩效监控机制，对预算执行过程中的关键指标进行实时监控，确保预算执行进度与绩效目标相符。</w:t>
      </w:r>
    </w:p>
    <w:p w14:paraId="3935E55A">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四.绩效自评</w:t>
      </w:r>
    </w:p>
    <w:p w14:paraId="74E8B4DD">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根据上级部门的要求，我单位对2023年度预算执行情况进行了绩效评价，评价结果作为下一年度预算编制和资金分配的重要依据。</w:t>
      </w:r>
    </w:p>
    <w:p w14:paraId="6BA6D9DA">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五.问题整改</w:t>
      </w:r>
    </w:p>
    <w:p w14:paraId="5191F8F9">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针对绩效评价中发现的问题，我单位制定了整改措施，并确保整改到位。</w:t>
      </w:r>
    </w:p>
    <w:p w14:paraId="0157170E">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（二）部门（单位）整体支出绩效情况</w:t>
      </w:r>
    </w:p>
    <w:p w14:paraId="14920C17">
      <w:pPr>
        <w:ind w:firstLine="640" w:firstLineChars="200"/>
        <w:rPr>
          <w:rFonts w:hint="eastAsia" w:ascii="仿宋_GB2312" w:hAnsi="仿宋_GB2312" w:eastAsia="仿宋_GB2312" w:cs="仿宋_GB2312"/>
          <w:b w:val="0"/>
          <w:bCs w:val="0"/>
          <w:color w:val="auto"/>
          <w:sz w:val="32"/>
          <w:szCs w:val="32"/>
          <w:lang w:val="en-US" w:eastAsia="zh-CN"/>
        </w:rPr>
      </w:pPr>
      <w:bookmarkStart w:id="0" w:name="_GoBack"/>
      <w:bookmarkEnd w:id="0"/>
      <w:r>
        <w:rPr>
          <w:rFonts w:hint="eastAsia" w:ascii="仿宋_GB2312" w:hAnsi="仿宋_GB2312" w:eastAsia="仿宋_GB2312" w:cs="仿宋_GB2312"/>
          <w:b w:val="0"/>
          <w:bCs w:val="0"/>
          <w:color w:val="auto"/>
          <w:sz w:val="32"/>
          <w:szCs w:val="32"/>
          <w:lang w:val="en-US" w:eastAsia="zh-CN"/>
        </w:rPr>
        <w:t>2023年我镇绩效管理工作严格按照国家财经法规、预算资金管理办法、财务管理制度及专项资金管理办法的规定执行。遵循先预算、再审批、后支出的原则，保证资金的合理使用。对资金实行全程监管，做到专款专用，确保项目的顺利开展。</w:t>
      </w:r>
    </w:p>
    <w:p w14:paraId="009039A8">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1、财政收入情况</w:t>
      </w:r>
    </w:p>
    <w:p w14:paraId="11FCB431">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2023年财政总收入1361.52万元，为预算数的124.35 %，比上年决算数增加135.5万元，增加11.05%。其中：一般公共预算财政拨款收入1268.89万元（为预算数的115.89 %），政府性基金预算收入0元，其他收入92.64万元。</w:t>
      </w:r>
    </w:p>
    <w:p w14:paraId="0F8EA8BD">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2、财政支出情况</w:t>
      </w:r>
    </w:p>
    <w:p w14:paraId="75160715">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2023年度一般公共预算财政拨款支出1268.89万元，占本年支出合计的93.20%，与上年相比，一般公共预算财政拨款支出增加82.04万元，上升6.91%。主要是转拨的乡村振兴资金、厕所革命等开支资金的增加。</w:t>
      </w:r>
    </w:p>
    <w:p w14:paraId="0D579DF5">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按支出性质分类，基本支出992.1万元，比上年增加9.65万元，增加0.98%，其中人员经费746.74万元，公用经费245.37万元；项目支出276.78万元，比上年增加33.21万元，主要原因是建设类项目开支增加。</w:t>
      </w:r>
    </w:p>
    <w:p w14:paraId="00943622">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功能分类，一般公共服务支出（类）203.76万元，占比16.06%；公共安全支出（类）0.58万元，占比0.05%；文化旅游体育与传媒支出（类）1.03万元，占比0.08%；社会保障和就业支出（类）65.43万元，占比5.16%；卫生健康支出（类）36.98万元，占比2.91%；城乡社区支出（类）12.00万元，占比0.95%；农林水支出（类）938.95万元，占比74.00%；灾害防治及应急管理支（类）10.16万元，占比0.80%。</w:t>
      </w:r>
    </w:p>
    <w:p w14:paraId="0ECF2833">
      <w:p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（三）存在的问题及原因分析</w:t>
      </w:r>
    </w:p>
    <w:p w14:paraId="57DB903F">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1、预算编制过程中，部分项目绩效目标不够明确，影响了绩效评价的准确性。</w:t>
      </w:r>
    </w:p>
    <w:p w14:paraId="1982763E">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3、绩效监控力度不足，部分项目执行过程中存在偏差。</w:t>
      </w:r>
    </w:p>
    <w:p w14:paraId="216069F4">
      <w:pPr>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3、政府和财务部门在部门整体支出的资金安排和使用上仍有不可预见性，在实际工作中有资金延迟到位的情况。</w:t>
      </w:r>
    </w:p>
    <w:p w14:paraId="0AD73D51">
      <w:pPr>
        <w:ind w:firstLine="643" w:firstLineChars="200"/>
        <w:rPr>
          <w:rFonts w:hint="default" w:ascii="仿宋_GB2312" w:hAnsi="仿宋_GB2312" w:eastAsia="仿宋_GB2312" w:cs="仿宋_GB2312"/>
          <w:b/>
          <w:bCs/>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N2VhNGYxYjkzOGRkNTFlNmIyNDZiNmNhM2FlMDkifQ=="/>
  </w:docVars>
  <w:rsids>
    <w:rsidRoot w:val="00000000"/>
    <w:rsid w:val="174A03CC"/>
    <w:rsid w:val="437458BE"/>
    <w:rsid w:val="489A18C8"/>
    <w:rsid w:val="727342FE"/>
    <w:rsid w:val="77B92EBE"/>
    <w:rsid w:val="7D7D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286</Words>
  <Characters>290</Characters>
  <Lines>0</Lines>
  <Paragraphs>0</Paragraphs>
  <TotalTime>0</TotalTime>
  <ScaleCrop>false</ScaleCrop>
  <LinksUpToDate>false</LinksUpToDate>
  <CharactersWithSpaces>290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2024-10-10T02:12:19Z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1E1ECF57F46247A7A7EE74670B2C082B_13</vt:lpwstr>
  </property>
</Properties>
</file>