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line="340" w:lineRule="exact"/>
        <w:jc w:val="left"/>
        <w:rPr>
          <w:sz w:val="24"/>
        </w:rPr>
      </w:pPr>
      <w:r>
        <w:rPr>
          <w:rFonts w:hint="eastAsia" w:ascii="仿宋_GB2312" w:hAnsi="仿宋_GB2312" w:eastAsia="仿宋_GB2312" w:cs="仿宋_GB2312"/>
          <w:sz w:val="24"/>
        </w:rPr>
        <w:t>附件2-3 </w:t>
      </w:r>
    </w:p>
    <w:p>
      <w:pPr>
        <w:spacing w:line="600" w:lineRule="exact"/>
        <w:jc w:val="center"/>
        <w:rPr>
          <w:rFonts w:hint="eastAsia" w:hAnsi="方正粗宋简体" w:eastAsia="方正粗宋简体"/>
          <w:w w:val="85"/>
          <w:sz w:val="44"/>
          <w:szCs w:val="44"/>
          <w:lang w:eastAsia="zh-CN"/>
        </w:rPr>
      </w:pPr>
      <w:r>
        <w:rPr>
          <w:rFonts w:eastAsia="方正粗宋简体"/>
          <w:w w:val="85"/>
          <w:sz w:val="44"/>
          <w:szCs w:val="44"/>
        </w:rPr>
        <w:t> </w:t>
      </w:r>
      <w:r>
        <w:rPr>
          <w:rFonts w:hint="eastAsia" w:eastAsia="方正粗宋简体"/>
          <w:w w:val="85"/>
          <w:sz w:val="44"/>
          <w:szCs w:val="44"/>
          <w:lang w:eastAsia="zh-CN"/>
        </w:rPr>
        <w:t>202</w:t>
      </w:r>
      <w:r>
        <w:rPr>
          <w:rFonts w:hint="eastAsia" w:eastAsia="方正粗宋简体"/>
          <w:w w:val="85"/>
          <w:sz w:val="44"/>
          <w:szCs w:val="44"/>
          <w:lang w:val="en-US" w:eastAsia="zh-CN"/>
        </w:rPr>
        <w:t>3</w:t>
      </w:r>
      <w:r>
        <w:rPr>
          <w:rFonts w:hAnsi="方正粗宋简体" w:eastAsia="方正粗宋简体"/>
          <w:w w:val="85"/>
          <w:sz w:val="44"/>
          <w:szCs w:val="44"/>
        </w:rPr>
        <w:t>年度</w:t>
      </w:r>
      <w:r>
        <w:rPr>
          <w:rFonts w:hint="eastAsia" w:hAnsi="方正粗宋简体" w:eastAsia="方正粗宋简体"/>
          <w:w w:val="85"/>
          <w:sz w:val="44"/>
          <w:szCs w:val="44"/>
          <w:lang w:eastAsia="zh-CN"/>
        </w:rPr>
        <w:t>中寨镇人民政府村干基本报酬</w:t>
      </w:r>
    </w:p>
    <w:p>
      <w:pPr>
        <w:spacing w:line="600" w:lineRule="exact"/>
        <w:jc w:val="center"/>
        <w:rPr>
          <w:rFonts w:hint="eastAsia" w:hAnsi="方正粗宋简体" w:eastAsia="方正粗宋简体"/>
          <w:w w:val="85"/>
          <w:sz w:val="44"/>
          <w:szCs w:val="44"/>
        </w:rPr>
      </w:pPr>
      <w:r>
        <w:rPr>
          <w:rFonts w:hint="eastAsia" w:hAnsi="方正粗宋简体" w:eastAsia="方正粗宋简体"/>
          <w:w w:val="85"/>
          <w:sz w:val="44"/>
          <w:szCs w:val="44"/>
          <w:lang w:eastAsia="zh-CN"/>
        </w:rPr>
        <w:t>项目绩效自评报告</w:t>
      </w:r>
    </w:p>
    <w:p>
      <w:pPr>
        <w:keepNext w:val="0"/>
        <w:keepLines w:val="0"/>
        <w:pageBreakBefore w:val="0"/>
        <w:widowControl w:val="0"/>
        <w:kinsoku/>
        <w:wordWrap/>
        <w:overflowPunct/>
        <w:topLinePunct w:val="0"/>
        <w:autoSpaceDE/>
        <w:autoSpaceDN/>
        <w:bidi w:val="0"/>
        <w:adjustRightInd/>
        <w:snapToGrid/>
        <w:spacing w:line="560" w:lineRule="exact"/>
        <w:ind w:left="0" w:firstLine="643" w:firstLineChars="200"/>
        <w:jc w:val="left"/>
        <w:textAlignment w:val="bottom"/>
        <w:rPr>
          <w:rFonts w:eastAsia="仿宋_GB2312"/>
          <w:b/>
          <w:bCs/>
          <w:sz w:val="32"/>
          <w:szCs w:val="32"/>
        </w:rPr>
      </w:pPr>
      <w:r>
        <w:rPr>
          <w:rFonts w:hint="eastAsia" w:eastAsia="仿宋_GB2312"/>
          <w:b/>
          <w:bCs/>
          <w:sz w:val="32"/>
          <w:szCs w:val="32"/>
        </w:rPr>
        <w:t>一、基本情况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（一）项目基本情况：项目组织实施单位是中寨镇人民政府。</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（二）加强基层党组织建设，加强村级治理，为乡村振兴提供组织保障，</w:t>
      </w:r>
      <w:r>
        <w:rPr>
          <w:rFonts w:hint="default" w:ascii="仿宋" w:hAnsi="仿宋" w:eastAsia="仿宋" w:cs="仿宋"/>
          <w:sz w:val="32"/>
          <w:szCs w:val="32"/>
          <w:lang w:val="en-US" w:eastAsia="zh-CN"/>
        </w:rPr>
        <w:t>解决了村(社区)干部后顾之忧</w:t>
      </w:r>
      <w:r>
        <w:rPr>
          <w:rFonts w:hint="eastAsia" w:ascii="仿宋" w:hAnsi="仿宋" w:eastAsia="仿宋" w:cs="仿宋"/>
          <w:sz w:val="32"/>
          <w:szCs w:val="32"/>
          <w:lang w:val="en-US" w:eastAsia="zh-CN"/>
        </w:rPr>
        <w:t>。加强村干部队伍建设，提高基层党组织服务群众能力。</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（三）项目绩效目标</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1、总体目标：保障全镇村委会正常运转，</w:t>
      </w:r>
      <w:r>
        <w:rPr>
          <w:rFonts w:hint="default" w:ascii="仿宋" w:hAnsi="仿宋" w:eastAsia="仿宋" w:cs="仿宋"/>
          <w:sz w:val="32"/>
          <w:szCs w:val="32"/>
          <w:lang w:val="en-US" w:eastAsia="zh-CN"/>
        </w:rPr>
        <w:t>解决了村(社区)干部后顾之忧</w:t>
      </w:r>
      <w:r>
        <w:rPr>
          <w:rFonts w:hint="eastAsia" w:ascii="仿宋" w:hAnsi="仿宋" w:eastAsia="仿宋" w:cs="仿宋"/>
          <w:sz w:val="32"/>
          <w:szCs w:val="32"/>
          <w:lang w:val="en-US" w:eastAsia="zh-CN"/>
        </w:rPr>
        <w:t>。</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2、阶段性目标：保障本年村干部工资收入，稳固村委会正常运转，提高中寨镇村级工作全县排名。</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二、绩效评价工作开展情况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1.绩效评价的目的</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（一）为核实、了解项目实施是否符合经批复的工作内容、绩效标准、支出规模等相关要求，防止项目功能缺失。</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（二）通过计算、分析项目决策、过程、产出、效益情况，客观公正地反映项目财政实际使用和产出情况。为绩效管理提供决策参考及政策制定的依据。</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（三）通过评价项目实施的方法、过程，总结经验教训提出相应的改进措施和建设性意见，为今后项目实施提供帮助。</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2.绩效评价原则、评价指标体系、评价标准等</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根据科学公正、统筹兼顾、公开透明的原则，针对具体支出及其产出绩效，反映绩效目标的实现情况。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评价指标体系及标准见附件2-2。</w:t>
      </w:r>
    </w:p>
    <w:p>
      <w:pPr>
        <w:keepNext w:val="0"/>
        <w:keepLines w:val="0"/>
        <w:pageBreakBefore w:val="0"/>
        <w:widowControl w:val="0"/>
        <w:kinsoku/>
        <w:wordWrap/>
        <w:overflowPunct/>
        <w:topLinePunct w:val="0"/>
        <w:autoSpaceDE/>
        <w:autoSpaceDN/>
        <w:bidi w:val="0"/>
        <w:adjustRightInd/>
        <w:snapToGrid/>
        <w:spacing w:line="640" w:lineRule="exact"/>
        <w:ind w:left="0" w:firstLine="640" w:firstLineChars="200"/>
        <w:jc w:val="left"/>
        <w:textAlignment w:val="bottom"/>
        <w:rPr>
          <w:rFonts w:hint="eastAsia" w:ascii="仿宋" w:hAnsi="仿宋" w:eastAsia="仿宋_GB2312" w:cs="仿宋"/>
          <w:b w:val="0"/>
          <w:bCs w:val="0"/>
          <w:sz w:val="32"/>
          <w:szCs w:val="32"/>
          <w:lang w:val="en-US" w:eastAsia="zh-CN"/>
        </w:rPr>
      </w:pPr>
      <w:r>
        <w:rPr>
          <w:rFonts w:hint="eastAsia" w:ascii="仿宋_GB2312" w:eastAsia="仿宋_GB2312"/>
          <w:color w:val="000000"/>
          <w:sz w:val="32"/>
          <w:szCs w:val="32"/>
        </w:rPr>
        <w:t>根据《中共中央 国务院关于全面实施预算绩效管理的意见》（中发〔2018〕34号）、《中共湖南省委办公厅湖南省人民政府办公厅关于全面实施预算绩效管理的实施意见》（湘办发〔2019〕10号）、《湖南省财政厅关于印发〈湖南省预算支出绩效评价管理办法〉的通知》(湘财绩〔2020〕7号）、</w:t>
      </w:r>
      <w:r>
        <w:rPr>
          <w:rFonts w:hint="eastAsia" w:ascii="仿宋_GB2312" w:eastAsia="仿宋_GB2312"/>
          <w:color w:val="000000"/>
          <w:sz w:val="32"/>
          <w:szCs w:val="32"/>
          <w:lang w:eastAsia="zh-CN"/>
        </w:rPr>
        <w:t>《</w:t>
      </w:r>
      <w:r>
        <w:rPr>
          <w:rFonts w:hint="eastAsia" w:ascii="仿宋_GB2312" w:eastAsia="仿宋_GB2312"/>
          <w:color w:val="000000"/>
          <w:sz w:val="32"/>
          <w:szCs w:val="32"/>
        </w:rPr>
        <w:t>新晃侗族自治县财政局关于开展202</w:t>
      </w:r>
      <w:r>
        <w:rPr>
          <w:rFonts w:hint="eastAsia" w:ascii="仿宋_GB2312" w:eastAsia="仿宋_GB2312"/>
          <w:color w:val="000000"/>
          <w:sz w:val="32"/>
          <w:szCs w:val="32"/>
          <w:lang w:val="en-US" w:eastAsia="zh-CN"/>
        </w:rPr>
        <w:t>3</w:t>
      </w:r>
      <w:r>
        <w:rPr>
          <w:rFonts w:hint="eastAsia" w:ascii="仿宋_GB2312" w:eastAsia="仿宋_GB2312"/>
          <w:color w:val="000000"/>
          <w:sz w:val="32"/>
          <w:szCs w:val="32"/>
        </w:rPr>
        <w:t>年度部门预算支出绩效自评工作的通知</w:t>
      </w:r>
      <w:r>
        <w:rPr>
          <w:rFonts w:hint="eastAsia" w:ascii="仿宋_GB2312" w:eastAsia="仿宋_GB2312"/>
          <w:color w:val="000000"/>
          <w:sz w:val="32"/>
          <w:szCs w:val="32"/>
          <w:lang w:eastAsia="zh-CN"/>
        </w:rPr>
        <w:t>》</w:t>
      </w:r>
      <w:r>
        <w:rPr>
          <w:rFonts w:hint="eastAsia" w:ascii="仿宋_GB2312" w:eastAsia="仿宋_GB2312"/>
          <w:color w:val="000000"/>
          <w:sz w:val="32"/>
          <w:szCs w:val="32"/>
        </w:rPr>
        <w:t>等有关规定，决定组织对</w:t>
      </w:r>
      <w:r>
        <w:rPr>
          <w:rFonts w:hint="eastAsia" w:ascii="仿宋_GB2312" w:eastAsia="仿宋_GB2312"/>
          <w:color w:val="000000"/>
          <w:sz w:val="32"/>
          <w:szCs w:val="32"/>
          <w:lang w:eastAsia="zh-CN"/>
        </w:rPr>
        <w:t>202</w:t>
      </w:r>
      <w:r>
        <w:rPr>
          <w:rFonts w:hint="eastAsia" w:ascii="仿宋_GB2312" w:eastAsia="仿宋_GB2312"/>
          <w:color w:val="000000"/>
          <w:sz w:val="32"/>
          <w:szCs w:val="32"/>
          <w:lang w:val="en-US" w:eastAsia="zh-CN"/>
        </w:rPr>
        <w:t>3</w:t>
      </w:r>
      <w:r>
        <w:rPr>
          <w:rFonts w:hint="eastAsia" w:ascii="仿宋_GB2312" w:eastAsia="仿宋_GB2312"/>
          <w:color w:val="000000"/>
          <w:sz w:val="32"/>
          <w:szCs w:val="32"/>
        </w:rPr>
        <w:t>部门预算执行情况开展绩效自评</w:t>
      </w:r>
      <w:r>
        <w:rPr>
          <w:rFonts w:hint="eastAsia" w:ascii="仿宋_GB2312" w:eastAsia="仿宋_GB2312"/>
          <w:color w:val="000000"/>
          <w:sz w:val="32"/>
          <w:szCs w:val="32"/>
          <w:lang w:eastAsia="zh-CN"/>
        </w:rPr>
        <w:t>。</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b w:val="0"/>
          <w:bCs w:val="0"/>
          <w:sz w:val="32"/>
          <w:szCs w:val="32"/>
          <w:lang w:val="en-US" w:eastAsia="zh-CN"/>
        </w:rPr>
        <w:t>3.绩效评价对象和范围</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该项目绩效评价对象为2023年村干部基本报酬项目经费使用情况和效果，具体为资金拨付、项目的开展、村干工资发放等目标是否完成。绩效评价范围为资金的使用是否规范，村干工资是否发放到位。</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三、综合评价情况及评价结论</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2023年度，村干部基本报酬项目年初预算安排146.52万元，预算调整数145.37万元，2023年支付145.37万元。主要用于村干部基本报酬，项目资金属于专款专用资金，接受财政、审计部门的监督，做到专款专用，无占用、挪用等情况，财务制度健全，财务处理及时，会计核算规范，因村干部人数变动等原因导致预算调整。</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项目组织有计划有措施，严格执行相关制度和文件规定，顺利完成项目预期目标。自评得分100分，评价等级“优秀”。</w:t>
      </w:r>
    </w:p>
    <w:p>
      <w:pPr>
        <w:pStyle w:val="2"/>
        <w:keepNext w:val="0"/>
        <w:keepLines w:val="0"/>
        <w:pageBreakBefore w:val="0"/>
        <w:widowControl w:val="0"/>
        <w:numPr>
          <w:ilvl w:val="0"/>
          <w:numId w:val="1"/>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绩效评价指标分析</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项目决策情况。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bottom"/>
        <w:rPr>
          <w:rFonts w:hint="default" w:ascii="仿宋_GB2312" w:eastAsia="仿宋_GB2312"/>
          <w:sz w:val="32"/>
          <w:szCs w:val="32"/>
          <w:lang w:val="en-US" w:eastAsia="zh-CN"/>
        </w:rPr>
      </w:pPr>
      <w:r>
        <w:rPr>
          <w:rFonts w:hint="eastAsia" w:ascii="仿宋_GB2312" w:eastAsia="仿宋_GB2312"/>
          <w:sz w:val="32"/>
          <w:szCs w:val="32"/>
          <w:lang w:val="en-US" w:eastAsia="zh-CN"/>
        </w:rPr>
        <w:t>根据上级规定，对在职村干部发放工资报酬，由各乡镇党建办统计，上报县委组织部审批，每月按时发放。</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项目过程情况。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bottom"/>
        <w:rPr>
          <w:rFonts w:hint="default" w:ascii="仿宋_GB2312" w:eastAsia="仿宋_GB2312"/>
          <w:sz w:val="32"/>
          <w:szCs w:val="32"/>
          <w:lang w:val="en-US" w:eastAsia="zh-CN"/>
        </w:rPr>
      </w:pPr>
      <w:r>
        <w:rPr>
          <w:rFonts w:hint="eastAsia" w:ascii="仿宋_GB2312" w:eastAsia="仿宋_GB2312"/>
          <w:sz w:val="32"/>
          <w:szCs w:val="32"/>
          <w:lang w:val="en-US" w:eastAsia="zh-CN"/>
        </w:rPr>
        <w:t>工作分为三个阶段：一清查阶段。由各乡镇党建办统计各村村干部人数，落实村干部工资情况；二审批阶段。各乡镇党建办将统计数据上报县委组织部审核，审批无误后方可发放；三发放阶段。当县委组织部审核完成后报县财政局，由县财政局统一拨款。</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项目产出情况。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村干部基本报酬项目年初预算安排146.52万元，预算调整数145.37万元，本年支出145.37万元，预算执行率100%。资金全部用于保障村干部进本报酬发放，因村干部人数变动等原因导致预算调整。</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（四）项目效益情况。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村干部基本报酬都保质保量发放到位，为完</w:t>
      </w:r>
      <w:bookmarkStart w:id="0" w:name="_GoBack"/>
      <w:bookmarkEnd w:id="0"/>
      <w:r>
        <w:rPr>
          <w:rFonts w:hint="eastAsia" w:ascii="仿宋" w:hAnsi="仿宋" w:eastAsia="仿宋" w:cs="仿宋"/>
          <w:sz w:val="32"/>
          <w:szCs w:val="32"/>
          <w:lang w:val="en-US" w:eastAsia="zh-CN"/>
        </w:rPr>
        <w:t>善</w:t>
      </w:r>
      <w:r>
        <w:rPr>
          <w:rFonts w:hint="default" w:ascii="仿宋" w:hAnsi="仿宋" w:eastAsia="仿宋" w:cs="仿宋"/>
          <w:sz w:val="32"/>
          <w:szCs w:val="32"/>
          <w:lang w:val="en-US" w:eastAsia="zh-CN"/>
        </w:rPr>
        <w:t>了村(社区)干部激励保障机制，解决了村(社区)干部后顾之忧，充分促进了基层组织的和谐稳定，</w:t>
      </w:r>
      <w:r>
        <w:rPr>
          <w:rFonts w:hint="eastAsia" w:ascii="仿宋" w:hAnsi="仿宋" w:eastAsia="仿宋" w:cs="仿宋"/>
          <w:sz w:val="32"/>
          <w:szCs w:val="32"/>
          <w:lang w:val="en-US" w:eastAsia="zh-CN"/>
        </w:rPr>
        <w:t>保障本年村干部工资收入，稳固村委会正常运转起到了重要作用。</w:t>
      </w:r>
    </w:p>
    <w:p>
      <w:pPr>
        <w:spacing w:line="560" w:lineRule="exact"/>
        <w:ind w:firstLine="643" w:firstLineChars="200"/>
        <w:jc w:val="left"/>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五、</w:t>
      </w:r>
      <w:r>
        <w:rPr>
          <w:rFonts w:hint="eastAsia" w:eastAsia="仿宋_GB2312"/>
          <w:b/>
          <w:bCs/>
          <w:sz w:val="32"/>
          <w:szCs w:val="32"/>
        </w:rPr>
        <w:t>主要经验及做法、存在的问题及原因分析</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在资金使用过程中，规范监管流程，认真核对发放明细，收到上级通知能及时发放到位。</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sz w:val="32"/>
          <w:szCs w:val="32"/>
          <w:lang w:val="en-US" w:eastAsia="zh-CN"/>
        </w:rPr>
      </w:pPr>
      <w:r>
        <w:rPr>
          <w:rFonts w:hint="eastAsia" w:eastAsia="仿宋_GB2312"/>
          <w:b/>
          <w:bCs/>
          <w:sz w:val="32"/>
          <w:szCs w:val="32"/>
          <w:lang w:eastAsia="zh-CN"/>
        </w:rPr>
        <w:t>六、</w:t>
      </w:r>
      <w:r>
        <w:rPr>
          <w:rFonts w:hint="eastAsia" w:eastAsia="仿宋_GB2312"/>
          <w:b/>
          <w:bCs/>
          <w:sz w:val="32"/>
          <w:szCs w:val="32"/>
        </w:rPr>
        <w:t>有关建议</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无</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七、其他需要说明的问题</w:t>
      </w:r>
    </w:p>
    <w:p>
      <w:pPr>
        <w:pStyle w:val="2"/>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无</w:t>
      </w:r>
      <w:r>
        <w:rPr>
          <w:rFonts w:hint="eastAsia" w:ascii="仿宋" w:hAnsi="仿宋" w:eastAsia="仿宋" w:cs="仿宋"/>
          <w:sz w:val="32"/>
          <w:szCs w:val="32"/>
        </w:rPr>
        <w:t> </w:t>
      </w:r>
    </w:p>
    <w:p>
      <w:pPr>
        <w:keepNext w:val="0"/>
        <w:keepLines w:val="0"/>
        <w:pageBreakBefore w:val="0"/>
        <w:widowControl w:val="0"/>
        <w:kinsoku/>
        <w:wordWrap/>
        <w:overflowPunct/>
        <w:topLinePunct w:val="0"/>
        <w:autoSpaceDE/>
        <w:autoSpaceDN/>
        <w:bidi w:val="0"/>
        <w:adjustRightInd/>
        <w:snapToGrid/>
        <w:spacing w:line="560" w:lineRule="exact"/>
        <w:ind w:left="5880" w:right="0" w:rightChars="0" w:hanging="6720" w:hangingChars="2100"/>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rPr>
        <w:t xml:space="preserve">                                     </w:t>
      </w:r>
      <w:r>
        <w:rPr>
          <w:rFonts w:hint="eastAsia" w:ascii="仿宋" w:hAnsi="仿宋" w:eastAsia="仿宋" w:cs="仿宋"/>
          <w:sz w:val="32"/>
          <w:szCs w:val="32"/>
          <w:lang w:eastAsia="zh-CN"/>
        </w:rPr>
        <w:t>中寨镇人民政府</w:t>
      </w:r>
    </w:p>
    <w:p>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outlineLvl w:val="9"/>
        <w:rPr>
          <w:rFonts w:hint="eastAsia" w:ascii="仿宋" w:hAnsi="仿宋" w:eastAsia="仿宋" w:cs="仿宋"/>
          <w:kern w:val="0"/>
          <w:sz w:val="32"/>
          <w:szCs w:val="32"/>
        </w:rPr>
      </w:pPr>
      <w:r>
        <w:rPr>
          <w:rFonts w:hint="eastAsia" w:ascii="仿宋" w:hAnsi="仿宋" w:eastAsia="仿宋" w:cs="仿宋"/>
          <w:kern w:val="0"/>
          <w:sz w:val="32"/>
          <w:szCs w:val="32"/>
          <w:lang w:val="en-US" w:eastAsia="zh-CN"/>
        </w:rPr>
        <w:t xml:space="preserve">                                    2024</w:t>
      </w:r>
      <w:r>
        <w:rPr>
          <w:rFonts w:hint="eastAsia" w:ascii="仿宋" w:hAnsi="仿宋" w:eastAsia="仿宋" w:cs="仿宋"/>
          <w:kern w:val="0"/>
          <w:sz w:val="32"/>
          <w:szCs w:val="32"/>
        </w:rPr>
        <w:t>年</w:t>
      </w:r>
      <w:r>
        <w:rPr>
          <w:rFonts w:hint="eastAsia" w:ascii="仿宋" w:hAnsi="仿宋" w:eastAsia="仿宋" w:cs="仿宋"/>
          <w:kern w:val="0"/>
          <w:sz w:val="32"/>
          <w:szCs w:val="32"/>
          <w:lang w:val="en-US" w:eastAsia="zh-CN"/>
        </w:rPr>
        <w:t>3月27</w:t>
      </w:r>
      <w:r>
        <w:rPr>
          <w:rFonts w:hint="eastAsia" w:ascii="仿宋" w:hAnsi="仿宋" w:eastAsia="仿宋" w:cs="仿宋"/>
          <w:kern w:val="0"/>
          <w:sz w:val="32"/>
          <w:szCs w:val="32"/>
        </w:rPr>
        <w:t>日</w:t>
      </w:r>
    </w:p>
    <w:p>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outlineLvl w:val="9"/>
        <w:rPr>
          <w:rFonts w:hint="eastAsia" w:ascii="仿宋" w:hAnsi="仿宋" w:eastAsia="仿宋" w:cs="仿宋"/>
          <w:kern w:val="0"/>
          <w:sz w:val="32"/>
          <w:szCs w:val="32"/>
        </w:rPr>
      </w:pPr>
    </w:p>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nsolas">
    <w:panose1 w:val="020B0609020204030204"/>
    <w:charset w:val="00"/>
    <w:family w:val="auto"/>
    <w:pitch w:val="default"/>
    <w:sig w:usb0="E10002FF" w:usb1="4000FCFF" w:usb2="00000009" w:usb3="00000000" w:csb0="6000019F" w:csb1="DFD7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粗宋简体">
    <w:altName w:val="宋体"/>
    <w:panose1 w:val="03000509000000000000"/>
    <w:charset w:val="86"/>
    <w:family w:val="script"/>
    <w:pitch w:val="default"/>
    <w:sig w:usb0="00000000" w:usb1="0000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1F3002"/>
    <w:multiLevelType w:val="singleLevel"/>
    <w:tmpl w:val="9A1F3002"/>
    <w:lvl w:ilvl="0" w:tentative="0">
      <w:start w:val="4"/>
      <w:numFmt w:val="chineseCounting"/>
      <w:suff w:val="nothing"/>
      <w:lvlText w:val="%1、"/>
      <w:lvlJc w:val="left"/>
      <w:rPr>
        <w:rFonts w:hint="eastAsia"/>
      </w:rPr>
    </w:lvl>
  </w:abstractNum>
  <w:abstractNum w:abstractNumId="1">
    <w:nsid w:val="4901E3D6"/>
    <w:multiLevelType w:val="singleLevel"/>
    <w:tmpl w:val="4901E3D6"/>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E5Zjg1MzY2ZDcyOTY4MDZlN2NlYTQwMWQ3ZjViOGMifQ=="/>
  </w:docVars>
  <w:rsids>
    <w:rsidRoot w:val="1EB73B9F"/>
    <w:rsid w:val="03E51BFB"/>
    <w:rsid w:val="05B747B5"/>
    <w:rsid w:val="0CF54992"/>
    <w:rsid w:val="0FC16FBC"/>
    <w:rsid w:val="100D5FD5"/>
    <w:rsid w:val="11BF326F"/>
    <w:rsid w:val="16876E58"/>
    <w:rsid w:val="184057A7"/>
    <w:rsid w:val="18B218FB"/>
    <w:rsid w:val="1DE9610E"/>
    <w:rsid w:val="1EB73B9F"/>
    <w:rsid w:val="2A8A7988"/>
    <w:rsid w:val="2EFD3086"/>
    <w:rsid w:val="32A816A5"/>
    <w:rsid w:val="3B187A98"/>
    <w:rsid w:val="3F77216A"/>
    <w:rsid w:val="3F7D5B79"/>
    <w:rsid w:val="40557308"/>
    <w:rsid w:val="48A44FF7"/>
    <w:rsid w:val="50355C2E"/>
    <w:rsid w:val="50AF5788"/>
    <w:rsid w:val="532E1881"/>
    <w:rsid w:val="55844137"/>
    <w:rsid w:val="5D0F6A9D"/>
    <w:rsid w:val="60817E82"/>
    <w:rsid w:val="6B272B07"/>
    <w:rsid w:val="7FD34D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line="240" w:lineRule="auto"/>
      <w:ind w:left="0"/>
      <w:jc w:val="left"/>
      <w:textAlignment w:val="auto"/>
    </w:pPr>
    <w:rPr>
      <w:rFonts w:ascii="宋体" w:hAnsi="宋体" w:cs="宋体"/>
      <w:sz w:val="24"/>
      <w:szCs w:val="24"/>
    </w:rPr>
  </w:style>
  <w:style w:type="character" w:styleId="5">
    <w:name w:val="Strong"/>
    <w:basedOn w:val="4"/>
    <w:qFormat/>
    <w:uiPriority w:val="0"/>
    <w:rPr>
      <w:b/>
      <w:bCs/>
    </w:rPr>
  </w:style>
  <w:style w:type="character" w:styleId="6">
    <w:name w:val="FollowedHyperlink"/>
    <w:basedOn w:val="4"/>
    <w:qFormat/>
    <w:uiPriority w:val="0"/>
    <w:rPr>
      <w:color w:val="337AB7"/>
      <w:sz w:val="24"/>
      <w:szCs w:val="24"/>
      <w:u w:val="none"/>
      <w:vertAlign w:val="baseline"/>
    </w:rPr>
  </w:style>
  <w:style w:type="character" w:styleId="7">
    <w:name w:val="Emphasis"/>
    <w:basedOn w:val="4"/>
    <w:qFormat/>
    <w:uiPriority w:val="0"/>
  </w:style>
  <w:style w:type="character" w:styleId="8">
    <w:name w:val="HTML Definition"/>
    <w:basedOn w:val="4"/>
    <w:qFormat/>
    <w:uiPriority w:val="0"/>
    <w:rPr>
      <w:i/>
      <w:iCs/>
    </w:rPr>
  </w:style>
  <w:style w:type="character" w:styleId="9">
    <w:name w:val="Hyperlink"/>
    <w:basedOn w:val="4"/>
    <w:qFormat/>
    <w:uiPriority w:val="0"/>
    <w:rPr>
      <w:color w:val="337AB7"/>
      <w:sz w:val="24"/>
      <w:szCs w:val="24"/>
      <w:u w:val="none"/>
      <w:vertAlign w:val="baseline"/>
    </w:rPr>
  </w:style>
  <w:style w:type="character" w:styleId="10">
    <w:name w:val="HTML Code"/>
    <w:basedOn w:val="4"/>
    <w:qFormat/>
    <w:uiPriority w:val="0"/>
    <w:rPr>
      <w:rFonts w:ascii="Consolas" w:hAnsi="Consolas" w:eastAsia="Consolas" w:cs="Consolas"/>
      <w:color w:val="C7254E"/>
      <w:sz w:val="21"/>
      <w:szCs w:val="21"/>
      <w:shd w:val="clear" w:fill="F9F2F4"/>
    </w:rPr>
  </w:style>
  <w:style w:type="character" w:styleId="11">
    <w:name w:val="HTML Keyboard"/>
    <w:basedOn w:val="4"/>
    <w:qFormat/>
    <w:uiPriority w:val="0"/>
    <w:rPr>
      <w:rFonts w:hint="default" w:ascii="Consolas" w:hAnsi="Consolas" w:eastAsia="Consolas" w:cs="Consolas"/>
      <w:color w:val="FFFFFF"/>
      <w:sz w:val="21"/>
      <w:szCs w:val="21"/>
      <w:shd w:val="clear" w:fill="333333"/>
    </w:rPr>
  </w:style>
  <w:style w:type="character" w:styleId="12">
    <w:name w:val="HTML Sample"/>
    <w:basedOn w:val="4"/>
    <w:qFormat/>
    <w:uiPriority w:val="0"/>
    <w:rPr>
      <w:rFonts w:hint="default" w:ascii="Consolas" w:hAnsi="Consolas" w:eastAsia="Consolas" w:cs="Consolas"/>
      <w:sz w:val="21"/>
      <w:szCs w:val="21"/>
    </w:rPr>
  </w:style>
  <w:style w:type="character" w:customStyle="1" w:styleId="13">
    <w:name w:val="pull-left"/>
    <w:basedOn w:val="4"/>
    <w:qFormat/>
    <w:uiPriority w:val="0"/>
  </w:style>
  <w:style w:type="character" w:customStyle="1" w:styleId="14">
    <w:name w:val="pull-right"/>
    <w:basedOn w:val="4"/>
    <w:qFormat/>
    <w:uiPriority w:val="0"/>
  </w:style>
  <w:style w:type="character" w:customStyle="1" w:styleId="15">
    <w:name w:val="start-stop"/>
    <w:basedOn w:val="4"/>
    <w:qFormat/>
    <w:uiPriority w:val="0"/>
    <w:rPr>
      <w:color w:val="666666"/>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1379</Words>
  <Characters>1444</Characters>
  <Lines>0</Lines>
  <Paragraphs>0</Paragraphs>
  <TotalTime>0</TotalTime>
  <ScaleCrop>false</ScaleCrop>
  <LinksUpToDate>false</LinksUpToDate>
  <CharactersWithSpaces>1521</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2022-05-10T02:54:00Z</dcterms:created>
  <dc:creator>Administrator</dc:creator>
  <cp:lastModifiedBy>Lenovo</cp:lastModifiedBy>
  <dcterms:modified xsi:type="dcterms:W3CDTF">2024-03-27T09:02:21Z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29EBF3DD12E34F578B76BBA9824DF0F8</vt:lpwstr>
  </property>
</Properties>
</file>