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/>
          <w:bCs w:val="0"/>
          <w:sz w:val="36"/>
          <w:szCs w:val="36"/>
        </w:rPr>
      </w:pPr>
      <w:bookmarkStart w:id="0" w:name="_GoBack"/>
      <w:r>
        <w:rPr>
          <w:rFonts w:hint="eastAsia" w:hAnsi="黑体" w:cs="黑体"/>
          <w:b/>
          <w:bCs w:val="0"/>
          <w:sz w:val="36"/>
          <w:szCs w:val="36"/>
          <w:lang w:val="en-US" w:eastAsia="zh-CN"/>
        </w:rPr>
        <w:t>中寨镇人民政府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关于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</w:rPr>
        <w:t>202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年度预算绩效情况的说明</w:t>
      </w:r>
    </w:p>
    <w:bookmarkEnd w:id="0"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根据预算绩效管理要求，本部门组织对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2022年度一般公共预算项目支出全面开展绩效自评，共涉及项目8个，预算资金219.26万元，项目实际支出219.26万元，占一般公共预算项目支出总额的100%。从评价情况来看2022年度项目立项规范，预算编制合理，预算绩效目标明确，资金执行情况良好，项目资金使用规范，项目产出和效果达到预期目标，有力保障了中寨镇人民政府各项职能的履行，项目可持续性强，群众及村干部满意度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中寨镇2022年度收入总计1226.02万元，支出总计1226.02万元。本镇2022年度财政拨款支出主要用于以下方面：一般公共服务支出287.28万元；公共安全支出2.17万元；社会保障和就业支出65.29万元；卫生健康支出30.84万元；城乡社区支出22万元；农林水支出770.35万元；住房保障支出33.84万元；灾害防治及应急管理支出14.25万元。本年度在保证“三保”工作的前提下，因为夏季干旱及土地复垦等农业项目加大了农林水支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镇落实年初预算安排，明确指出方向，保证资金用途。强化预算绩效管理责任，落实落细过紧日子要求，严格预算刚性约束，规范预算调剂。2022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1.积极做好对往来款项的清理工作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因往年会计处理不当，财务管理人员变动频繁等原因，往来账款混乱，需对政府债务债权类科目及时清理，才能真实反映经济活动和经费支出，避免并减少不必要的损失出现。按年度清理往来账款，对拖欠借款的个人及单位景象追缴工作，必要时采取强制措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加强对固定资产的管理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固</w:t>
      </w: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定资产是单位开展业务及其它活动的重要物质条件，其种类繁多，规格不一，在管理方面，很多人长期不重视，存在着重钱轻物，重采购轻管理的思想。为避免国有资产的损失和浪费，进一步完善固定资产管理制度，强化监管职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543C4"/>
    <w:multiLevelType w:val="singleLevel"/>
    <w:tmpl w:val="554543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2VhNGYxYjkzOGRkNTFlNmIyNDZiNmNhM2FlMDkifQ=="/>
  </w:docVars>
  <w:rsids>
    <w:rsidRoot w:val="00000000"/>
    <w:rsid w:val="0D09207A"/>
    <w:rsid w:val="28C22931"/>
    <w:rsid w:val="29BD6079"/>
    <w:rsid w:val="314D409C"/>
    <w:rsid w:val="727342FE"/>
    <w:rsid w:val="7B9A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2023-10-24T10:47:14Z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