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61A0D3F">
      <w:pPr>
        <w:spacing w:before="240" w:line="340" w:lineRule="exact"/>
        <w:jc w:val="left"/>
        <w:rPr>
          <w:sz w:val="24"/>
        </w:rPr>
      </w:pPr>
      <w:r>
        <w:rPr>
          <w:rFonts w:hint="eastAsia" w:ascii="仿宋_GB2312" w:hAnsi="仿宋_GB2312" w:eastAsia="仿宋_GB2312" w:cs="仿宋_GB2312"/>
          <w:sz w:val="24"/>
        </w:rPr>
        <w:t>附件2-3 </w:t>
      </w:r>
    </w:p>
    <w:p w14:paraId="0BDBCF9F">
      <w:pPr>
        <w:spacing w:line="600" w:lineRule="exact"/>
        <w:jc w:val="center"/>
        <w:rPr>
          <w:rFonts w:hint="eastAsia" w:hAnsi="方正粗宋简体" w:eastAsia="方正粗宋简体"/>
          <w:w w:val="85"/>
          <w:sz w:val="44"/>
          <w:szCs w:val="44"/>
          <w:lang w:eastAsia="zh-CN"/>
        </w:rPr>
      </w:pPr>
      <w:r>
        <w:rPr>
          <w:rFonts w:eastAsia="方正粗宋简体"/>
          <w:w w:val="85"/>
          <w:sz w:val="44"/>
          <w:szCs w:val="44"/>
        </w:rPr>
        <w:t> </w:t>
      </w:r>
      <w:r>
        <w:rPr>
          <w:rFonts w:hint="eastAsia" w:eastAsia="方正粗宋简体"/>
          <w:w w:val="85"/>
          <w:sz w:val="44"/>
          <w:szCs w:val="44"/>
          <w:lang w:eastAsia="zh-CN"/>
        </w:rPr>
        <w:t>202</w:t>
      </w:r>
      <w:r>
        <w:rPr>
          <w:rFonts w:hint="eastAsia" w:eastAsia="方正粗宋简体"/>
          <w:w w:val="85"/>
          <w:sz w:val="44"/>
          <w:szCs w:val="44"/>
          <w:lang w:val="en-US" w:eastAsia="zh-CN"/>
        </w:rPr>
        <w:t>4</w:t>
      </w:r>
      <w:r>
        <w:rPr>
          <w:rFonts w:hAnsi="方正粗宋简体" w:eastAsia="方正粗宋简体"/>
          <w:w w:val="85"/>
          <w:sz w:val="44"/>
          <w:szCs w:val="44"/>
        </w:rPr>
        <w:t>年度</w:t>
      </w:r>
      <w:r>
        <w:rPr>
          <w:rFonts w:hint="eastAsia" w:hAnsi="方正粗宋简体" w:eastAsia="方正粗宋简体"/>
          <w:w w:val="85"/>
          <w:sz w:val="44"/>
          <w:szCs w:val="44"/>
          <w:lang w:eastAsia="zh-CN"/>
        </w:rPr>
        <w:t>贡溪镇人民政府村干绩效报酬</w:t>
      </w:r>
    </w:p>
    <w:p w14:paraId="3158218F">
      <w:pPr>
        <w:spacing w:line="600" w:lineRule="exact"/>
        <w:jc w:val="center"/>
        <w:rPr>
          <w:rFonts w:hint="eastAsia" w:hAnsi="方正粗宋简体" w:eastAsia="方正粗宋简体"/>
          <w:w w:val="85"/>
          <w:sz w:val="44"/>
          <w:szCs w:val="44"/>
        </w:rPr>
      </w:pPr>
      <w:r>
        <w:rPr>
          <w:rFonts w:hint="eastAsia" w:hAnsi="方正粗宋简体" w:eastAsia="方正粗宋简体"/>
          <w:w w:val="85"/>
          <w:sz w:val="44"/>
          <w:szCs w:val="44"/>
          <w:lang w:eastAsia="zh-CN"/>
        </w:rPr>
        <w:t>项目绩效自评报告</w:t>
      </w:r>
    </w:p>
    <w:p w14:paraId="7A63C23A">
      <w:pPr>
        <w:keepNext w:val="0"/>
        <w:keepLines w:val="0"/>
        <w:pageBreakBefore w:val="0"/>
        <w:widowControl w:val="0"/>
        <w:kinsoku/>
        <w:wordWrap/>
        <w:overflowPunct/>
        <w:topLinePunct w:val="0"/>
        <w:autoSpaceDE/>
        <w:autoSpaceDN/>
        <w:bidi w:val="0"/>
        <w:adjustRightInd/>
        <w:snapToGrid/>
        <w:spacing w:line="560" w:lineRule="exact"/>
        <w:ind w:left="0" w:firstLine="643" w:firstLineChars="200"/>
        <w:jc w:val="left"/>
        <w:textAlignment w:val="bottom"/>
        <w:rPr>
          <w:rFonts w:eastAsia="仿宋_GB2312"/>
          <w:b/>
          <w:bCs/>
          <w:sz w:val="32"/>
          <w:szCs w:val="32"/>
        </w:rPr>
      </w:pPr>
      <w:r>
        <w:rPr>
          <w:rFonts w:hint="eastAsia" w:eastAsia="仿宋_GB2312"/>
          <w:b/>
          <w:bCs/>
          <w:sz w:val="32"/>
          <w:szCs w:val="32"/>
        </w:rPr>
        <w:t>一、基本情况</w:t>
      </w:r>
    </w:p>
    <w:p w14:paraId="57113706">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（一）项目基本情况：项目组织实施单位是贡溪镇人民政府。</w:t>
      </w:r>
    </w:p>
    <w:p w14:paraId="7C4FF74B">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（二）为进一步健全完善</w:t>
      </w:r>
      <w:r>
        <w:rPr>
          <w:rFonts w:hint="default" w:ascii="仿宋" w:hAnsi="仿宋" w:eastAsia="仿宋" w:cs="仿宋"/>
          <w:sz w:val="32"/>
          <w:szCs w:val="32"/>
          <w:lang w:val="en-US" w:eastAsia="zh-CN"/>
        </w:rPr>
        <w:t>了村(社区)干部激励保障机制，</w:t>
      </w:r>
      <w:r>
        <w:rPr>
          <w:rFonts w:hint="eastAsia" w:ascii="仿宋" w:hAnsi="仿宋" w:eastAsia="仿宋" w:cs="仿宋"/>
          <w:sz w:val="32"/>
          <w:szCs w:val="32"/>
          <w:lang w:val="en-US" w:eastAsia="zh-CN"/>
        </w:rPr>
        <w:t>加强基层党组织建设，加强村级治理，为乡村振兴提供组织保障。加强村干部队伍建设，提高基层党组织服务群众能力。</w:t>
      </w:r>
    </w:p>
    <w:p w14:paraId="61AC37F9">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（三）项目绩效目标</w:t>
      </w:r>
    </w:p>
    <w:p w14:paraId="4B4DB171">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1、总体目标：进一步健全完善</w:t>
      </w:r>
      <w:r>
        <w:rPr>
          <w:rFonts w:hint="default" w:ascii="仿宋" w:hAnsi="仿宋" w:eastAsia="仿宋" w:cs="仿宋"/>
          <w:sz w:val="32"/>
          <w:szCs w:val="32"/>
          <w:lang w:val="en-US" w:eastAsia="zh-CN"/>
        </w:rPr>
        <w:t>了村(社区)干部激励保障机制</w:t>
      </w:r>
      <w:r>
        <w:rPr>
          <w:rFonts w:hint="eastAsia" w:ascii="仿宋" w:hAnsi="仿宋" w:eastAsia="仿宋" w:cs="仿宋"/>
          <w:sz w:val="32"/>
          <w:szCs w:val="32"/>
          <w:lang w:val="en-US" w:eastAsia="zh-CN"/>
        </w:rPr>
        <w:t>。</w:t>
      </w:r>
    </w:p>
    <w:p w14:paraId="4C665042">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2、阶段性目标：保障本年村干部绩效工资收入，激励村干部工作热情，提高贡溪镇村级工作全县排名。</w:t>
      </w:r>
    </w:p>
    <w:p w14:paraId="3AB97E34">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3" w:firstLineChars="200"/>
        <w:textAlignment w:val="auto"/>
        <w:outlineLvl w:val="9"/>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二、绩效评价工作开展情况</w:t>
      </w:r>
    </w:p>
    <w:p w14:paraId="1857F75B">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default"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1.绩效评价的目的</w:t>
      </w:r>
    </w:p>
    <w:p w14:paraId="3415CF36">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（一）为核实、了解项目实施是否符合经批复的工作内容、绩效标准、支出规模等相关要求，防止项目功能缺失。</w:t>
      </w:r>
    </w:p>
    <w:p w14:paraId="09C692CA">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（二）通过计算、分析项目决策、过程、产出、效益情况，客观公正地反映项目财政实际使用和产出情况。为绩效管理提供决策参考及政策制定的依据。</w:t>
      </w:r>
    </w:p>
    <w:p w14:paraId="583D3F62">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（三）通过评价项目实施的方法、过程，总结经验教训提出相应的改进措施和建设性意见，为今后项目实施提供帮助。</w:t>
      </w:r>
    </w:p>
    <w:p w14:paraId="497DCF72">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2.绩效评价原则、评价指标体系、评价标准等</w:t>
      </w:r>
    </w:p>
    <w:p w14:paraId="7090AD34">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根据科学公正、统筹兼顾、公开透明的原则，针对具体支出及其产出绩效，反映绩效目标的实现情况。</w:t>
      </w:r>
    </w:p>
    <w:p w14:paraId="47554E5C">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default" w:ascii="仿宋" w:hAnsi="仿宋" w:eastAsia="仿宋" w:cs="仿宋"/>
          <w:b w:val="0"/>
          <w:bCs w:val="0"/>
          <w:sz w:val="32"/>
          <w:szCs w:val="32"/>
          <w:lang w:val="en-US" w:eastAsia="zh-CN"/>
        </w:rPr>
      </w:pPr>
      <w:r>
        <w:rPr>
          <w:rFonts w:hint="eastAsia" w:ascii="仿宋" w:hAnsi="仿宋" w:eastAsia="仿宋" w:cs="仿宋"/>
          <w:b w:val="0"/>
          <w:bCs w:val="0"/>
          <w:sz w:val="32"/>
          <w:szCs w:val="32"/>
          <w:lang w:val="en-US" w:eastAsia="zh-CN"/>
        </w:rPr>
        <w:t>评价指标体系及标准见附件2-2。</w:t>
      </w:r>
    </w:p>
    <w:p w14:paraId="155D6C84">
      <w:pPr>
        <w:keepNext w:val="0"/>
        <w:keepLines w:val="0"/>
        <w:pageBreakBefore w:val="0"/>
        <w:widowControl w:val="0"/>
        <w:kinsoku/>
        <w:wordWrap/>
        <w:overflowPunct/>
        <w:topLinePunct w:val="0"/>
        <w:autoSpaceDE/>
        <w:autoSpaceDN/>
        <w:bidi w:val="0"/>
        <w:adjustRightInd/>
        <w:snapToGrid/>
        <w:spacing w:line="640" w:lineRule="exact"/>
        <w:ind w:left="0" w:firstLine="640" w:firstLineChars="200"/>
        <w:jc w:val="left"/>
        <w:textAlignment w:val="bottom"/>
        <w:rPr>
          <w:rFonts w:hint="eastAsia" w:ascii="仿宋" w:hAnsi="仿宋" w:eastAsia="仿宋_GB2312" w:cs="仿宋"/>
          <w:b w:val="0"/>
          <w:bCs w:val="0"/>
          <w:sz w:val="32"/>
          <w:szCs w:val="32"/>
          <w:lang w:val="en-US" w:eastAsia="zh-CN"/>
        </w:rPr>
      </w:pPr>
      <w:r>
        <w:rPr>
          <w:rFonts w:hint="eastAsia" w:ascii="仿宋_GB2312" w:eastAsia="仿宋_GB2312"/>
          <w:color w:val="000000"/>
          <w:sz w:val="32"/>
          <w:szCs w:val="32"/>
        </w:rPr>
        <w:t>根据《中共中央 国务院关于全面实施预算绩效管理的意见》（中发〔2018〕34号）、《中共湖南省委办公厅湖南省人民政府办公厅关于全面实施预算绩效管理的实施意见》（湘办发〔2019〕10号）、《湖南省财政厅关于印发〈湖南省预算支出绩效评价管理办法〉的通知》(湘财绩〔2020〕7号）、</w:t>
      </w:r>
      <w:r>
        <w:rPr>
          <w:rFonts w:hint="eastAsia" w:ascii="仿宋_GB2312" w:eastAsia="仿宋_GB2312"/>
          <w:color w:val="000000"/>
          <w:sz w:val="32"/>
          <w:szCs w:val="32"/>
          <w:lang w:eastAsia="zh-CN"/>
        </w:rPr>
        <w:t>《</w:t>
      </w:r>
      <w:r>
        <w:rPr>
          <w:rFonts w:hint="eastAsia" w:ascii="仿宋_GB2312" w:eastAsia="仿宋_GB2312"/>
          <w:color w:val="000000"/>
          <w:sz w:val="32"/>
          <w:szCs w:val="32"/>
        </w:rPr>
        <w:t>新晃侗族自治县财政局关于开展202</w:t>
      </w:r>
      <w:r>
        <w:rPr>
          <w:rFonts w:hint="eastAsia" w:ascii="仿宋_GB2312" w:eastAsia="仿宋_GB2312"/>
          <w:color w:val="000000"/>
          <w:sz w:val="32"/>
          <w:szCs w:val="32"/>
          <w:lang w:val="en-US" w:eastAsia="zh-CN"/>
        </w:rPr>
        <w:t>4</w:t>
      </w:r>
      <w:r>
        <w:rPr>
          <w:rFonts w:hint="eastAsia" w:ascii="仿宋_GB2312" w:eastAsia="仿宋_GB2312"/>
          <w:color w:val="000000"/>
          <w:sz w:val="32"/>
          <w:szCs w:val="32"/>
        </w:rPr>
        <w:t>年度部门预算支出绩效自评工作的通知</w:t>
      </w:r>
      <w:r>
        <w:rPr>
          <w:rFonts w:hint="eastAsia" w:ascii="仿宋_GB2312" w:eastAsia="仿宋_GB2312"/>
          <w:color w:val="000000"/>
          <w:sz w:val="32"/>
          <w:szCs w:val="32"/>
          <w:lang w:eastAsia="zh-CN"/>
        </w:rPr>
        <w:t>》</w:t>
      </w:r>
      <w:r>
        <w:rPr>
          <w:rFonts w:hint="eastAsia" w:ascii="仿宋_GB2312" w:eastAsia="仿宋_GB2312"/>
          <w:color w:val="000000"/>
          <w:sz w:val="32"/>
          <w:szCs w:val="32"/>
        </w:rPr>
        <w:t>等有关规定，决定组织对</w:t>
      </w:r>
      <w:r>
        <w:rPr>
          <w:rFonts w:hint="eastAsia" w:ascii="仿宋_GB2312" w:eastAsia="仿宋_GB2312"/>
          <w:color w:val="000000"/>
          <w:sz w:val="32"/>
          <w:szCs w:val="32"/>
          <w:lang w:eastAsia="zh-CN"/>
        </w:rPr>
        <w:t>202</w:t>
      </w:r>
      <w:r>
        <w:rPr>
          <w:rFonts w:hint="eastAsia" w:ascii="仿宋_GB2312" w:eastAsia="仿宋_GB2312"/>
          <w:color w:val="000000"/>
          <w:sz w:val="32"/>
          <w:szCs w:val="32"/>
          <w:lang w:val="en-US" w:eastAsia="zh-CN"/>
        </w:rPr>
        <w:t>4</w:t>
      </w:r>
      <w:r>
        <w:rPr>
          <w:rFonts w:hint="eastAsia" w:ascii="仿宋_GB2312" w:eastAsia="仿宋_GB2312"/>
          <w:color w:val="000000"/>
          <w:sz w:val="32"/>
          <w:szCs w:val="32"/>
        </w:rPr>
        <w:t>部门预算执行情况开展绩效自评</w:t>
      </w:r>
      <w:r>
        <w:rPr>
          <w:rFonts w:hint="eastAsia" w:ascii="仿宋_GB2312" w:eastAsia="仿宋_GB2312"/>
          <w:color w:val="000000"/>
          <w:sz w:val="32"/>
          <w:szCs w:val="32"/>
          <w:lang w:eastAsia="zh-CN"/>
        </w:rPr>
        <w:t>。</w:t>
      </w:r>
    </w:p>
    <w:p w14:paraId="4E561330">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b w:val="0"/>
          <w:bCs w:val="0"/>
          <w:sz w:val="32"/>
          <w:szCs w:val="32"/>
          <w:lang w:val="en-US" w:eastAsia="zh-CN"/>
        </w:rPr>
        <w:t>3.绩效评价对象和范围</w:t>
      </w:r>
    </w:p>
    <w:p w14:paraId="6D890F8E">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该项目绩效评价对象为2024年度村干部绩效报酬项目经费使用情况和效果，具体为资金拨付、项目的开展、村干工资发放等目标是否完成。绩效评价范围为资金的使用是否规范，村干部绩效报酬是否发放到位。</w:t>
      </w:r>
    </w:p>
    <w:p w14:paraId="7CF2B38C">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3" w:firstLineChars="200"/>
        <w:textAlignment w:val="auto"/>
        <w:outlineLvl w:val="9"/>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三、综合评价情况及评价结论</w:t>
      </w:r>
    </w:p>
    <w:p w14:paraId="1DBF6721">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2024年度，年初预算安排16.08万元，2024年支付15.768万元。主要用于村干部绩效报酬的发放，项目资金属于专款专用资金，接受财政、审计部门的监督，做到专款专用，无占用、挪用等情况，财务制度健全，财务处理及时，会计核算规范。</w:t>
      </w:r>
    </w:p>
    <w:p w14:paraId="55B68AE8">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项目组织有计划有措施，严格执行相关制度和文件规定，顺利完成项目预期目标。自评得分99分，评价等级“优秀”。</w:t>
      </w:r>
    </w:p>
    <w:p w14:paraId="69024CF2">
      <w:pPr>
        <w:pStyle w:val="2"/>
        <w:keepNext w:val="0"/>
        <w:keepLines w:val="0"/>
        <w:pageBreakBefore w:val="0"/>
        <w:widowControl w:val="0"/>
        <w:numPr>
          <w:ilvl w:val="0"/>
          <w:numId w:val="1"/>
        </w:numPr>
        <w:kinsoku/>
        <w:wordWrap/>
        <w:overflowPunct/>
        <w:topLinePunct w:val="0"/>
        <w:autoSpaceDE/>
        <w:autoSpaceDN/>
        <w:bidi w:val="0"/>
        <w:adjustRightInd/>
        <w:snapToGrid/>
        <w:spacing w:before="0" w:beforeAutospacing="0" w:after="0" w:afterAutospacing="0" w:line="560" w:lineRule="exact"/>
        <w:ind w:right="0" w:rightChars="0" w:firstLine="643" w:firstLineChars="200"/>
        <w:textAlignment w:val="auto"/>
        <w:outlineLvl w:val="9"/>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绩效评价指标分析</w:t>
      </w:r>
    </w:p>
    <w:p w14:paraId="14E6ABD2">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left="0" w:firstLine="640" w:firstLineChars="200"/>
        <w:jc w:val="left"/>
        <w:textAlignment w:val="bottom"/>
        <w:rPr>
          <w:rFonts w:hint="eastAsia" w:ascii="仿宋_GB2312" w:eastAsia="仿宋_GB2312"/>
          <w:sz w:val="32"/>
          <w:szCs w:val="32"/>
        </w:rPr>
      </w:pPr>
      <w:r>
        <w:rPr>
          <w:rFonts w:hint="eastAsia" w:ascii="仿宋_GB2312" w:eastAsia="仿宋_GB2312"/>
          <w:sz w:val="32"/>
          <w:szCs w:val="32"/>
        </w:rPr>
        <w:t>项目决策情况。</w:t>
      </w:r>
    </w:p>
    <w:p w14:paraId="5E47C76A">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bottom"/>
        <w:rPr>
          <w:rFonts w:hint="default" w:ascii="仿宋_GB2312" w:eastAsia="仿宋_GB2312"/>
          <w:sz w:val="32"/>
          <w:szCs w:val="32"/>
          <w:lang w:val="en-US" w:eastAsia="zh-CN"/>
        </w:rPr>
      </w:pPr>
      <w:r>
        <w:rPr>
          <w:rFonts w:hint="eastAsia" w:ascii="仿宋_GB2312" w:eastAsia="仿宋_GB2312"/>
          <w:sz w:val="32"/>
          <w:szCs w:val="32"/>
          <w:lang w:val="en-US" w:eastAsia="zh-CN"/>
        </w:rPr>
        <w:t>根据上级规定，对在职村干部发年度工作情况进行总结性表彰，由各乡镇党建办统计，上报县委组织部审批。</w:t>
      </w:r>
    </w:p>
    <w:p w14:paraId="1E16F34F">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left="0" w:leftChars="0" w:firstLine="640" w:firstLineChars="200"/>
        <w:jc w:val="left"/>
        <w:textAlignment w:val="bottom"/>
        <w:rPr>
          <w:rFonts w:hint="eastAsia" w:ascii="仿宋_GB2312" w:eastAsia="仿宋_GB2312"/>
          <w:sz w:val="32"/>
          <w:szCs w:val="32"/>
        </w:rPr>
      </w:pPr>
      <w:r>
        <w:rPr>
          <w:rFonts w:hint="eastAsia" w:ascii="仿宋_GB2312" w:eastAsia="仿宋_GB2312"/>
          <w:sz w:val="32"/>
          <w:szCs w:val="32"/>
        </w:rPr>
        <w:t>项目过程情况。</w:t>
      </w:r>
    </w:p>
    <w:p w14:paraId="7AE83D6B">
      <w:pPr>
        <w:keepNext w:val="0"/>
        <w:keepLines w:val="0"/>
        <w:pageBreakBefore w:val="0"/>
        <w:widowControl w:val="0"/>
        <w:numPr>
          <w:ilvl w:val="0"/>
          <w:numId w:val="0"/>
        </w:numPr>
        <w:kinsoku/>
        <w:wordWrap/>
        <w:overflowPunct/>
        <w:topLinePunct w:val="0"/>
        <w:autoSpaceDE/>
        <w:autoSpaceDN/>
        <w:bidi w:val="0"/>
        <w:adjustRightInd/>
        <w:snapToGrid/>
        <w:spacing w:line="560" w:lineRule="exact"/>
        <w:ind w:firstLine="640" w:firstLineChars="200"/>
        <w:jc w:val="left"/>
        <w:textAlignment w:val="bottom"/>
        <w:rPr>
          <w:rFonts w:hint="default" w:ascii="仿宋_GB2312" w:eastAsia="仿宋_GB2312"/>
          <w:sz w:val="32"/>
          <w:szCs w:val="32"/>
          <w:lang w:val="en-US" w:eastAsia="zh-CN"/>
        </w:rPr>
      </w:pPr>
      <w:r>
        <w:rPr>
          <w:rFonts w:hint="eastAsia" w:ascii="仿宋_GB2312" w:eastAsia="仿宋_GB2312"/>
          <w:sz w:val="32"/>
          <w:szCs w:val="32"/>
          <w:lang w:val="en-US" w:eastAsia="zh-CN"/>
        </w:rPr>
        <w:t>工作分为三个阶段：一清查阶段。由各乡镇党建办统计各村村干部当年工作情况，由政府进行评比后，统计结果；二审批阶段。各乡镇党建办将统计数据上报县委组织部审核，审批无误后方可发放；三发放阶段。当县委组织部审核完成后报县财政局，由县财政局统一拨款。</w:t>
      </w:r>
    </w:p>
    <w:p w14:paraId="4B546809">
      <w:pPr>
        <w:keepNext w:val="0"/>
        <w:keepLines w:val="0"/>
        <w:pageBreakBefore w:val="0"/>
        <w:widowControl w:val="0"/>
        <w:numPr>
          <w:ilvl w:val="0"/>
          <w:numId w:val="2"/>
        </w:numPr>
        <w:kinsoku/>
        <w:wordWrap/>
        <w:overflowPunct/>
        <w:topLinePunct w:val="0"/>
        <w:autoSpaceDE/>
        <w:autoSpaceDN/>
        <w:bidi w:val="0"/>
        <w:adjustRightInd/>
        <w:snapToGrid/>
        <w:spacing w:line="560" w:lineRule="exact"/>
        <w:ind w:left="0" w:leftChars="0" w:firstLine="640" w:firstLineChars="200"/>
        <w:jc w:val="left"/>
        <w:textAlignment w:val="bottom"/>
        <w:rPr>
          <w:rFonts w:hint="eastAsia" w:ascii="仿宋_GB2312" w:eastAsia="仿宋_GB2312"/>
          <w:sz w:val="32"/>
          <w:szCs w:val="32"/>
        </w:rPr>
      </w:pPr>
      <w:r>
        <w:rPr>
          <w:rFonts w:hint="eastAsia" w:ascii="仿宋_GB2312" w:eastAsia="仿宋_GB2312"/>
          <w:sz w:val="32"/>
          <w:szCs w:val="32"/>
        </w:rPr>
        <w:t>项目产出情况。</w:t>
      </w:r>
    </w:p>
    <w:p w14:paraId="3134F31E">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_GB2312" w:eastAsia="仿宋_GB2312"/>
          <w:sz w:val="32"/>
          <w:szCs w:val="32"/>
        </w:rPr>
      </w:pPr>
      <w:r>
        <w:rPr>
          <w:rFonts w:hint="eastAsia" w:ascii="仿宋" w:hAnsi="仿宋" w:eastAsia="仿宋" w:cs="仿宋"/>
          <w:sz w:val="32"/>
          <w:szCs w:val="32"/>
          <w:lang w:val="en-US" w:eastAsia="zh-CN"/>
        </w:rPr>
        <w:t>村干部基本报酬项目年初预算安排16.08万元，本年支出15.768万元，预算执行率98.06%。资金全部用于村干部绩效报酬发放。</w:t>
      </w:r>
    </w:p>
    <w:p w14:paraId="393D1E0E">
      <w:pPr>
        <w:keepNext w:val="0"/>
        <w:keepLines w:val="0"/>
        <w:pageBreakBefore w:val="0"/>
        <w:widowControl w:val="0"/>
        <w:kinsoku/>
        <w:wordWrap/>
        <w:overflowPunct/>
        <w:topLinePunct w:val="0"/>
        <w:autoSpaceDE/>
        <w:autoSpaceDN/>
        <w:bidi w:val="0"/>
        <w:adjustRightInd/>
        <w:snapToGrid/>
        <w:spacing w:line="560" w:lineRule="exact"/>
        <w:ind w:left="0" w:firstLine="640" w:firstLineChars="200"/>
        <w:jc w:val="left"/>
        <w:textAlignment w:val="bottom"/>
        <w:rPr>
          <w:rFonts w:hint="eastAsia" w:ascii="仿宋_GB2312" w:eastAsia="仿宋_GB2312"/>
          <w:sz w:val="32"/>
          <w:szCs w:val="32"/>
        </w:rPr>
      </w:pPr>
      <w:r>
        <w:rPr>
          <w:rFonts w:hint="eastAsia" w:ascii="仿宋_GB2312" w:eastAsia="仿宋_GB2312"/>
          <w:sz w:val="32"/>
          <w:szCs w:val="32"/>
        </w:rPr>
        <w:t>（四）项目效益情况。</w:t>
      </w:r>
    </w:p>
    <w:p w14:paraId="1CAC7B68">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村干部绩效报酬都保质保量发放到位，作为</w:t>
      </w:r>
      <w:r>
        <w:rPr>
          <w:rFonts w:hint="default" w:ascii="仿宋" w:hAnsi="仿宋" w:eastAsia="仿宋" w:cs="仿宋"/>
          <w:sz w:val="32"/>
          <w:szCs w:val="32"/>
          <w:lang w:val="en-US" w:eastAsia="zh-CN"/>
        </w:rPr>
        <w:t>了村(社区)干部激励保障机制</w:t>
      </w:r>
      <w:r>
        <w:rPr>
          <w:rFonts w:hint="eastAsia" w:ascii="仿宋" w:hAnsi="仿宋" w:eastAsia="仿宋" w:cs="仿宋"/>
          <w:sz w:val="32"/>
          <w:szCs w:val="32"/>
          <w:lang w:val="en-US" w:eastAsia="zh-CN"/>
        </w:rPr>
        <w:t>的重要组成部分</w:t>
      </w:r>
      <w:r>
        <w:rPr>
          <w:rFonts w:hint="default" w:ascii="仿宋" w:hAnsi="仿宋" w:eastAsia="仿宋" w:cs="仿宋"/>
          <w:sz w:val="32"/>
          <w:szCs w:val="32"/>
          <w:lang w:val="en-US" w:eastAsia="zh-CN"/>
        </w:rPr>
        <w:t>，促进了基层组织的和谐稳定，</w:t>
      </w:r>
      <w:r>
        <w:rPr>
          <w:rFonts w:hint="eastAsia" w:ascii="仿宋" w:hAnsi="仿宋" w:eastAsia="仿宋" w:cs="仿宋"/>
          <w:sz w:val="32"/>
          <w:szCs w:val="32"/>
          <w:lang w:val="en-US" w:eastAsia="zh-CN"/>
        </w:rPr>
        <w:t>为激励本年村干部工作热情，稳固村委会正常运转起到了重要作用。</w:t>
      </w:r>
    </w:p>
    <w:p w14:paraId="2810C7A2">
      <w:pPr>
        <w:spacing w:line="560" w:lineRule="exact"/>
        <w:ind w:firstLine="643" w:firstLineChars="200"/>
        <w:jc w:val="left"/>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五、</w:t>
      </w:r>
      <w:r>
        <w:rPr>
          <w:rFonts w:hint="eastAsia" w:eastAsia="仿宋_GB2312"/>
          <w:b/>
          <w:bCs/>
          <w:sz w:val="32"/>
          <w:szCs w:val="32"/>
        </w:rPr>
        <w:t>主要经验及做法、存在的问题及原因分析</w:t>
      </w:r>
    </w:p>
    <w:p w14:paraId="69347A1D">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在资金使用过程中，规范监管流程，认真核对发放明细，收到上级通知能及时发放到位。</w:t>
      </w:r>
    </w:p>
    <w:p w14:paraId="37D0BE02">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3" w:firstLineChars="200"/>
        <w:textAlignment w:val="auto"/>
        <w:outlineLvl w:val="9"/>
        <w:rPr>
          <w:rFonts w:hint="eastAsia" w:ascii="仿宋" w:hAnsi="仿宋" w:eastAsia="仿宋" w:cs="仿宋"/>
          <w:sz w:val="32"/>
          <w:szCs w:val="32"/>
          <w:lang w:val="en-US" w:eastAsia="zh-CN"/>
        </w:rPr>
      </w:pPr>
      <w:r>
        <w:rPr>
          <w:rFonts w:hint="eastAsia" w:eastAsia="仿宋_GB2312"/>
          <w:b/>
          <w:bCs/>
          <w:sz w:val="32"/>
          <w:szCs w:val="32"/>
          <w:lang w:eastAsia="zh-CN"/>
        </w:rPr>
        <w:t>六、</w:t>
      </w:r>
      <w:r>
        <w:rPr>
          <w:rFonts w:hint="eastAsia" w:eastAsia="仿宋_GB2312"/>
          <w:b/>
          <w:bCs/>
          <w:sz w:val="32"/>
          <w:szCs w:val="32"/>
        </w:rPr>
        <w:t>有关建议</w:t>
      </w:r>
      <w:bookmarkStart w:id="0" w:name="_GoBack"/>
      <w:bookmarkEnd w:id="0"/>
    </w:p>
    <w:p w14:paraId="11E58814">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无</w:t>
      </w:r>
    </w:p>
    <w:p w14:paraId="5C1F330B">
      <w:pPr>
        <w:pStyle w:val="2"/>
        <w:keepNext w:val="0"/>
        <w:keepLines w:val="0"/>
        <w:pageBreakBefore w:val="0"/>
        <w:widowControl w:val="0"/>
        <w:numPr>
          <w:ilvl w:val="0"/>
          <w:numId w:val="0"/>
        </w:numPr>
        <w:kinsoku/>
        <w:wordWrap/>
        <w:overflowPunct/>
        <w:topLinePunct w:val="0"/>
        <w:autoSpaceDE/>
        <w:autoSpaceDN/>
        <w:bidi w:val="0"/>
        <w:adjustRightInd/>
        <w:snapToGrid/>
        <w:spacing w:before="0" w:beforeAutospacing="0" w:after="0" w:afterAutospacing="0" w:line="560" w:lineRule="exact"/>
        <w:ind w:right="0" w:rightChars="0" w:firstLine="643" w:firstLineChars="200"/>
        <w:textAlignment w:val="auto"/>
        <w:outlineLvl w:val="9"/>
        <w:rPr>
          <w:rFonts w:hint="eastAsia" w:ascii="仿宋" w:hAnsi="仿宋" w:eastAsia="仿宋" w:cs="仿宋"/>
          <w:b/>
          <w:bCs/>
          <w:sz w:val="32"/>
          <w:szCs w:val="32"/>
          <w:lang w:val="en-US" w:eastAsia="zh-CN"/>
        </w:rPr>
      </w:pPr>
      <w:r>
        <w:rPr>
          <w:rFonts w:hint="eastAsia" w:ascii="仿宋" w:hAnsi="仿宋" w:eastAsia="仿宋" w:cs="仿宋"/>
          <w:b/>
          <w:bCs/>
          <w:sz w:val="32"/>
          <w:szCs w:val="32"/>
          <w:lang w:val="en-US" w:eastAsia="zh-CN"/>
        </w:rPr>
        <w:t>七、其他需要说明的问题</w:t>
      </w:r>
    </w:p>
    <w:p w14:paraId="527E8E60">
      <w:pPr>
        <w:pStyle w:val="2"/>
        <w:keepNext w:val="0"/>
        <w:keepLines w:val="0"/>
        <w:pageBreakBefore w:val="0"/>
        <w:widowControl w:val="0"/>
        <w:kinsoku/>
        <w:wordWrap/>
        <w:overflowPunct/>
        <w:topLinePunct w:val="0"/>
        <w:autoSpaceDE/>
        <w:autoSpaceDN/>
        <w:bidi w:val="0"/>
        <w:adjustRightInd/>
        <w:snapToGrid/>
        <w:spacing w:before="0" w:beforeAutospacing="0" w:after="0" w:afterAutospacing="0" w:line="560" w:lineRule="exact"/>
        <w:ind w:right="0" w:rightChars="0" w:firstLine="640" w:firstLineChars="200"/>
        <w:textAlignment w:val="auto"/>
        <w:outlineLvl w:val="9"/>
        <w:rPr>
          <w:rFonts w:hint="eastAsia" w:ascii="仿宋" w:hAnsi="仿宋" w:eastAsia="仿宋" w:cs="仿宋"/>
          <w:sz w:val="32"/>
          <w:szCs w:val="32"/>
        </w:rPr>
      </w:pPr>
      <w:r>
        <w:rPr>
          <w:rFonts w:hint="eastAsia" w:ascii="仿宋" w:hAnsi="仿宋" w:eastAsia="仿宋" w:cs="仿宋"/>
          <w:sz w:val="32"/>
          <w:szCs w:val="32"/>
          <w:lang w:val="en-US" w:eastAsia="zh-CN"/>
        </w:rPr>
        <w:t>无</w:t>
      </w:r>
      <w:r>
        <w:rPr>
          <w:rFonts w:hint="eastAsia" w:ascii="仿宋" w:hAnsi="仿宋" w:eastAsia="仿宋" w:cs="仿宋"/>
          <w:sz w:val="32"/>
          <w:szCs w:val="32"/>
        </w:rPr>
        <w:t> </w:t>
      </w:r>
    </w:p>
    <w:p w14:paraId="14F1E6A1">
      <w:pPr>
        <w:keepNext w:val="0"/>
        <w:keepLines w:val="0"/>
        <w:pageBreakBefore w:val="0"/>
        <w:widowControl w:val="0"/>
        <w:kinsoku/>
        <w:wordWrap/>
        <w:overflowPunct/>
        <w:topLinePunct w:val="0"/>
        <w:autoSpaceDE/>
        <w:autoSpaceDN/>
        <w:bidi w:val="0"/>
        <w:adjustRightInd/>
        <w:snapToGrid/>
        <w:spacing w:line="560" w:lineRule="exact"/>
        <w:ind w:left="5880" w:right="0" w:rightChars="0" w:hanging="6720" w:hangingChars="2100"/>
        <w:textAlignment w:val="auto"/>
        <w:outlineLvl w:val="9"/>
        <w:rPr>
          <w:rFonts w:hint="eastAsia" w:ascii="仿宋" w:hAnsi="仿宋" w:eastAsia="仿宋" w:cs="仿宋"/>
          <w:sz w:val="32"/>
          <w:szCs w:val="32"/>
          <w:lang w:eastAsia="zh-CN"/>
        </w:rPr>
      </w:pPr>
      <w:r>
        <w:rPr>
          <w:rFonts w:hint="eastAsia" w:ascii="仿宋" w:hAnsi="仿宋" w:eastAsia="仿宋" w:cs="仿宋"/>
          <w:sz w:val="32"/>
          <w:szCs w:val="32"/>
        </w:rPr>
        <w:t xml:space="preserve">                                     </w:t>
      </w:r>
      <w:r>
        <w:rPr>
          <w:rFonts w:hint="eastAsia" w:ascii="仿宋" w:hAnsi="仿宋" w:eastAsia="仿宋" w:cs="仿宋"/>
          <w:sz w:val="32"/>
          <w:szCs w:val="32"/>
          <w:lang w:eastAsia="zh-CN"/>
        </w:rPr>
        <w:t>贡溪镇人民政府</w:t>
      </w:r>
    </w:p>
    <w:p w14:paraId="283732D8">
      <w:pPr>
        <w:keepNext w:val="0"/>
        <w:keepLines w:val="0"/>
        <w:pageBreakBefore w:val="0"/>
        <w:widowControl w:val="0"/>
        <w:kinsoku/>
        <w:wordWrap/>
        <w:overflowPunct/>
        <w:topLinePunct w:val="0"/>
        <w:autoSpaceDE/>
        <w:autoSpaceDN/>
        <w:bidi w:val="0"/>
        <w:adjustRightInd/>
        <w:snapToGrid/>
        <w:spacing w:line="560" w:lineRule="exact"/>
        <w:ind w:right="0" w:rightChars="0"/>
        <w:textAlignment w:val="auto"/>
        <w:outlineLvl w:val="9"/>
        <w:rPr>
          <w:rFonts w:hint="eastAsia" w:ascii="仿宋" w:hAnsi="仿宋" w:eastAsia="仿宋" w:cs="仿宋"/>
          <w:kern w:val="0"/>
          <w:sz w:val="32"/>
          <w:szCs w:val="32"/>
        </w:rPr>
      </w:pPr>
      <w:r>
        <w:rPr>
          <w:rFonts w:hint="eastAsia" w:ascii="仿宋" w:hAnsi="仿宋" w:eastAsia="仿宋" w:cs="仿宋"/>
          <w:kern w:val="0"/>
          <w:sz w:val="32"/>
          <w:szCs w:val="32"/>
          <w:lang w:val="en-US" w:eastAsia="zh-CN"/>
        </w:rPr>
        <w:t xml:space="preserve">                                    2025</w:t>
      </w:r>
      <w:r>
        <w:rPr>
          <w:rFonts w:hint="eastAsia" w:ascii="仿宋" w:hAnsi="仿宋" w:eastAsia="仿宋" w:cs="仿宋"/>
          <w:kern w:val="0"/>
          <w:sz w:val="32"/>
          <w:szCs w:val="32"/>
        </w:rPr>
        <w:t>年</w:t>
      </w:r>
      <w:r>
        <w:rPr>
          <w:rFonts w:hint="eastAsia" w:ascii="仿宋" w:hAnsi="仿宋" w:eastAsia="仿宋" w:cs="仿宋"/>
          <w:kern w:val="0"/>
          <w:sz w:val="32"/>
          <w:szCs w:val="32"/>
          <w:lang w:val="en-US" w:eastAsia="zh-CN"/>
        </w:rPr>
        <w:t>3月20</w:t>
      </w:r>
      <w:r>
        <w:rPr>
          <w:rFonts w:hint="eastAsia" w:ascii="仿宋" w:hAnsi="仿宋" w:eastAsia="仿宋" w:cs="仿宋"/>
          <w:kern w:val="0"/>
          <w:sz w:val="32"/>
          <w:szCs w:val="32"/>
        </w:rPr>
        <w:t>日</w:t>
      </w:r>
    </w:p>
    <w:p w14:paraId="3A8DCD9D">
      <w:pPr>
        <w:keepNext w:val="0"/>
        <w:keepLines w:val="0"/>
        <w:pageBreakBefore w:val="0"/>
        <w:widowControl w:val="0"/>
        <w:kinsoku/>
        <w:wordWrap/>
        <w:overflowPunct/>
        <w:topLinePunct w:val="0"/>
        <w:autoSpaceDE/>
        <w:autoSpaceDN/>
        <w:bidi w:val="0"/>
        <w:adjustRightInd/>
        <w:snapToGrid/>
        <w:spacing w:line="560" w:lineRule="exact"/>
        <w:ind w:right="0" w:rightChars="0"/>
        <w:textAlignment w:val="auto"/>
        <w:outlineLvl w:val="9"/>
        <w:rPr>
          <w:rFonts w:hint="eastAsia" w:ascii="仿宋" w:hAnsi="仿宋" w:eastAsia="仿宋" w:cs="仿宋"/>
          <w:kern w:val="0"/>
          <w:sz w:val="32"/>
          <w:szCs w:val="32"/>
          <w:lang w:val="en-US" w:eastAsia="zh-CN"/>
        </w:rPr>
      </w:pPr>
      <w:r>
        <w:rPr>
          <w:rFonts w:hint="eastAsia" w:ascii="仿宋" w:hAnsi="仿宋" w:eastAsia="仿宋" w:cs="仿宋"/>
          <w:kern w:val="0"/>
          <w:sz w:val="32"/>
          <w:szCs w:val="32"/>
          <w:lang w:val="en-US" w:eastAsia="zh-CN"/>
        </w:rPr>
        <w:t xml:space="preserve"> </w:t>
      </w:r>
    </w:p>
    <w:p w14:paraId="1AC521E4"/>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onsolas">
    <w:panose1 w:val="020B0609020204030204"/>
    <w:charset w:val="00"/>
    <w:family w:val="auto"/>
    <w:pitch w:val="default"/>
    <w:sig w:usb0="E10002FF" w:usb1="4000FCFF" w:usb2="00000009" w:usb3="00000000" w:csb0="6000019F" w:csb1="DFD7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方正粗宋简体">
    <w:altName w:val="宋体"/>
    <w:panose1 w:val="03000509000000000000"/>
    <w:charset w:val="86"/>
    <w:family w:val="script"/>
    <w:pitch w:val="default"/>
    <w:sig w:usb0="00000000" w:usb1="0000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901E3D6"/>
    <w:multiLevelType w:val="singleLevel"/>
    <w:tmpl w:val="4901E3D6"/>
    <w:lvl w:ilvl="0" w:tentative="0">
      <w:start w:val="1"/>
      <w:numFmt w:val="chineseCounting"/>
      <w:suff w:val="nothing"/>
      <w:lvlText w:val="（%1）"/>
      <w:lvlJc w:val="left"/>
      <w:rPr>
        <w:rFonts w:hint="eastAsia"/>
      </w:rPr>
    </w:lvl>
  </w:abstractNum>
  <w:abstractNum w:abstractNumId="1">
    <w:nsid w:val="4B255F6C"/>
    <w:multiLevelType w:val="singleLevel"/>
    <w:tmpl w:val="4B255F6C"/>
    <w:lvl w:ilvl="0" w:tentative="0">
      <w:start w:val="4"/>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E5Zjg1MzY2ZDcyOTY4MDZlN2NlYTQwMWQ3ZjViOGMifQ=="/>
  </w:docVars>
  <w:rsids>
    <w:rsidRoot w:val="1EB73B9F"/>
    <w:rsid w:val="00A25177"/>
    <w:rsid w:val="06C51DDF"/>
    <w:rsid w:val="082D1D0A"/>
    <w:rsid w:val="095D1DB2"/>
    <w:rsid w:val="0B22251D"/>
    <w:rsid w:val="0FC16FBC"/>
    <w:rsid w:val="101A362E"/>
    <w:rsid w:val="16174BBC"/>
    <w:rsid w:val="169528F0"/>
    <w:rsid w:val="17FA2749"/>
    <w:rsid w:val="1EB73B9F"/>
    <w:rsid w:val="1EBF5EF7"/>
    <w:rsid w:val="209A6466"/>
    <w:rsid w:val="22FC6FC8"/>
    <w:rsid w:val="2C9E4883"/>
    <w:rsid w:val="32CA5897"/>
    <w:rsid w:val="39D9173D"/>
    <w:rsid w:val="3B187A98"/>
    <w:rsid w:val="3DAE7C70"/>
    <w:rsid w:val="433B61F6"/>
    <w:rsid w:val="43B90818"/>
    <w:rsid w:val="48D85A2C"/>
    <w:rsid w:val="50AF5788"/>
    <w:rsid w:val="541A6D25"/>
    <w:rsid w:val="54741427"/>
    <w:rsid w:val="5D0F6A9D"/>
    <w:rsid w:val="5F6E0BB6"/>
    <w:rsid w:val="6004763A"/>
    <w:rsid w:val="6B0E70BF"/>
    <w:rsid w:val="6D9B359E"/>
    <w:rsid w:val="75E621B3"/>
    <w:rsid w:val="77715FC6"/>
    <w:rsid w:val="7EFA6CD4"/>
    <w:rsid w:val="7FD34D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5" w:lineRule="atLeast"/>
      <w:ind w:left="1"/>
      <w:jc w:val="both"/>
      <w:textAlignment w:val="bottom"/>
    </w:pPr>
    <w:rPr>
      <w:rFonts w:ascii="Times New Roman" w:hAnsi="Times New Roman" w:eastAsia="宋体" w:cs="Times New Roman"/>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0"/>
    <w:pPr>
      <w:widowControl/>
      <w:spacing w:before="100" w:beforeAutospacing="1" w:after="100" w:afterAutospacing="1" w:line="240" w:lineRule="auto"/>
      <w:ind w:left="0"/>
      <w:jc w:val="left"/>
      <w:textAlignment w:val="auto"/>
    </w:pPr>
    <w:rPr>
      <w:rFonts w:ascii="宋体" w:hAnsi="宋体" w:cs="宋体"/>
      <w:sz w:val="24"/>
      <w:szCs w:val="24"/>
    </w:rPr>
  </w:style>
  <w:style w:type="character" w:styleId="5">
    <w:name w:val="Strong"/>
    <w:basedOn w:val="4"/>
    <w:qFormat/>
    <w:uiPriority w:val="0"/>
    <w:rPr>
      <w:b/>
      <w:bCs/>
    </w:rPr>
  </w:style>
  <w:style w:type="character" w:styleId="6">
    <w:name w:val="FollowedHyperlink"/>
    <w:basedOn w:val="4"/>
    <w:qFormat/>
    <w:uiPriority w:val="0"/>
    <w:rPr>
      <w:color w:val="337AB7"/>
      <w:sz w:val="24"/>
      <w:szCs w:val="24"/>
      <w:u w:val="none"/>
      <w:vertAlign w:val="baseline"/>
    </w:rPr>
  </w:style>
  <w:style w:type="character" w:styleId="7">
    <w:name w:val="Emphasis"/>
    <w:basedOn w:val="4"/>
    <w:qFormat/>
    <w:uiPriority w:val="0"/>
  </w:style>
  <w:style w:type="character" w:styleId="8">
    <w:name w:val="HTML Definition"/>
    <w:basedOn w:val="4"/>
    <w:qFormat/>
    <w:uiPriority w:val="0"/>
    <w:rPr>
      <w:i/>
      <w:iCs/>
    </w:rPr>
  </w:style>
  <w:style w:type="character" w:styleId="9">
    <w:name w:val="Hyperlink"/>
    <w:basedOn w:val="4"/>
    <w:qFormat/>
    <w:uiPriority w:val="0"/>
    <w:rPr>
      <w:color w:val="337AB7"/>
      <w:sz w:val="24"/>
      <w:szCs w:val="24"/>
      <w:u w:val="none"/>
      <w:vertAlign w:val="baseline"/>
    </w:rPr>
  </w:style>
  <w:style w:type="character" w:styleId="10">
    <w:name w:val="HTML Code"/>
    <w:basedOn w:val="4"/>
    <w:qFormat/>
    <w:uiPriority w:val="0"/>
    <w:rPr>
      <w:rFonts w:ascii="Consolas" w:hAnsi="Consolas" w:eastAsia="Consolas" w:cs="Consolas"/>
      <w:color w:val="C7254E"/>
      <w:sz w:val="21"/>
      <w:szCs w:val="21"/>
      <w:shd w:val="clear" w:fill="F9F2F4"/>
    </w:rPr>
  </w:style>
  <w:style w:type="character" w:styleId="11">
    <w:name w:val="HTML Keyboard"/>
    <w:basedOn w:val="4"/>
    <w:qFormat/>
    <w:uiPriority w:val="0"/>
    <w:rPr>
      <w:rFonts w:hint="default" w:ascii="Consolas" w:hAnsi="Consolas" w:eastAsia="Consolas" w:cs="Consolas"/>
      <w:color w:val="FFFFFF"/>
      <w:sz w:val="21"/>
      <w:szCs w:val="21"/>
      <w:shd w:val="clear" w:fill="333333"/>
    </w:rPr>
  </w:style>
  <w:style w:type="character" w:styleId="12">
    <w:name w:val="HTML Sample"/>
    <w:basedOn w:val="4"/>
    <w:qFormat/>
    <w:uiPriority w:val="0"/>
    <w:rPr>
      <w:rFonts w:hint="default" w:ascii="Consolas" w:hAnsi="Consolas" w:eastAsia="Consolas" w:cs="Consolas"/>
      <w:sz w:val="21"/>
      <w:szCs w:val="21"/>
    </w:rPr>
  </w:style>
  <w:style w:type="character" w:customStyle="1" w:styleId="13">
    <w:name w:val="pull-left"/>
    <w:basedOn w:val="4"/>
    <w:qFormat/>
    <w:uiPriority w:val="0"/>
  </w:style>
  <w:style w:type="character" w:customStyle="1" w:styleId="14">
    <w:name w:val="pull-right"/>
    <w:basedOn w:val="4"/>
    <w:qFormat/>
    <w:uiPriority w:val="0"/>
  </w:style>
  <w:style w:type="character" w:customStyle="1" w:styleId="15">
    <w:name w:val="start-stop"/>
    <w:basedOn w:val="4"/>
    <w:qFormat/>
    <w:uiPriority w:val="0"/>
    <w:rPr>
      <w:color w:val="666666"/>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1435</Words>
  <Characters>1500</Characters>
  <Lines>0</Lines>
  <Paragraphs>0</Paragraphs>
  <TotalTime>60</TotalTime>
  <ScaleCrop>false</ScaleCrop>
  <LinksUpToDate>false</LinksUpToDate>
  <CharactersWithSpaces>1578</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2022-05-10T02:54:00Z</dcterms:created>
  <dc:creator>Administrator</dc:creator>
  <cp:lastModifiedBy>止步</cp:lastModifiedBy>
  <dcterms:modified xsi:type="dcterms:W3CDTF">2025-03-26T15:28:16Z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F17E51508B8D483CB272F3A54DD6C18A_13</vt:lpwstr>
  </property>
  <property fmtid="{D5CDD505-2E9C-101B-9397-08002B2CF9AE}" pid="4" name="KSOTemplateDocerSaveRecord">
    <vt:lpwstr>eyJoZGlkIjoiM2UwYTU0MzQ1YzQyMDJjNjFlMjRjZmI1MWIwZTE0NDIiLCJ1c2VySWQiOiIyMzk2MDc3MDkifQ==</vt:lpwstr>
  </property>
</Properties>
</file>